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spacing w:after="0" w:line="240" w:lineRule="auto"/>
        <w:widowControl w:val="off"/>
        <w:rPr>
          <w:rFonts w:ascii="Times New Roman" w:hAnsi="Times New Roman" w:eastAsia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/>
          <w:color w:val="000000"/>
          <w:sz w:val="24"/>
          <w:szCs w:val="24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/>
          <w:b/>
          <w:color w:val="000000"/>
          <w:sz w:val="24"/>
          <w:szCs w:val="24"/>
          <w:highlight w:val="yellow"/>
          <w:lang w:eastAsia="ru-RU"/>
        </w:rPr>
      </w:pPr>
      <w:r>
        <w:rPr>
          <w:rFonts w:ascii="Times New Roman" w:hAnsi="Times New Roman" w:eastAsia="Times New Roman"/>
          <w:color w:val="000000"/>
          <w:sz w:val="20"/>
          <w:szCs w:val="20"/>
          <w:highlight w:val="yellow"/>
          <w:lang w:eastAsia="ru-RU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2701925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1" name="Рисунок 1" descr="Герб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1" descr="Герб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2.75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alse">
                <v:path textboxrect="0,0,0,0"/>
                <v:imagedata r:id="rId10" o:title=""/>
              </v:shape>
            </w:pict>
          </mc:Fallback>
        </mc:AlternateContent>
      </w:r>
      <w:r>
        <w:rPr>
          <w:rFonts w:ascii="Times New Roman" w:hAnsi="Times New Roman" w:eastAsia="Times New Roman"/>
          <w:b/>
          <w:color w:val="000000"/>
          <w:sz w:val="24"/>
          <w:szCs w:val="24"/>
          <w:highlight w:val="yellow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4"/>
          <w:szCs w:val="24"/>
          <w:highlight w:val="yellow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b/>
          <w:color w:val="000000"/>
          <w:sz w:val="28"/>
          <w:szCs w:val="20"/>
          <w:highlight w:val="yellow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28"/>
          <w:szCs w:val="20"/>
          <w:highlight w:val="yellow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8"/>
          <w:szCs w:val="20"/>
          <w:highlight w:val="yellow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8"/>
          <w:szCs w:val="20"/>
          <w:highlight w:val="yellow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b/>
          <w:color w:val="000000"/>
          <w:sz w:val="28"/>
          <w:szCs w:val="20"/>
          <w:highlight w:val="yellow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28"/>
          <w:szCs w:val="20"/>
          <w:highlight w:val="yellow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8"/>
          <w:szCs w:val="20"/>
          <w:highlight w:val="yellow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8"/>
          <w:szCs w:val="20"/>
          <w:highlight w:val="yellow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b/>
          <w:color w:val="000000"/>
          <w:sz w:val="28"/>
          <w:szCs w:val="20"/>
          <w:highlight w:val="yellow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28"/>
          <w:szCs w:val="20"/>
          <w:highlight w:val="yellow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8"/>
          <w:szCs w:val="20"/>
          <w:highlight w:val="yellow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8"/>
          <w:szCs w:val="20"/>
          <w:highlight w:val="yellow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b/>
          <w:color w:val="000000"/>
          <w:sz w:val="32"/>
          <w:szCs w:val="32"/>
          <w:highlight w:val="yellow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32"/>
          <w:szCs w:val="32"/>
          <w:highlight w:val="yellow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32"/>
          <w:szCs w:val="32"/>
          <w:highlight w:val="yellow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32"/>
          <w:szCs w:val="32"/>
          <w:highlight w:val="yellow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b/>
          <w:color w:val="000000"/>
          <w:sz w:val="44"/>
          <w:szCs w:val="44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44"/>
          <w:szCs w:val="44"/>
          <w:lang w:eastAsia="ru-RU"/>
        </w:rPr>
        <w:t xml:space="preserve">АДМИНИСТРАЦИЯ </w:t>
      </w:r>
      <w:r>
        <w:rPr>
          <w:rFonts w:ascii="Times New Roman" w:hAnsi="Times New Roman" w:eastAsia="Times New Roman"/>
          <w:b/>
          <w:color w:val="000000"/>
          <w:sz w:val="44"/>
          <w:szCs w:val="44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44"/>
          <w:szCs w:val="4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  <w:t xml:space="preserve">ПЕЧЕНГСКОГО МУНИЦИПАЛЬНОГО ОКРУГА</w:t>
      </w: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  <w:t xml:space="preserve">МУРМАНСКОЙ ОБЛАСТИ</w:t>
      </w: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b/>
          <w:color w:val="000000"/>
          <w:sz w:val="16"/>
          <w:szCs w:val="16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16"/>
          <w:szCs w:val="16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16"/>
          <w:szCs w:val="16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16"/>
          <w:szCs w:val="16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b/>
          <w:color w:val="000000"/>
          <w:sz w:val="44"/>
          <w:szCs w:val="44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44"/>
          <w:szCs w:val="44"/>
          <w:lang w:eastAsia="ru-RU"/>
        </w:rPr>
        <w:t xml:space="preserve">ПОСТАНОВЛЕНИЕ </w:t>
      </w:r>
      <w:r>
        <w:rPr>
          <w:rFonts w:ascii="Times New Roman" w:hAnsi="Times New Roman" w:eastAsia="Times New Roman"/>
          <w:b/>
          <w:color w:val="000000"/>
          <w:sz w:val="44"/>
          <w:szCs w:val="44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44"/>
          <w:szCs w:val="4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color w:val="000000"/>
          <w:sz w:val="20"/>
          <w:szCs w:val="20"/>
          <w:highlight w:val="yellow"/>
          <w:lang w:eastAsia="ru-RU"/>
        </w:rPr>
      </w:pPr>
      <w:r>
        <w:rPr>
          <w:rFonts w:ascii="Times New Roman" w:hAnsi="Times New Roman" w:eastAsia="Times New Roman"/>
          <w:color w:val="000000"/>
          <w:sz w:val="20"/>
          <w:szCs w:val="20"/>
          <w:highlight w:val="yellow"/>
          <w:lang w:eastAsia="ru-RU"/>
        </w:rPr>
      </w:r>
      <w:r>
        <w:rPr>
          <w:rFonts w:ascii="Times New Roman" w:hAnsi="Times New Roman" w:eastAsia="Times New Roman"/>
          <w:color w:val="000000"/>
          <w:sz w:val="20"/>
          <w:szCs w:val="20"/>
          <w:highlight w:val="yellow"/>
          <w:lang w:eastAsia="ru-RU"/>
        </w:rPr>
      </w:r>
      <w:r>
        <w:rPr>
          <w:rFonts w:ascii="Times New Roman" w:hAnsi="Times New Roman" w:eastAsia="Times New Roman"/>
          <w:color w:val="000000"/>
          <w:sz w:val="20"/>
          <w:szCs w:val="20"/>
          <w:highlight w:val="yellow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color w:val="000000"/>
          <w:sz w:val="20"/>
          <w:szCs w:val="20"/>
          <w:highlight w:val="yellow"/>
          <w:lang w:eastAsia="ru-RU"/>
        </w:rPr>
      </w:pPr>
      <w:r>
        <w:rPr>
          <w:rFonts w:ascii="Times New Roman" w:hAnsi="Times New Roman" w:eastAsia="Times New Roman"/>
          <w:color w:val="000000"/>
          <w:sz w:val="20"/>
          <w:szCs w:val="20"/>
          <w:highlight w:val="yellow"/>
          <w:lang w:eastAsia="ru-RU"/>
        </w:rPr>
      </w:r>
      <w:r>
        <w:rPr>
          <w:rFonts w:ascii="Times New Roman" w:hAnsi="Times New Roman" w:eastAsia="Times New Roman"/>
          <w:color w:val="000000"/>
          <w:sz w:val="20"/>
          <w:szCs w:val="20"/>
          <w:highlight w:val="yellow"/>
          <w:lang w:eastAsia="ru-RU"/>
        </w:rPr>
      </w:r>
      <w:r>
        <w:rPr>
          <w:rFonts w:ascii="Times New Roman" w:hAnsi="Times New Roman" w:eastAsia="Times New Roman"/>
          <w:color w:val="000000"/>
          <w:sz w:val="20"/>
          <w:szCs w:val="20"/>
          <w:highlight w:val="yellow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 xml:space="preserve">от 08.04.2026     </w:t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ab/>
        <w:t xml:space="preserve">              № 537</w:t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/>
          <w:sz w:val="20"/>
          <w:szCs w:val="18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 xml:space="preserve">п.г.т. Никель</w:t>
      </w:r>
      <w:r>
        <w:rPr>
          <w:rFonts w:ascii="Times New Roman" w:hAnsi="Times New Roman" w:eastAsia="Times New Roman"/>
          <w:sz w:val="20"/>
          <w:szCs w:val="18"/>
          <w:lang w:eastAsia="ru-RU"/>
        </w:rPr>
      </w:r>
      <w:r>
        <w:rPr>
          <w:rFonts w:ascii="Times New Roman" w:hAnsi="Times New Roman" w:eastAsia="Times New Roman"/>
          <w:sz w:val="20"/>
          <w:szCs w:val="18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/>
          <w:sz w:val="20"/>
          <w:szCs w:val="18"/>
          <w:lang w:eastAsia="ru-RU"/>
        </w:rPr>
      </w:pPr>
      <w:r>
        <w:rPr>
          <w:rFonts w:ascii="Times New Roman" w:hAnsi="Times New Roman" w:eastAsia="Times New Roman"/>
          <w:sz w:val="20"/>
          <w:szCs w:val="18"/>
          <w:lang w:eastAsia="ru-RU"/>
        </w:rPr>
      </w:r>
      <w:r>
        <w:rPr>
          <w:rFonts w:ascii="Times New Roman" w:hAnsi="Times New Roman" w:eastAsia="Times New Roman"/>
          <w:sz w:val="20"/>
          <w:szCs w:val="18"/>
          <w:lang w:eastAsia="ru-RU"/>
        </w:rPr>
      </w:r>
      <w:r>
        <w:rPr>
          <w:rFonts w:ascii="Times New Roman" w:hAnsi="Times New Roman" w:eastAsia="Times New Roman"/>
          <w:sz w:val="20"/>
          <w:szCs w:val="18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/>
          <w:sz w:val="20"/>
          <w:szCs w:val="18"/>
          <w:lang w:eastAsia="ru-RU"/>
        </w:rPr>
      </w:pPr>
      <w:r>
        <w:rPr>
          <w:rFonts w:ascii="Times New Roman" w:hAnsi="Times New Roman" w:eastAsia="Times New Roman"/>
          <w:sz w:val="20"/>
          <w:szCs w:val="18"/>
          <w:lang w:eastAsia="ru-RU"/>
        </w:rPr>
      </w:r>
      <w:r>
        <w:rPr>
          <w:rFonts w:ascii="Times New Roman" w:hAnsi="Times New Roman" w:eastAsia="Times New Roman"/>
          <w:sz w:val="20"/>
          <w:szCs w:val="18"/>
          <w:lang w:eastAsia="ru-RU"/>
        </w:rPr>
      </w:r>
      <w:r>
        <w:rPr>
          <w:rFonts w:ascii="Times New Roman" w:hAnsi="Times New Roman" w:eastAsia="Times New Roman"/>
          <w:sz w:val="20"/>
          <w:szCs w:val="18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/>
          <w:b/>
          <w:sz w:val="20"/>
          <w:szCs w:val="20"/>
          <w:lang w:eastAsia="ru-RU"/>
        </w:rPr>
      </w:pPr>
      <w:r>
        <w:rPr>
          <w:rFonts w:ascii="Times New Roman" w:hAnsi="Times New Roman" w:eastAsia="Times New Roman"/>
          <w:b/>
          <w:sz w:val="20"/>
          <w:szCs w:val="20"/>
          <w:lang w:eastAsia="ru-RU"/>
        </w:rPr>
        <w:t xml:space="preserve">О</w:t>
      </w:r>
      <w:r>
        <w:rPr>
          <w:rFonts w:ascii="Times New Roman" w:hAnsi="Times New Roman" w:eastAsia="Times New Roman"/>
          <w:b/>
          <w:sz w:val="20"/>
          <w:szCs w:val="20"/>
          <w:lang w:eastAsia="ru-RU"/>
        </w:rPr>
        <w:t xml:space="preserve"> внесении изменений в</w:t>
      </w:r>
      <w:r>
        <w:rPr>
          <w:rFonts w:ascii="Times New Roman" w:hAnsi="Times New Roman" w:eastAsia="Times New Roman"/>
          <w:b/>
          <w:sz w:val="20"/>
          <w:szCs w:val="20"/>
          <w:lang w:eastAsia="ru-RU"/>
        </w:rPr>
        <w:t xml:space="preserve"> муниципальн</w:t>
      </w:r>
      <w:r>
        <w:rPr>
          <w:rFonts w:ascii="Times New Roman" w:hAnsi="Times New Roman" w:eastAsia="Times New Roman"/>
          <w:b/>
          <w:sz w:val="20"/>
          <w:szCs w:val="20"/>
          <w:lang w:eastAsia="ru-RU"/>
        </w:rPr>
        <w:t xml:space="preserve">ую</w:t>
      </w:r>
      <w:r>
        <w:rPr>
          <w:rFonts w:ascii="Times New Roman" w:hAnsi="Times New Roman" w:eastAsia="Times New Roman"/>
          <w:b/>
          <w:sz w:val="20"/>
          <w:szCs w:val="20"/>
          <w:lang w:eastAsia="ru-RU"/>
        </w:rPr>
        <w:t xml:space="preserve"> программ</w:t>
      </w:r>
      <w:r>
        <w:rPr>
          <w:rFonts w:ascii="Times New Roman" w:hAnsi="Times New Roman" w:eastAsia="Times New Roman"/>
          <w:b/>
          <w:sz w:val="20"/>
          <w:szCs w:val="20"/>
          <w:lang w:eastAsia="ru-RU"/>
        </w:rPr>
        <w:t xml:space="preserve">у</w:t>
      </w:r>
      <w:r>
        <w:rPr>
          <w:rFonts w:ascii="Times New Roman" w:hAnsi="Times New Roman" w:eastAsia="Times New Roman"/>
          <w:b/>
          <w:sz w:val="20"/>
          <w:szCs w:val="20"/>
          <w:lang w:eastAsia="ru-RU"/>
        </w:rPr>
        <w:t xml:space="preserve"> Печенгского муниципального округа</w:t>
      </w:r>
      <w:r>
        <w:rPr>
          <w:rFonts w:ascii="Times New Roman" w:hAnsi="Times New Roman" w:eastAsia="Times New Roman"/>
          <w:b/>
          <w:sz w:val="20"/>
          <w:szCs w:val="20"/>
          <w:lang w:eastAsia="ru-RU"/>
        </w:rPr>
      </w:r>
      <w:r>
        <w:rPr>
          <w:rFonts w:ascii="Times New Roman" w:hAnsi="Times New Roman" w:eastAsia="Times New Roman"/>
          <w:b/>
          <w:sz w:val="20"/>
          <w:szCs w:val="20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/>
          <w:b/>
          <w:sz w:val="20"/>
          <w:szCs w:val="20"/>
          <w:lang w:eastAsia="ru-RU"/>
        </w:rPr>
      </w:pPr>
      <w:r>
        <w:rPr>
          <w:rFonts w:ascii="Times New Roman" w:hAnsi="Times New Roman" w:eastAsia="Times New Roman"/>
          <w:b/>
          <w:sz w:val="20"/>
          <w:szCs w:val="20"/>
          <w:lang w:eastAsia="ru-RU"/>
        </w:rPr>
        <w:t xml:space="preserve">«Муниципальное управление: эффективный муниципалитет» на 2026 - 2028 годы</w:t>
      </w:r>
      <w:r>
        <w:rPr>
          <w:rFonts w:ascii="Times New Roman" w:hAnsi="Times New Roman" w:eastAsia="Times New Roman"/>
          <w:b/>
          <w:sz w:val="20"/>
          <w:szCs w:val="20"/>
          <w:lang w:eastAsia="ru-RU"/>
        </w:rPr>
        <w:t xml:space="preserve">, утвержденную постановлением администрации Печенгского муниципального округа от 12.11.2025 № 1836</w:t>
      </w:r>
      <w:r>
        <w:rPr>
          <w:rFonts w:ascii="Times New Roman" w:hAnsi="Times New Roman" w:eastAsia="Times New Roman"/>
          <w:b/>
          <w:sz w:val="20"/>
          <w:szCs w:val="20"/>
          <w:lang w:eastAsia="ru-RU"/>
        </w:rPr>
      </w:r>
      <w:r>
        <w:rPr>
          <w:rFonts w:ascii="Times New Roman" w:hAnsi="Times New Roman" w:eastAsia="Times New Roman"/>
          <w:b/>
          <w:sz w:val="20"/>
          <w:szCs w:val="20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/>
          <w:b/>
          <w:bCs/>
          <w:sz w:val="20"/>
          <w:szCs w:val="20"/>
          <w:lang w:eastAsia="ru-RU"/>
        </w:rPr>
      </w:pPr>
      <w:r>
        <w:rPr>
          <w:rFonts w:ascii="Times New Roman" w:hAnsi="Times New Roman" w:eastAsia="Times New Roman"/>
          <w:b/>
          <w:bCs/>
          <w:sz w:val="20"/>
          <w:szCs w:val="20"/>
          <w:lang w:eastAsia="ru-RU"/>
        </w:rPr>
      </w:r>
      <w:r>
        <w:rPr>
          <w:rFonts w:ascii="Times New Roman" w:hAnsi="Times New Roman" w:eastAsia="Times New Roman"/>
          <w:b/>
          <w:bCs/>
          <w:sz w:val="20"/>
          <w:szCs w:val="20"/>
          <w:lang w:eastAsia="ru-RU"/>
        </w:rPr>
      </w:r>
      <w:r>
        <w:rPr>
          <w:rFonts w:ascii="Times New Roman" w:hAnsi="Times New Roman" w:eastAsia="Times New Roman"/>
          <w:b/>
          <w:bCs/>
          <w:sz w:val="20"/>
          <w:szCs w:val="20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/>
          <w:b/>
          <w:bCs/>
          <w:sz w:val="20"/>
          <w:szCs w:val="20"/>
          <w:lang w:eastAsia="ru-RU"/>
        </w:rPr>
      </w:pPr>
      <w:r>
        <w:rPr>
          <w:rFonts w:ascii="Times New Roman" w:hAnsi="Times New Roman" w:eastAsia="Times New Roman"/>
          <w:b/>
          <w:bCs/>
          <w:sz w:val="20"/>
          <w:szCs w:val="20"/>
          <w:lang w:eastAsia="ru-RU"/>
        </w:rPr>
      </w:r>
      <w:r>
        <w:rPr>
          <w:rFonts w:ascii="Times New Roman" w:hAnsi="Times New Roman" w:eastAsia="Times New Roman"/>
          <w:b/>
          <w:bCs/>
          <w:sz w:val="20"/>
          <w:szCs w:val="20"/>
          <w:lang w:eastAsia="ru-RU"/>
        </w:rPr>
      </w:r>
      <w:r>
        <w:rPr>
          <w:rFonts w:ascii="Times New Roman" w:hAnsi="Times New Roman" w:eastAsia="Times New Roman"/>
          <w:b/>
          <w:bCs/>
          <w:sz w:val="20"/>
          <w:szCs w:val="20"/>
          <w:lang w:eastAsia="ru-RU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eastAsia="Times New Roman"/>
          <w:sz w:val="24"/>
          <w:szCs w:val="24"/>
          <w:lang w:eastAsia="ru-RU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12"/>
          <w:between w:val="none" w:color="000000" w:sz="4" w:space="0"/>
        </w:pBd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Руководствуясь статьей 179 Бюджетного кодекса Российской Федерации, Порядком разработки,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 реализации и оценки эффективности муниципальных программ Печенгского муниципального округа, утвержденным постановлением администрации Печенгского муниципального округа от 18.09.2025 № 1488, в целях повышения эффективности использования бюджетных средств, </w:t>
      </w: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ind w:firstLine="720"/>
        <w:jc w:val="both"/>
        <w:spacing w:after="0" w:line="240" w:lineRule="auto"/>
        <w:rPr>
          <w:rFonts w:ascii="Times New Roman" w:hAnsi="Times New Roman" w:eastAsia="Times New Roman"/>
          <w:sz w:val="24"/>
          <w:szCs w:val="18"/>
          <w:lang w:eastAsia="ru-RU"/>
        </w:rPr>
      </w:pPr>
      <w:r>
        <w:rPr>
          <w:rFonts w:ascii="Times New Roman" w:hAnsi="Times New Roman" w:eastAsia="Times New Roman"/>
          <w:sz w:val="24"/>
          <w:szCs w:val="18"/>
          <w:lang w:eastAsia="ru-RU"/>
        </w:rPr>
      </w:r>
      <w:r>
        <w:rPr>
          <w:rFonts w:ascii="Times New Roman" w:hAnsi="Times New Roman" w:eastAsia="Times New Roman"/>
          <w:sz w:val="24"/>
          <w:szCs w:val="18"/>
          <w:lang w:eastAsia="ru-RU"/>
        </w:rPr>
      </w:r>
      <w:r>
        <w:rPr>
          <w:rFonts w:ascii="Times New Roman" w:hAnsi="Times New Roman" w:eastAsia="Times New Roman"/>
          <w:sz w:val="24"/>
          <w:szCs w:val="18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eastAsia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/>
          <w:b/>
          <w:sz w:val="24"/>
          <w:szCs w:val="24"/>
          <w:lang w:eastAsia="ru-RU"/>
        </w:rPr>
        <w:t xml:space="preserve">ПОСТАНОВЛЯЮ:</w:t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1. Муниципальную программу Пече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нгского муниципального округа «Муниципальное управление: эффективный муниципалитет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» на 2026 - 2028 годы, утвержденную постановлением администрации Печенгского муниципального округа </w:t>
        <w:br/>
        <w:t xml:space="preserve">от 12.11.2025 № 18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36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 изложить в редакции согласно приложению.</w:t>
      </w: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widowControl w:val="off"/>
        <w:tabs>
          <w:tab w:val="left" w:pos="0" w:leader="none"/>
          <w:tab w:val="left" w:pos="993" w:leader="none"/>
          <w:tab w:val="left" w:pos="1276" w:leader="none"/>
        </w:tabs>
        <w:rPr>
          <w:rFonts w:ascii="Times New Roman" w:hAnsi="Times New Roman" w:eastAsia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 </w:t>
      </w:r>
      <w:r>
        <w:rPr>
          <w:rFonts w:ascii="Times New Roman" w:hAnsi="Times New Roman" w:eastAsia="Times New Roman"/>
          <w:sz w:val="24"/>
          <w:szCs w:val="24"/>
        </w:rPr>
        <w:t xml:space="preserve">Настоящее постановление вступает в силу с момента подписания.</w:t>
      </w:r>
      <w:r>
        <w:rPr>
          <w:rFonts w:ascii="Times New Roman" w:hAnsi="Times New Roman" w:eastAsia="Times New Roman"/>
          <w:sz w:val="24"/>
          <w:szCs w:val="24"/>
        </w:rPr>
      </w:r>
      <w:r>
        <w:rPr>
          <w:rFonts w:ascii="Times New Roman" w:hAnsi="Times New Roman" w:eastAsia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widowControl w:val="off"/>
        <w:tabs>
          <w:tab w:val="left" w:pos="0" w:leader="none"/>
          <w:tab w:val="left" w:pos="993" w:leader="none"/>
          <w:tab w:val="left" w:pos="1276" w:leader="none"/>
        </w:tabs>
        <w:rPr>
          <w:rFonts w:ascii="Times New Roman" w:hAnsi="Times New Roman" w:eastAsia="Times New Roman"/>
          <w:sz w:val="24"/>
          <w:szCs w:val="24"/>
        </w:rPr>
      </w:pPr>
      <w:r>
        <w:rPr>
          <w:rFonts w:ascii="Times New Roman" w:hAnsi="Times New Roman" w:eastAsia="Times New Roman"/>
          <w:sz w:val="24"/>
          <w:szCs w:val="24"/>
        </w:rPr>
        <w:t xml:space="preserve">3. Настоящее постановление опубликовать в официальном издании газета «Печенга» и разместить на сайте Печенгского муниципального округа в сети Интернет. </w:t>
      </w:r>
      <w:r>
        <w:rPr>
          <w:rFonts w:ascii="Times New Roman" w:hAnsi="Times New Roman" w:eastAsia="Times New Roman"/>
          <w:sz w:val="24"/>
          <w:szCs w:val="24"/>
        </w:rPr>
      </w:r>
      <w:r>
        <w:rPr>
          <w:rFonts w:ascii="Times New Roman" w:hAnsi="Times New Roman" w:eastAsia="Times New Roman"/>
          <w:sz w:val="24"/>
          <w:szCs w:val="24"/>
        </w:rPr>
      </w:r>
    </w:p>
    <w:p>
      <w:pPr>
        <w:numPr>
          <w:ilvl w:val="0"/>
          <w:numId w:val="16"/>
        </w:numPr>
        <w:contextualSpacing/>
        <w:jc w:val="both"/>
        <w:spacing w:after="0" w:line="240" w:lineRule="auto"/>
        <w:widowControl w:val="off"/>
        <w:tabs>
          <w:tab w:val="left" w:pos="567" w:leader="none"/>
          <w:tab w:val="left" w:pos="993" w:leader="none"/>
          <w:tab w:val="left" w:pos="1276" w:leader="none"/>
        </w:tabs>
        <w:rPr>
          <w:rFonts w:ascii="Times New Roman" w:hAnsi="Times New Roman" w:eastAsia="Times New Roman"/>
          <w:sz w:val="24"/>
          <w:szCs w:val="24"/>
          <w:lang w:eastAsia="ru-RU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Контроль за исполнением настоящего постановления оставляю за собой.</w:t>
      </w: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contextualSpacing/>
        <w:ind w:left="709"/>
        <w:jc w:val="both"/>
        <w:spacing w:before="240" w:after="0" w:line="240" w:lineRule="auto"/>
        <w:tabs>
          <w:tab w:val="left" w:pos="851" w:leader="none"/>
          <w:tab w:val="left" w:pos="993" w:leader="none"/>
          <w:tab w:val="right" w:pos="9355" w:leader="none"/>
          <w:tab w:val="right" w:pos="9498" w:leader="none"/>
        </w:tabs>
        <w:rPr>
          <w:rFonts w:ascii="Times New Roman" w:hAnsi="Times New Roman" w:eastAsia="Times New Roman"/>
          <w:sz w:val="28"/>
          <w:szCs w:val="24"/>
          <w:lang w:eastAsia="ru-RU"/>
        </w:rPr>
      </w:pPr>
      <w:r>
        <w:rPr>
          <w:rFonts w:ascii="Times New Roman" w:hAnsi="Times New Roman" w:eastAsia="Times New Roman"/>
          <w:sz w:val="28"/>
          <w:szCs w:val="24"/>
          <w:lang w:eastAsia="ru-RU"/>
        </w:rPr>
      </w:r>
      <w:r>
        <w:rPr>
          <w:rFonts w:ascii="Times New Roman" w:hAnsi="Times New Roman" w:eastAsia="Times New Roman"/>
          <w:sz w:val="28"/>
          <w:szCs w:val="24"/>
          <w:lang w:eastAsia="ru-RU"/>
        </w:rPr>
      </w:r>
      <w:r>
        <w:rPr>
          <w:rFonts w:ascii="Times New Roman" w:hAnsi="Times New Roman" w:eastAsia="Times New Roman"/>
          <w:sz w:val="28"/>
          <w:szCs w:val="24"/>
          <w:lang w:eastAsia="ru-RU"/>
        </w:rPr>
      </w:r>
    </w:p>
    <w:p>
      <w:pPr>
        <w:contextualSpacing/>
        <w:ind w:left="709"/>
        <w:jc w:val="both"/>
        <w:spacing w:before="240" w:after="0" w:line="240" w:lineRule="auto"/>
        <w:tabs>
          <w:tab w:val="left" w:pos="851" w:leader="none"/>
          <w:tab w:val="left" w:pos="993" w:leader="none"/>
          <w:tab w:val="right" w:pos="9355" w:leader="none"/>
          <w:tab w:val="right" w:pos="9498" w:leader="none"/>
        </w:tabs>
        <w:rPr>
          <w:rFonts w:ascii="Times New Roman" w:hAnsi="Times New Roman" w:eastAsia="Times New Roman"/>
          <w:sz w:val="28"/>
          <w:szCs w:val="24"/>
          <w:lang w:eastAsia="ru-RU"/>
        </w:rPr>
      </w:pPr>
      <w:r>
        <w:rPr>
          <w:rFonts w:ascii="Times New Roman" w:hAnsi="Times New Roman" w:eastAsia="Times New Roman"/>
          <w:sz w:val="28"/>
          <w:szCs w:val="24"/>
          <w:lang w:eastAsia="ru-RU"/>
        </w:rPr>
      </w:r>
      <w:r>
        <w:rPr>
          <w:rFonts w:ascii="Times New Roman" w:hAnsi="Times New Roman" w:eastAsia="Times New Roman"/>
          <w:sz w:val="28"/>
          <w:szCs w:val="24"/>
          <w:lang w:eastAsia="ru-RU"/>
        </w:rPr>
      </w:r>
      <w:r>
        <w:rPr>
          <w:rFonts w:ascii="Times New Roman" w:hAnsi="Times New Roman" w:eastAsia="Times New Roman"/>
          <w:sz w:val="28"/>
          <w:szCs w:val="24"/>
          <w:lang w:eastAsia="ru-RU"/>
        </w:rPr>
      </w:r>
    </w:p>
    <w:p>
      <w:pPr>
        <w:jc w:val="both"/>
        <w:spacing w:after="0" w:line="240" w:lineRule="auto"/>
        <w:tabs>
          <w:tab w:val="right" w:pos="9355" w:leader="none"/>
        </w:tabs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Глава Печенгского муниципального округа                                                         А.С. Пеньшин</w:t>
      </w: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/>
          <w:sz w:val="24"/>
          <w:szCs w:val="18"/>
          <w:lang w:eastAsia="ru-RU"/>
        </w:rPr>
      </w:pPr>
      <w:r>
        <w:rPr>
          <w:rFonts w:ascii="Times New Roman" w:hAnsi="Times New Roman" w:eastAsia="Times New Roman"/>
          <w:sz w:val="24"/>
          <w:szCs w:val="18"/>
          <w:lang w:eastAsia="ru-RU"/>
        </w:rPr>
      </w:r>
      <w:r>
        <w:rPr>
          <w:rFonts w:ascii="Times New Roman" w:hAnsi="Times New Roman" w:eastAsia="Times New Roman"/>
          <w:sz w:val="24"/>
          <w:szCs w:val="18"/>
          <w:lang w:eastAsia="ru-RU"/>
        </w:rPr>
      </w:r>
      <w:r>
        <w:rPr>
          <w:rFonts w:ascii="Times New Roman" w:hAnsi="Times New Roman" w:eastAsia="Times New Roman"/>
          <w:sz w:val="24"/>
          <w:szCs w:val="18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highlight w:val="none"/>
          <w:lang w:eastAsia="ru-RU"/>
        </w:rPr>
      </w:pPr>
      <w:r>
        <w:rPr>
          <w:rFonts w:ascii="Times New Roman" w:hAnsi="Times New Roman" w:eastAsia="Times New Roman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/>
          <w:sz w:val="20"/>
          <w:szCs w:val="20"/>
          <w:highlight w:val="none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highlight w:val="none"/>
          <w:lang w:eastAsia="ru-RU"/>
        </w:rPr>
      </w:pPr>
      <w:r>
        <w:rPr>
          <w:rFonts w:ascii="Times New Roman" w:hAnsi="Times New Roman" w:eastAsia="Times New Roman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/>
          <w:sz w:val="20"/>
          <w:szCs w:val="20"/>
          <w:highlight w:val="none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highlight w:val="none"/>
          <w:lang w:eastAsia="ru-RU"/>
        </w:rPr>
      </w:pPr>
      <w:r>
        <w:rPr>
          <w:rFonts w:ascii="Times New Roman" w:hAnsi="Times New Roman" w:eastAsia="Times New Roman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/>
          <w:sz w:val="20"/>
          <w:szCs w:val="20"/>
          <w:highlight w:val="none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highlight w:val="none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  <w:t xml:space="preserve">Рыжкова А.А., </w:t>
      </w:r>
      <w:r>
        <w:rPr>
          <w:rFonts w:ascii="Times New Roman" w:hAnsi="Times New Roman" w:eastAsia="Times New Roman"/>
          <w:sz w:val="20"/>
          <w:szCs w:val="20"/>
          <w:lang w:eastAsia="ru-RU"/>
        </w:rPr>
        <w:t xml:space="preserve">25151</w:t>
      </w:r>
      <w:r>
        <w:rPr>
          <w:rFonts w:ascii="Times New Roman" w:hAnsi="Times New Roman" w:eastAsia="Times New Roman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/>
          <w:sz w:val="20"/>
          <w:szCs w:val="20"/>
          <w:highlight w:val="none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highlight w:val="none"/>
          <w:lang w:eastAsia="ru-RU"/>
        </w:rPr>
      </w:pPr>
      <w:r>
        <w:rPr>
          <w:rFonts w:ascii="Times New Roman" w:hAnsi="Times New Roman" w:eastAsia="Times New Roman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/>
          <w:sz w:val="20"/>
          <w:szCs w:val="20"/>
          <w:highlight w:val="none"/>
          <w:lang w:eastAsia="ru-RU"/>
        </w:rPr>
      </w:r>
    </w:p>
    <w:p>
      <w:pPr>
        <w:ind w:left="5529" w:right="-1"/>
        <w:jc w:val="both"/>
        <w:spacing w:after="0" w:line="240" w:lineRule="auto"/>
        <w:tabs>
          <w:tab w:val="left" w:pos="0" w:leader="none"/>
          <w:tab w:val="left" w:pos="284" w:leader="none"/>
          <w:tab w:val="left" w:pos="11620" w:leader="none"/>
        </w:tabs>
        <w:rPr>
          <w:rFonts w:ascii="Times New Roman" w:hAnsi="Times New Roman" w:eastAsia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/>
          <w:bCs/>
          <w:sz w:val="24"/>
          <w:szCs w:val="24"/>
          <w:lang w:eastAsia="ru-RU"/>
        </w:rPr>
        <w:t xml:space="preserve">Приложение</w:t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</w:p>
    <w:p>
      <w:pPr>
        <w:ind w:left="5529" w:right="-1"/>
        <w:jc w:val="both"/>
        <w:spacing w:after="0" w:line="240" w:lineRule="auto"/>
        <w:tabs>
          <w:tab w:val="left" w:pos="284" w:leader="none"/>
          <w:tab w:val="left" w:pos="5103" w:leader="none"/>
          <w:tab w:val="left" w:pos="5387" w:leader="none"/>
        </w:tabs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к постановлению администрации Печенгского муниципального округа  </w:t>
      </w: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ind w:left="5529" w:right="-1"/>
        <w:jc w:val="both"/>
        <w:spacing w:after="0" w:line="240" w:lineRule="auto"/>
        <w:tabs>
          <w:tab w:val="left" w:pos="284" w:leader="none"/>
          <w:tab w:val="left" w:pos="5103" w:leader="none"/>
          <w:tab w:val="left" w:pos="5387" w:leader="none"/>
        </w:tabs>
        <w:rPr>
          <w:rFonts w:ascii="Times New Roman" w:hAnsi="Times New Roman"/>
          <w:i/>
          <w:color w:val="0000ff"/>
          <w:sz w:val="20"/>
          <w:szCs w:val="20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от 08.04.2026 № 537</w:t>
      </w:r>
      <w:r>
        <w:rPr>
          <w:rFonts w:ascii="Times New Roman" w:hAnsi="Times New Roman"/>
          <w:i/>
          <w:color w:val="0000ff"/>
          <w:sz w:val="20"/>
          <w:szCs w:val="20"/>
        </w:rPr>
      </w:r>
      <w:r>
        <w:rPr>
          <w:rFonts w:ascii="Times New Roman" w:hAnsi="Times New Roman"/>
          <w:i/>
          <w:color w:val="0000ff"/>
          <w:sz w:val="20"/>
          <w:szCs w:val="20"/>
        </w:rPr>
      </w:r>
    </w:p>
    <w:p>
      <w:pPr>
        <w:ind w:left="5529" w:right="-1"/>
        <w:jc w:val="both"/>
        <w:spacing w:after="0" w:line="240" w:lineRule="auto"/>
        <w:tabs>
          <w:tab w:val="left" w:pos="0" w:leader="none"/>
          <w:tab w:val="left" w:pos="284" w:leader="none"/>
          <w:tab w:val="left" w:pos="11620" w:leader="none"/>
        </w:tabs>
        <w:rPr>
          <w:rFonts w:ascii="Times New Roman" w:hAnsi="Times New Roman" w:eastAsia="Times New Roman"/>
          <w:bCs/>
          <w:sz w:val="24"/>
          <w:szCs w:val="24"/>
          <w:lang w:eastAsia="ru-RU"/>
        </w:rPr>
      </w:pPr>
      <w:r>
        <w:rPr>
          <w:rFonts w:ascii="Times New Roman" w:hAnsi="Times New Roman" w:eastAsia="Times New Roman"/>
          <w:bCs/>
          <w:sz w:val="24"/>
          <w:szCs w:val="24"/>
          <w:lang w:eastAsia="ru-RU"/>
        </w:rPr>
      </w:r>
      <w:r>
        <w:rPr>
          <w:rFonts w:ascii="Times New Roman" w:hAnsi="Times New Roman" w:eastAsia="Times New Roman"/>
          <w:bCs/>
          <w:sz w:val="24"/>
          <w:szCs w:val="24"/>
          <w:lang w:eastAsia="ru-RU"/>
        </w:rPr>
      </w:r>
      <w:r>
        <w:rPr>
          <w:rFonts w:ascii="Times New Roman" w:hAnsi="Times New Roman" w:eastAsia="Times New Roman"/>
          <w:bCs/>
          <w:sz w:val="24"/>
          <w:szCs w:val="24"/>
          <w:lang w:eastAsia="ru-RU"/>
        </w:rPr>
      </w:r>
    </w:p>
    <w:p>
      <w:pPr>
        <w:ind w:left="5529" w:right="-1"/>
        <w:jc w:val="both"/>
        <w:spacing w:after="0" w:line="240" w:lineRule="auto"/>
        <w:tabs>
          <w:tab w:val="left" w:pos="0" w:leader="none"/>
          <w:tab w:val="left" w:pos="284" w:leader="none"/>
          <w:tab w:val="left" w:pos="11620" w:leader="none"/>
        </w:tabs>
        <w:rPr>
          <w:rFonts w:ascii="Times New Roman" w:hAnsi="Times New Roman" w:eastAsia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/>
          <w:bCs/>
          <w:sz w:val="24"/>
          <w:szCs w:val="24"/>
          <w:lang w:eastAsia="ru-RU"/>
        </w:rPr>
        <w:t xml:space="preserve">«</w:t>
      </w:r>
      <w:r>
        <w:rPr>
          <w:rFonts w:ascii="Times New Roman" w:hAnsi="Times New Roman" w:eastAsia="Times New Roman"/>
          <w:bCs/>
          <w:sz w:val="24"/>
          <w:szCs w:val="24"/>
          <w:lang w:eastAsia="ru-RU"/>
        </w:rPr>
        <w:t xml:space="preserve">Приложение</w:t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</w:p>
    <w:p>
      <w:pPr>
        <w:ind w:left="5529" w:right="-1"/>
        <w:jc w:val="both"/>
        <w:spacing w:after="0" w:line="240" w:lineRule="auto"/>
        <w:tabs>
          <w:tab w:val="left" w:pos="284" w:leader="none"/>
          <w:tab w:val="left" w:pos="5103" w:leader="none"/>
          <w:tab w:val="left" w:pos="5387" w:leader="none"/>
        </w:tabs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к постановлению администрации Печенгского муниципального округа  </w:t>
      </w: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ind w:left="5529" w:right="-1"/>
        <w:jc w:val="both"/>
        <w:spacing w:after="0" w:line="240" w:lineRule="auto"/>
        <w:tabs>
          <w:tab w:val="left" w:pos="284" w:leader="none"/>
          <w:tab w:val="left" w:pos="5103" w:leader="none"/>
          <w:tab w:val="left" w:pos="5387" w:leader="none"/>
        </w:tabs>
        <w:rPr>
          <w:rFonts w:ascii="Times New Roman" w:hAnsi="Times New Roman"/>
          <w:i/>
          <w:color w:val="0000ff"/>
          <w:sz w:val="20"/>
          <w:szCs w:val="20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от 12.11.2025 № 1836</w:t>
      </w:r>
      <w:r>
        <w:rPr>
          <w:rFonts w:ascii="Times New Roman" w:hAnsi="Times New Roman"/>
          <w:i/>
          <w:color w:val="0000ff"/>
          <w:sz w:val="20"/>
          <w:szCs w:val="20"/>
        </w:rPr>
      </w:r>
      <w:r>
        <w:rPr>
          <w:rFonts w:ascii="Times New Roman" w:hAnsi="Times New Roman"/>
          <w:i/>
          <w:color w:val="0000ff"/>
          <w:sz w:val="20"/>
          <w:szCs w:val="20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/>
          <w:b/>
          <w:sz w:val="24"/>
          <w:szCs w:val="24"/>
        </w:rPr>
        <w:outlineLvl w:val="1"/>
      </w:pP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/>
          <w:b/>
          <w:sz w:val="24"/>
          <w:szCs w:val="24"/>
        </w:rPr>
        <w:outlineLvl w:val="1"/>
      </w:pP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/>
          <w:b/>
          <w:sz w:val="24"/>
          <w:szCs w:val="24"/>
        </w:rPr>
        <w:outlineLvl w:val="1"/>
      </w:pPr>
      <w:r>
        <w:rPr>
          <w:rFonts w:ascii="Times New Roman" w:hAnsi="Times New Roman"/>
          <w:b/>
          <w:sz w:val="24"/>
          <w:szCs w:val="24"/>
        </w:rPr>
        <w:t xml:space="preserve">МУНИЦИПАЛЬНАЯ ПРОГРАММА</w:t>
      </w: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/>
          <w:b/>
          <w:sz w:val="24"/>
          <w:szCs w:val="24"/>
        </w:rPr>
        <w:outlineLvl w:val="1"/>
      </w:pPr>
      <w:r>
        <w:rPr>
          <w:rFonts w:ascii="Times New Roman" w:hAnsi="Times New Roman"/>
          <w:b/>
          <w:sz w:val="24"/>
          <w:szCs w:val="24"/>
        </w:rPr>
        <w:t xml:space="preserve">Печенгского муниципального округа</w:t>
      </w: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/>
          <w:sz w:val="26"/>
          <w:szCs w:val="26"/>
        </w:rPr>
        <w:outlineLvl w:val="1"/>
      </w:pPr>
      <w:r>
        <w:rPr>
          <w:rFonts w:ascii="Times New Roman" w:hAnsi="Times New Roman"/>
          <w:sz w:val="26"/>
          <w:szCs w:val="26"/>
        </w:rPr>
      </w:r>
      <w:r>
        <w:rPr>
          <w:rFonts w:ascii="Times New Roman" w:hAnsi="Times New Roman"/>
          <w:sz w:val="26"/>
          <w:szCs w:val="26"/>
        </w:rPr>
      </w:r>
      <w:r>
        <w:rPr>
          <w:rFonts w:ascii="Times New Roman" w:hAnsi="Times New Roman"/>
          <w:sz w:val="26"/>
          <w:szCs w:val="26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/>
          <w:b/>
          <w:sz w:val="28"/>
          <w:szCs w:val="28"/>
        </w:rPr>
        <w:outlineLvl w:val="1"/>
      </w:pPr>
      <w:r>
        <w:rPr>
          <w:rFonts w:ascii="Times New Roman" w:hAnsi="Times New Roman"/>
          <w:b/>
          <w:sz w:val="28"/>
          <w:szCs w:val="28"/>
        </w:rPr>
        <w:t xml:space="preserve">«МУНИЦИПАЛЬНОЕ УПРАВЛЕНИЕ: </w:t>
      </w:r>
      <w:r>
        <w:rPr>
          <w:rFonts w:ascii="Times New Roman" w:hAnsi="Times New Roman"/>
          <w:b/>
          <w:sz w:val="28"/>
          <w:szCs w:val="28"/>
        </w:rPr>
        <w:br/>
        <w:t xml:space="preserve">ЭФФЕКТИВНЫЙ МУНИЦИПАЛИТЕТ» </w:t>
      </w:r>
      <w:r>
        <w:rPr>
          <w:rFonts w:ascii="Times New Roman" w:hAnsi="Times New Roman"/>
          <w:b/>
          <w:sz w:val="28"/>
          <w:szCs w:val="28"/>
        </w:rPr>
      </w:r>
      <w:r>
        <w:rPr>
          <w:rFonts w:ascii="Times New Roman" w:hAnsi="Times New Roman"/>
          <w:b/>
          <w:sz w:val="28"/>
          <w:szCs w:val="28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/>
          <w:sz w:val="24"/>
          <w:lang w:eastAsia="ru-RU"/>
        </w:rPr>
      </w:pP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/>
          <w:sz w:val="24"/>
          <w:lang w:eastAsia="ru-RU"/>
        </w:rPr>
      </w:pP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/>
          <w:sz w:val="24"/>
          <w:szCs w:val="24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Срок реализации: 2026 - 2028 годы</w:t>
      </w:r>
      <w:r>
        <w:rPr>
          <w:rFonts w:ascii="Times New Roman" w:hAnsi="Times New Roman" w:eastAsia="Times New Roman"/>
          <w:sz w:val="24"/>
          <w:szCs w:val="24"/>
        </w:rPr>
      </w:r>
      <w:r>
        <w:rPr>
          <w:rFonts w:ascii="Times New Roman" w:hAnsi="Times New Roman" w:eastAsia="Times New Roman"/>
          <w:sz w:val="24"/>
          <w:szCs w:val="24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/>
          <w:sz w:val="24"/>
          <w:lang w:eastAsia="ru-RU"/>
        </w:rPr>
      </w:pP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/>
          <w:sz w:val="24"/>
          <w:lang w:eastAsia="ru-RU"/>
        </w:rPr>
      </w:pP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/>
          <w:sz w:val="24"/>
          <w:lang w:eastAsia="ru-RU"/>
        </w:rPr>
      </w:pP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/>
          <w:sz w:val="24"/>
          <w:lang w:eastAsia="ru-RU"/>
        </w:rPr>
      </w:pP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/>
          <w:sz w:val="24"/>
          <w:lang w:eastAsia="ru-RU"/>
        </w:rPr>
      </w:pP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/>
          <w:sz w:val="24"/>
          <w:lang w:eastAsia="ru-RU"/>
        </w:rPr>
      </w:pP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/>
          <w:sz w:val="24"/>
          <w:lang w:eastAsia="ru-RU"/>
        </w:rPr>
      </w:pP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/>
          <w:sz w:val="24"/>
          <w:lang w:eastAsia="ru-RU"/>
        </w:rPr>
      </w:pP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/>
          <w:sz w:val="24"/>
          <w:lang w:eastAsia="ru-RU"/>
        </w:rPr>
      </w:pP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/>
          <w:sz w:val="24"/>
          <w:lang w:eastAsia="ru-RU"/>
        </w:rPr>
      </w:pP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/>
          <w:sz w:val="24"/>
          <w:lang w:eastAsia="ru-RU"/>
        </w:rPr>
      </w:pP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/>
          <w:sz w:val="24"/>
          <w:lang w:eastAsia="ru-RU"/>
        </w:rPr>
      </w:pP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/>
          <w:sz w:val="24"/>
          <w:lang w:eastAsia="ru-RU"/>
        </w:rPr>
      </w:pP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/>
          <w:sz w:val="24"/>
          <w:lang w:eastAsia="ru-RU"/>
        </w:rPr>
      </w:pP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/>
          <w:sz w:val="24"/>
          <w:lang w:eastAsia="ru-RU"/>
        </w:rPr>
      </w:pP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/>
          <w:sz w:val="24"/>
          <w:lang w:eastAsia="ru-RU"/>
        </w:rPr>
      </w:pP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/>
          <w:sz w:val="24"/>
          <w:lang w:eastAsia="ru-RU"/>
        </w:rPr>
      </w:pP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/>
          <w:sz w:val="24"/>
          <w:lang w:eastAsia="ru-RU"/>
        </w:rPr>
      </w:pP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/>
          <w:sz w:val="24"/>
          <w:lang w:eastAsia="ru-RU"/>
        </w:rPr>
      </w:pP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/>
          <w:sz w:val="24"/>
          <w:lang w:eastAsia="ru-RU"/>
        </w:rPr>
      </w:pP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/>
          <w:sz w:val="24"/>
          <w:lang w:eastAsia="ru-RU"/>
        </w:rPr>
      </w:pP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/>
          <w:sz w:val="24"/>
          <w:lang w:eastAsia="ru-RU"/>
        </w:rPr>
      </w:pP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/>
          <w:sz w:val="24"/>
          <w:lang w:eastAsia="ru-RU"/>
        </w:rPr>
      </w:pP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/>
          <w:sz w:val="24"/>
          <w:lang w:eastAsia="ru-RU"/>
        </w:rPr>
      </w:pP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/>
          <w:b/>
          <w:bCs/>
          <w:sz w:val="24"/>
          <w:szCs w:val="24"/>
        </w:rPr>
      </w:pPr>
      <w:r>
        <w:rPr>
          <w:rFonts w:ascii="Times New Roman" w:hAnsi="Times New Roman" w:eastAsia="Times New Roman"/>
          <w:b/>
          <w:bCs/>
          <w:sz w:val="24"/>
          <w:szCs w:val="24"/>
        </w:rPr>
      </w:r>
      <w:r>
        <w:rPr>
          <w:rFonts w:ascii="Times New Roman" w:hAnsi="Times New Roman" w:eastAsia="Times New Roman"/>
          <w:b/>
          <w:bCs/>
          <w:sz w:val="24"/>
          <w:szCs w:val="24"/>
        </w:rPr>
      </w:r>
      <w:r>
        <w:rPr>
          <w:rFonts w:ascii="Times New Roman" w:hAnsi="Times New Roman" w:eastAsia="Times New Roman"/>
          <w:b/>
          <w:bCs/>
          <w:sz w:val="24"/>
          <w:szCs w:val="24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 w:eastAsia="Times New Roman"/>
          <w:b/>
          <w:bCs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bCs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bCs/>
          <w:sz w:val="24"/>
          <w:szCs w:val="24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 w:eastAsia="Times New Roman"/>
          <w:b/>
          <w:bCs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bCs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bCs/>
          <w:sz w:val="24"/>
          <w:szCs w:val="24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 w:eastAsia="Times New Roman"/>
          <w:b/>
          <w:bCs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bCs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bCs/>
          <w:sz w:val="24"/>
          <w:szCs w:val="24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Ответственный исполнитель муниципальной программы – </w:t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  <w:t xml:space="preserve">Администрация Печенгского муниципального округа (Управляющий делами администрации)</w:t>
      </w:r>
      <w:r>
        <w:rPr>
          <w:rFonts w:ascii="Times New Roman" w:hAnsi="Times New Roman" w:eastAsia="Times New Roman"/>
          <w:b/>
          <w:bCs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bCs/>
          <w:sz w:val="24"/>
          <w:szCs w:val="2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/>
          <w:sz w:val="28"/>
          <w:szCs w:val="28"/>
        </w:rPr>
        <w:outlineLvl w:val="1"/>
      </w:pP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 w:eastAsia="Times New Roman"/>
          <w:b/>
          <w:sz w:val="24"/>
          <w:lang w:eastAsia="ru-RU"/>
        </w:rPr>
      </w:r>
      <w:r>
        <w:rPr>
          <w:rFonts w:ascii="Times New Roman" w:hAnsi="Times New Roman" w:eastAsia="Times New Roman"/>
          <w:b/>
          <w:sz w:val="24"/>
          <w:lang w:eastAsia="ru-RU"/>
        </w:rPr>
      </w:r>
      <w:r>
        <w:rPr>
          <w:rFonts w:ascii="Times New Roman" w:hAnsi="Times New Roman" w:eastAsia="Times New Roman"/>
          <w:b/>
          <w:bCs/>
          <w:sz w:val="24"/>
          <w:szCs w:val="2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 w:eastAsia="Times New Roman"/>
          <w:b/>
          <w:bCs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bCs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bCs/>
          <w:sz w:val="24"/>
          <w:szCs w:val="2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 w:eastAsia="Times New Roman"/>
          <w:b/>
          <w:bCs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bCs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bCs/>
          <w:sz w:val="24"/>
          <w:szCs w:val="2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 w:eastAsia="Times New Roman"/>
          <w:b/>
          <w:bCs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bCs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bCs/>
          <w:sz w:val="24"/>
          <w:szCs w:val="2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b/>
          <w:bCs/>
          <w:sz w:val="24"/>
          <w:szCs w:val="24"/>
          <w:lang w:eastAsia="ru-RU"/>
        </w:rPr>
      </w:pPr>
      <w:r/>
      <w:bookmarkStart w:id="0" w:name="P366"/>
      <w:r/>
      <w:bookmarkEnd w:id="0"/>
      <w:r>
        <w:rPr>
          <w:rFonts w:ascii="Times New Roman" w:hAnsi="Times New Roman" w:eastAsia="Times New Roman"/>
          <w:b/>
          <w:bCs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bCs/>
          <w:sz w:val="24"/>
          <w:szCs w:val="2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b/>
          <w:sz w:val="24"/>
          <w:lang w:eastAsia="ru-RU"/>
        </w:rPr>
      </w:pPr>
      <w:r>
        <w:rPr>
          <w:rFonts w:ascii="Times New Roman" w:hAnsi="Times New Roman" w:eastAsia="Times New Roman"/>
          <w:b/>
          <w:sz w:val="24"/>
          <w:lang w:eastAsia="ru-RU"/>
        </w:rPr>
        <w:t xml:space="preserve">ПАСПОРТ</w:t>
      </w:r>
      <w:r>
        <w:rPr>
          <w:rFonts w:ascii="Times New Roman" w:hAnsi="Times New Roman" w:eastAsia="Times New Roman"/>
          <w:b/>
          <w:sz w:val="24"/>
          <w:lang w:eastAsia="ru-RU"/>
        </w:rPr>
      </w:r>
      <w:r>
        <w:rPr>
          <w:rFonts w:ascii="Times New Roman" w:hAnsi="Times New Roman" w:eastAsia="Times New Roman"/>
          <w:b/>
          <w:sz w:val="2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sz w:val="24"/>
          <w:lang w:eastAsia="ru-RU"/>
        </w:rPr>
      </w:pPr>
      <w:r>
        <w:rPr>
          <w:rFonts w:ascii="Times New Roman" w:hAnsi="Times New Roman" w:eastAsia="Times New Roman"/>
          <w:sz w:val="24"/>
          <w:lang w:eastAsia="ru-RU"/>
        </w:rPr>
        <w:t xml:space="preserve">муниципальной программы Печенгского муниципального округа</w:t>
      </w: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/>
          <w:sz w:val="24"/>
          <w:lang w:eastAsia="ru-RU"/>
        </w:rPr>
      </w:pP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b/>
          <w:sz w:val="24"/>
          <w:lang w:eastAsia="ru-RU"/>
        </w:rPr>
      </w:pPr>
      <w:r>
        <w:rPr>
          <w:rFonts w:ascii="Times New Roman" w:hAnsi="Times New Roman" w:eastAsia="Times New Roman"/>
          <w:b/>
          <w:sz w:val="24"/>
          <w:lang w:eastAsia="ru-RU"/>
        </w:rPr>
        <w:t xml:space="preserve">«Муниципальное управление: эффективный муниципалитет»</w:t>
      </w:r>
      <w:r>
        <w:rPr>
          <w:rFonts w:ascii="Times New Roman" w:hAnsi="Times New Roman" w:eastAsia="Times New Roman"/>
          <w:b/>
          <w:sz w:val="24"/>
          <w:lang w:eastAsia="ru-RU"/>
        </w:rPr>
      </w:r>
      <w:r>
        <w:rPr>
          <w:rFonts w:ascii="Times New Roman" w:hAnsi="Times New Roman" w:eastAsia="Times New Roman"/>
          <w:b/>
          <w:sz w:val="2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sz w:val="24"/>
          <w:lang w:eastAsia="ru-RU"/>
        </w:rPr>
      </w:pP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</w:p>
    <w:tbl>
      <w:tblPr>
        <w:tblW w:w="9721" w:type="dxa"/>
        <w:jc w:val="center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2310"/>
        <w:gridCol w:w="7411"/>
      </w:tblGrid>
      <w:tr>
        <w:tblPrEx/>
        <w:trPr>
          <w:jc w:val="center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10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Цель муниципальной программы</w:t>
            </w:r>
            <w:r>
              <w:rPr>
                <w:rFonts w:ascii="Times New Roman" w:hAnsi="Times New Roman"/>
                <w:color w:val="ff0000"/>
                <w:sz w:val="24"/>
                <w:szCs w:val="24"/>
              </w:rPr>
            </w:r>
            <w:r>
              <w:rPr>
                <w:rFonts w:ascii="Times New Roman" w:hAnsi="Times New Roman"/>
                <w:color w:val="ff0000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411" w:type="dxa"/>
            <w:textDirection w:val="lrTb"/>
            <w:noWrap w:val="false"/>
          </w:tcPr>
          <w:p>
            <w:pPr>
              <w:pStyle w:val="898"/>
              <w:ind w:left="0"/>
              <w:jc w:val="both"/>
              <w:spacing w:after="0" w:line="240" w:lineRule="auto"/>
              <w:widowControl w:val="off"/>
              <w:tabs>
                <w:tab w:val="left" w:pos="300" w:leader="none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Эффективное функционирование системы муниципального управления в Печенгском муниципальном округе 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98"/>
              <w:ind w:left="0"/>
              <w:jc w:val="both"/>
              <w:spacing w:after="0" w:line="240" w:lineRule="auto"/>
              <w:widowControl w:val="off"/>
              <w:tabs>
                <w:tab w:val="left" w:pos="300" w:leader="none"/>
              </w:tabs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/>
                <w:sz w:val="24"/>
                <w:szCs w:val="24"/>
                <w:highlight w:val="yellow"/>
              </w:rPr>
            </w:r>
            <w:r>
              <w:rPr>
                <w:rFonts w:ascii="Times New Roman" w:hAnsi="Times New Roman"/>
                <w:sz w:val="24"/>
                <w:szCs w:val="24"/>
                <w:highlight w:val="yellow"/>
              </w:rPr>
            </w:r>
            <w:r>
              <w:rPr>
                <w:rFonts w:ascii="Times New Roman" w:hAnsi="Times New Roman"/>
                <w:sz w:val="24"/>
                <w:szCs w:val="24"/>
                <w:highlight w:val="yellow"/>
              </w:rPr>
            </w:r>
          </w:p>
        </w:tc>
      </w:tr>
      <w:tr>
        <w:tblPrEx/>
        <w:trPr>
          <w:jc w:val="center"/>
          <w:trHeight w:val="892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2310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Перечень направлений (подпрограмм)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7411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tabs>
                <w:tab w:val="left" w:pos="253" w:leader="none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tabs>
                <w:tab w:val="left" w:pos="253" w:leader="none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нет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>
          <w:jc w:val="center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10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Сроки и этапы реализации муниципальной программы</w:t>
            </w:r>
            <w:r>
              <w:rPr>
                <w:rFonts w:ascii="Times New Roman" w:hAnsi="Times New Roman"/>
                <w:color w:val="ff0000"/>
                <w:sz w:val="24"/>
                <w:szCs w:val="24"/>
              </w:rPr>
            </w:r>
            <w:r>
              <w:rPr>
                <w:rFonts w:ascii="Times New Roman" w:hAnsi="Times New Roman"/>
                <w:color w:val="ff0000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411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2026 - 2028 годы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>
          <w:jc w:val="center"/>
          <w:trHeight w:val="7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10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Финансовое обеспечение муниципальной программы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411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Всего по программе: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1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 351 763 311,02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рублей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в том числе: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МБ: 1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 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81 995 732,59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 год: 4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73 323 635,45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2027 год: 404 214 998,57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2028 год: 404 457 098,57 рублей;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ОБ: 41 219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 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3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87,46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 год: 13 739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 801,00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2027 год: 13 739 793,23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2028 год: 13 739 793,23 рублей;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ФБ: 27 348 190,97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 год: 8 264 536,73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2027 год: 8 853 373,51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2028 год: 10 230 280,73 рублей;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ВБС: 1 200 000,00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 год: 400 000,00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2027 год: 400 000,00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2028 год: 400 000,00 рублей.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>
          <w:jc w:val="center"/>
          <w:trHeight w:val="2258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10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Ожидаемые  конечные результаты реализации муниципальной программы</w:t>
            </w:r>
            <w:r>
              <w:rPr>
                <w:rFonts w:ascii="Times New Roman" w:hAnsi="Times New Roman"/>
                <w:color w:val="ff0000"/>
                <w:sz w:val="24"/>
                <w:szCs w:val="24"/>
              </w:rPr>
            </w:r>
            <w:r>
              <w:rPr>
                <w:rFonts w:ascii="Times New Roman" w:hAnsi="Times New Roman"/>
                <w:color w:val="ff0000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41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Доля муниципальных служащих администрации Печенгского муниципального округа и ее структурных подразделений, подтвердивших свою квалификацию в результате аттестации - 100 %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Доля муниципальных служащих и лиц, замещающих муниципальные должности, повысивших квалификацию, от общего числа лиц, направленных на повышение квалификации, профессиональную переподготовку - 100%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Обеспечение своевременности исполнения документов 100%;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Обеспечение предоставления сводной отчетности с соблюдением сроков предоставления и достоверности 100%;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Обеспечение рабочих мест, компьютерным оборудованием, оргтехникой, расходными материалами, комплектующими и программными комплексами - 100%;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Обеспечение заявок на транспортное и материально-техническое обеспечение из общего числа поступивших заявок - 95 %;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Обеспечение работников ОМСУ, средствами электронной подписи и защиты информации в соответствии с установленными требованиями и задачами - 100 %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Обеспечение уровня «Цифровой зрелости» - 100 %;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  <w:p>
            <w:pPr>
              <w:jc w:val="both"/>
              <w:spacing w:after="0" w:line="240" w:lineRule="auto"/>
              <w:widowControl w:val="off"/>
              <w:tabs>
                <w:tab w:val="num" w:pos="851" w:leader="none"/>
                <w:tab w:val="left" w:pos="8518" w:leader="none"/>
              </w:tabs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Стоимостная доля закупаемого и (или) арендуемого отечественного 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программного обеспечения - 100%;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  <w:p>
            <w:pPr>
              <w:jc w:val="both"/>
              <w:spacing w:after="0" w:line="240" w:lineRule="auto"/>
              <w:widowControl w:val="off"/>
              <w:tabs>
                <w:tab w:val="num" w:pos="851" w:leader="none"/>
                <w:tab w:val="left" w:pos="8518" w:leader="none"/>
              </w:tabs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Обеспечение опубликования на сайте нормативных правовых актов и сведений о размещении информации об официальном опубликовании нормативных правовых актов от общего количества поступивших за отчетный период - 100%;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  <w:p>
            <w:pPr>
              <w:jc w:val="both"/>
              <w:spacing w:after="0" w:line="240" w:lineRule="auto"/>
              <w:widowControl w:val="off"/>
              <w:tabs>
                <w:tab w:val="num" w:pos="851" w:leader="none"/>
                <w:tab w:val="left" w:pos="8518" w:leader="none"/>
              </w:tabs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Удовлетворенность граждан, проживающих на территории Печенгского муниципального округа, информационной открытостью органов местного самоуправления, от общей численности опрошенных граждан - 95 %;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  <w:p>
            <w:pPr>
              <w:jc w:val="both"/>
              <w:spacing w:after="0" w:line="240" w:lineRule="auto"/>
              <w:widowControl w:val="off"/>
              <w:tabs>
                <w:tab w:val="num" w:pos="851" w:leader="none"/>
                <w:tab w:val="left" w:pos="8518" w:leader="none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Обеспечение готовности объектов (зданий, помещений), к эксплуатации, соответствующих требованиям пожарных и санитарно-технических норм и правил от общего числа таких помещений - 100 %.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>
          <w:jc w:val="center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10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Ответственный исполнитель муниципальной программы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411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Администрация Печенгского муниципального округа (Управляющий делами администрации) (далее – Управляющий делами администрации) 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>
          <w:jc w:val="center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10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Соисполнители муниципальной программы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411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Управляющий делами администрации, Администрация Печенгского муниципального округа (далее – Администрация), администрация Печенгского муниципального округа - сектор муниципальной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службы и кадров администрации Печенгского муниципального округа (далее – сектор муниципальной службы и кадров), юридический отдел администрации Печенгского муниципального округа (далее – юридический отдел), отдел записи актов гражданского состояния админис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трации Печенгского муниципального округа (далее – отдел ЗАГС), административная комиссия Печенгского муниципального округа (далее – административная комиссия), отдел первичного воинского учета администрации Печенгского муниципального округа (далее – ОПВУ),</w:t>
            </w:r>
            <w: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Администрация Печенгского муниципального округа (Специалист по работе с населением (далее – специалист по работе с населением)),</w:t>
            </w:r>
            <w: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комиссия по делам несовершеннолетних и защите их прав Печенгского муниц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ипального округа (далее Комиссия ПДН и ЗП), отдел строительства и ЖКХ администрации Печенгского муниципального округа (далее – ОС и ЖКХ), муниципальное бюджетное учреждение «Централизованная бухгалтерия по обслуживанию муниципальных учреждений муниципально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го образования Печенгский муниципальный округ Мурманской области» (далее - МБУ «ЦБ»), муниципальное казенное учреждение «Управление по обеспечению деятельности администрации Печенгского муниципального округа» (далее – МКУ «Управление по ОДА»), муниципально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автономное учреждение «Информационный центр» (далее - МАУ «Информцентр»), Муниципальное бюджетное учреждение ремонтно-эксплуатационная служба» (далее –</w:t>
              <w:br/>
              <w:t xml:space="preserve"> МБУ «РЭС»), Финансовое управление администрации Печенгского муниципального округа (далее – ФИНУ), Коми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тет по управлению имуществом администрации Печенгского муниципального округа (далее – КУИ) (далее - структурные подразделения администрации и подведомственные учреждения), муниципальное бюджетное учреждение «Никельская дорожная служба» (далее – МБУ «НДС»).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>
          <w:jc w:val="center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10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Связь с национальными, региональными 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проектами/государственными программами Мурманской области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411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Государственная программа Мурманской области «Информационное общество»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Государственная программа Мурманской области «Государственное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управление и гражданское общество»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Государственная программа Мурманской области «Общественная безопасность»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Государственная программа Мурманской области «Социальная поддержка»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</w:tbl>
    <w:p>
      <w:pPr>
        <w:jc w:val="both"/>
        <w:spacing w:after="0" w:line="240" w:lineRule="auto"/>
        <w:widowControl w:val="off"/>
        <w:rPr>
          <w:rFonts w:ascii="Times New Roman" w:hAnsi="Times New Roman"/>
          <w:b/>
          <w:sz w:val="20"/>
          <w:szCs w:val="20"/>
          <w:highlight w:val="yellow"/>
        </w:rPr>
      </w:pPr>
      <w:r>
        <w:rPr>
          <w:rFonts w:ascii="Times New Roman" w:hAnsi="Times New Roman"/>
          <w:b/>
          <w:sz w:val="20"/>
          <w:szCs w:val="20"/>
          <w:highlight w:val="yellow"/>
        </w:rPr>
      </w:r>
      <w:r>
        <w:rPr>
          <w:rFonts w:ascii="Times New Roman" w:hAnsi="Times New Roman"/>
          <w:b/>
          <w:sz w:val="20"/>
          <w:szCs w:val="20"/>
          <w:highlight w:val="yellow"/>
        </w:rPr>
      </w:r>
      <w:r>
        <w:rPr>
          <w:rFonts w:ascii="Times New Roman" w:hAnsi="Times New Roman"/>
          <w:b/>
          <w:sz w:val="20"/>
          <w:szCs w:val="20"/>
          <w:highlight w:val="yellow"/>
        </w:rPr>
      </w:r>
    </w:p>
    <w:p>
      <w:pPr>
        <w:pStyle w:val="898"/>
        <w:numPr>
          <w:ilvl w:val="0"/>
          <w:numId w:val="14"/>
        </w:numPr>
        <w:ind w:left="0" w:firstLine="0"/>
        <w:jc w:val="center"/>
        <w:spacing w:after="0" w:line="240" w:lineRule="auto"/>
        <w:tabs>
          <w:tab w:val="left" w:pos="993" w:leader="none"/>
        </w:tabs>
        <w:rPr>
          <w:rFonts w:ascii="Times New Roman" w:hAnsi="Times New Roman"/>
          <w:b/>
          <w:color w:val="000000"/>
          <w:sz w:val="24"/>
          <w:szCs w:val="24"/>
        </w:rPr>
        <w:suppressLineNumbers w:val="0"/>
      </w:pPr>
      <w:r>
        <w:rPr>
          <w:rFonts w:ascii="Times New Roman" w:hAnsi="Times New Roman"/>
          <w:b/>
          <w:color w:val="000000"/>
          <w:sz w:val="24"/>
          <w:szCs w:val="24"/>
        </w:rPr>
        <w:t xml:space="preserve">Приоритеты и задачи муниципального управления в сфере реализации муниципальной программы «Муниципальной управление: эффективный муниципалитет»</w:t>
      </w:r>
      <w:r>
        <w:rPr>
          <w:rFonts w:ascii="Times New Roman" w:hAnsi="Times New Roman"/>
          <w:b/>
          <w:color w:val="000000"/>
          <w:sz w:val="24"/>
          <w:szCs w:val="24"/>
        </w:rPr>
      </w:r>
      <w:r>
        <w:rPr>
          <w:rFonts w:ascii="Times New Roman" w:hAnsi="Times New Roman"/>
          <w:b/>
          <w:color w:val="000000"/>
          <w:sz w:val="24"/>
          <w:szCs w:val="24"/>
        </w:rPr>
      </w:r>
    </w:p>
    <w:p>
      <w:pPr>
        <w:spacing w:after="0" w:line="240" w:lineRule="auto"/>
        <w:tabs>
          <w:tab w:val="left" w:pos="993" w:leader="none"/>
        </w:tabs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ab/>
      </w:r>
      <w:r>
        <w:rPr>
          <w:rFonts w:ascii="Times New Roman" w:hAnsi="Times New Roman"/>
          <w:color w:val="000000"/>
          <w:sz w:val="24"/>
          <w:szCs w:val="24"/>
        </w:rPr>
      </w:r>
      <w:r>
        <w:rPr>
          <w:rFonts w:ascii="Times New Roman" w:hAnsi="Times New Roman"/>
          <w:color w:val="000000"/>
          <w:sz w:val="24"/>
          <w:szCs w:val="24"/>
        </w:rPr>
      </w:r>
    </w:p>
    <w:p>
      <w:pPr>
        <w:ind w:firstLine="709"/>
        <w:spacing w:after="0" w:line="240" w:lineRule="auto"/>
        <w:tabs>
          <w:tab w:val="left" w:pos="993" w:leader="none"/>
        </w:tabs>
        <w:rPr>
          <w:rFonts w:ascii="Times New Roman" w:hAnsi="Times New Roman"/>
          <w:b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Сложность стоящих перед страной вызовов обусловила высочайшие требования к работе аппарата управления, поиск новых способов его функционирования, модернизацию сложившейся в настоящее время системы муниципального управления.</w:t>
      </w:r>
      <w:r>
        <w:rPr>
          <w:rFonts w:ascii="Times New Roman" w:hAnsi="Times New Roman"/>
          <w:b/>
          <w:color w:val="000000"/>
          <w:sz w:val="24"/>
          <w:szCs w:val="24"/>
        </w:rPr>
      </w:r>
      <w:r>
        <w:rPr>
          <w:rFonts w:ascii="Times New Roman" w:hAnsi="Times New Roman"/>
          <w:b/>
          <w:color w:val="000000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Одним из основных условий, необходимых для успешного решения задач социально-экономического развития Печенгского округа, повышения уровня и качества жизни населения, является эффективность работы системы муниципального управления.</w:t>
      </w:r>
      <w:r>
        <w:rPr>
          <w:rFonts w:ascii="Times New Roman" w:hAnsi="Times New Roman"/>
          <w:color w:val="000000"/>
          <w:sz w:val="24"/>
          <w:szCs w:val="24"/>
        </w:rPr>
      </w:r>
      <w:r>
        <w:rPr>
          <w:rFonts w:ascii="Times New Roman" w:hAnsi="Times New Roman"/>
          <w:color w:val="000000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Органы местного самоуправления обеспечивают исполнение Конституции Р</w:t>
      </w:r>
      <w:r>
        <w:rPr>
          <w:rFonts w:ascii="Times New Roman" w:hAnsi="Times New Roman"/>
          <w:color w:val="000000"/>
          <w:sz w:val="24"/>
          <w:szCs w:val="24"/>
        </w:rPr>
        <w:t xml:space="preserve">оссийской Федерации, федеральных законов и иных нормативных правовых актов Российской Федерации, Устава, законов и иных нормативных правовых актов Мурманской области, муниципальных нормативных правовых актов на территории Печенгского муниципального округа.</w:t>
      </w:r>
      <w:r>
        <w:rPr>
          <w:rFonts w:ascii="Times New Roman" w:hAnsi="Times New Roman"/>
          <w:color w:val="000000"/>
          <w:sz w:val="24"/>
          <w:szCs w:val="24"/>
        </w:rPr>
      </w:r>
      <w:r>
        <w:rPr>
          <w:rFonts w:ascii="Times New Roman" w:hAnsi="Times New Roman"/>
          <w:color w:val="000000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Важнейшими условиями повышения эффективности муниципального управления являются развитие системы муниципальной службы, формирование ее кадрового потенциала. </w:t>
      </w:r>
      <w:r>
        <w:rPr>
          <w:rFonts w:ascii="Times New Roman" w:hAnsi="Times New Roman"/>
          <w:color w:val="000000"/>
          <w:sz w:val="24"/>
          <w:szCs w:val="24"/>
        </w:rPr>
      </w:r>
      <w:r>
        <w:rPr>
          <w:rFonts w:ascii="Times New Roman" w:hAnsi="Times New Roman"/>
          <w:color w:val="000000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ОМСУ должны обладать квалифицированными кадрами, способными эффективно решать сложные задачи социально-экономического развития округа на современном этапе.</w:t>
      </w:r>
      <w:r>
        <w:rPr>
          <w:rFonts w:ascii="Times New Roman" w:hAnsi="Times New Roman"/>
          <w:color w:val="000000"/>
          <w:sz w:val="24"/>
          <w:szCs w:val="24"/>
        </w:rPr>
      </w:r>
      <w:r>
        <w:rPr>
          <w:rFonts w:ascii="Times New Roman" w:hAnsi="Times New Roman"/>
          <w:color w:val="000000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В настоящее время основные приоритеты совершенствования муниципального управления смещены в сторону создания новых стандартов работы органов местного самоуправления и организации управленческих процессов, осно</w:t>
      </w:r>
      <w:r>
        <w:rPr>
          <w:rFonts w:ascii="Times New Roman" w:hAnsi="Times New Roman"/>
          <w:color w:val="000000"/>
          <w:sz w:val="24"/>
          <w:szCs w:val="24"/>
        </w:rPr>
        <w:t xml:space="preserve">ванных на принципах клиентоцентричности. При осуществлении муниципальных функций и предоставлении муниципальных услуг муниципальный служащий должен руководствоваться ценностями профессионального и честного государства, в центре которого находится человек. </w:t>
      </w:r>
      <w:r>
        <w:rPr>
          <w:rFonts w:ascii="Times New Roman" w:hAnsi="Times New Roman"/>
          <w:color w:val="000000"/>
          <w:sz w:val="24"/>
          <w:szCs w:val="24"/>
        </w:rPr>
      </w:r>
      <w:r>
        <w:rPr>
          <w:rFonts w:ascii="Times New Roman" w:hAnsi="Times New Roman"/>
          <w:color w:val="000000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Необходимый уровень профессионализма и компетентности муниципальных служащих обеспечивается за счет реализации различных видов обучения (профессиональная переподготовка, повышение квалификации, стажировки, семинары, самоподготовка). </w:t>
      </w:r>
      <w:r>
        <w:rPr>
          <w:rFonts w:ascii="Times New Roman" w:hAnsi="Times New Roman"/>
          <w:color w:val="000000"/>
          <w:sz w:val="24"/>
          <w:szCs w:val="24"/>
        </w:rPr>
      </w:r>
      <w:r>
        <w:rPr>
          <w:rFonts w:ascii="Times New Roman" w:hAnsi="Times New Roman"/>
          <w:color w:val="000000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Перед ОМСУ стоят задачи по совершенствованию муниципальной службы, развитию кадрового потенциала в системе муниципального управления.</w:t>
      </w:r>
      <w:r>
        <w:rPr>
          <w:rFonts w:ascii="Times New Roman" w:hAnsi="Times New Roman"/>
          <w:color w:val="000000"/>
          <w:sz w:val="24"/>
          <w:szCs w:val="24"/>
        </w:rPr>
      </w:r>
      <w:r>
        <w:rPr>
          <w:rFonts w:ascii="Times New Roman" w:hAnsi="Times New Roman"/>
          <w:color w:val="000000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Управленческая деятельность Печенгского муниципального округа включает разнообразный спектр исполняемых полномочий, направленных на обеспечение комплексного социально-экономического развития округа, высокого качества жизни населения.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 настоящее время в современном обществе все больше распространяются административные правонарушения. Э</w:t>
      </w:r>
      <w:r>
        <w:rPr>
          <w:rFonts w:ascii="Times New Roman" w:hAnsi="Times New Roman"/>
          <w:sz w:val="24"/>
          <w:szCs w:val="24"/>
        </w:rPr>
        <w:t xml:space="preserve">то ведет к необходимости повышения эффективности борьбы с ними и их предупреждения. Именно эту задачу решает административная комиссия. Административная комиссия призвана способствовать повышению эффективности применения административного законодательства.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Исполнение государственных полномочий по государственно</w:t>
      </w:r>
      <w:r>
        <w:rPr>
          <w:rFonts w:ascii="Times New Roman" w:hAnsi="Times New Roman"/>
          <w:sz w:val="24"/>
          <w:szCs w:val="24"/>
        </w:rPr>
        <w:t xml:space="preserve">й регистрации актов гражданского состояния на территории Печенгского муниципального округа осуществляет отдел ЗАГС. С регистрацией актов гражданского состояния закон связывает возникновение, изменение и прекращение правовых отношений, имеющих существенное </w:t>
      </w:r>
      <w:r>
        <w:rPr>
          <w:rFonts w:ascii="Times New Roman" w:hAnsi="Times New Roman"/>
          <w:sz w:val="24"/>
          <w:szCs w:val="24"/>
        </w:rPr>
        <w:t xml:space="preserve">значение. Целью государственной регистрации является установление бесспорного доказательства того, что соответствующие события имели место и когда они произошли. Работники отдела ЗАГС ежегодно составляют тысячи записей актов гражданского состояния.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Комиссия по делам несовершеннолетних и защите их прав Печенгского муниципального округа Мурманской области проводит значительную работу по</w:t>
      </w:r>
      <w:r>
        <w:rPr>
          <w:rFonts w:ascii="Times New Roman" w:hAnsi="Times New Roman"/>
          <w:sz w:val="24"/>
          <w:szCs w:val="24"/>
        </w:rPr>
        <w:t xml:space="preserve"> предупреждению безнадзорности, правонарушений несовершеннолетних, защите их прав, осуществлению мер по выявлению и устранению причин и условий, способствующих безнадзорности, беспризорности, правонарушениям и антиобщественным действиям несовершеннолетних.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 целях</w:t>
      </w:r>
      <w:r>
        <w:rPr>
          <w:rFonts w:ascii="Times New Roman" w:hAnsi="Times New Roman"/>
          <w:sz w:val="24"/>
          <w:szCs w:val="24"/>
        </w:rPr>
        <w:t xml:space="preserve"> осуществления надзора за деятельностью опекунов и попечителей, деятельностью организаций, в которые помещены недееспособные или не полностью дееспособные  совершеннолетние граждане, осуществляется проверка условий жизни подопечных, соблюдения опекунами и </w:t>
      </w:r>
      <w:r>
        <w:rPr>
          <w:rFonts w:ascii="Times New Roman" w:hAnsi="Times New Roman"/>
          <w:sz w:val="24"/>
          <w:szCs w:val="24"/>
        </w:rPr>
        <w:t xml:space="preserve">попечителями прав и законных интересов подопечных, обеспечения сохранности их имущества, а также исполнения опекунами и попечителями требований к осуществлению ими прав и исполнению обязанностей опекунов или попечителей, определяемых законодательством РФ. 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Обеспечени</w:t>
      </w:r>
      <w:r>
        <w:rPr>
          <w:rFonts w:ascii="Times New Roman" w:hAnsi="Times New Roman"/>
          <w:sz w:val="24"/>
          <w:szCs w:val="24"/>
        </w:rPr>
        <w:t xml:space="preserve">е выполнения функций, возложенных на администрацию округа по осуществлению первичного воинского учёта граждан, пребывающих в запасе, и граждан, подлежащих призыву на военную службу, проживающих или пребывающих (на срок более 3 месяцев), в том числе не имею</w:t>
      </w:r>
      <w:r>
        <w:rPr>
          <w:rFonts w:ascii="Times New Roman" w:hAnsi="Times New Roman"/>
          <w:sz w:val="24"/>
          <w:szCs w:val="24"/>
        </w:rPr>
        <w:t xml:space="preserve">щих регистрацию по месту жительства и (или) по месту пребывания на территории Печенгского муниципального округа возложено на отдел первичного воинского учета (далее – ОПВУ). Для успешного решения задач, стоящих перед ОПВУ, необходимы следующие мероприятия: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обеспечение соблюдения законности при постановке на воинский учет граждан;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повышение качества обслуживания населения и доступности информации в сфере воинского учета;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своевременная подача сведений по запросам военного комиссариата;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запрос необходимых сведений для занесения в документы воинского учета с организаций и физических лиц;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выполнение мероприятий по защите персональных данных и конфиденциальной информации;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проведение мероприятий, способствующих повысить престиж срочной службы в армии;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 целевое использование субвенции, передаваемой на осуществление государственных полномочий.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Осуществление переданных полномочий по опеке и попечительству несовершеннолетних граждан осуществляется сектором по охране прав детей отдела образования администрации соответствии со ст.7 Федерального Закона № 48-ФЗ </w:t>
      </w:r>
      <w:r>
        <w:rPr>
          <w:rFonts w:ascii="Times New Roman" w:hAnsi="Times New Roman"/>
          <w:sz w:val="24"/>
          <w:szCs w:val="24"/>
        </w:rPr>
        <w:br/>
        <w:t xml:space="preserve">от 24.04.2008 года «Об опеке и попечительстве» к компетенции работы сектора относится: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 защита прав и законных интересов граждан, нуждающихся в опеке и попечительстве, и граждан, находящихся под опекой или попечительством;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надзор за деятельностью опекунов и попечителей, а также организаций, в которые помещены недееспособные или не полностью недееспособные граждане;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 контроль з</w:t>
      </w:r>
      <w:r>
        <w:rPr>
          <w:rFonts w:ascii="Times New Roman" w:hAnsi="Times New Roman"/>
          <w:sz w:val="24"/>
          <w:szCs w:val="24"/>
        </w:rPr>
        <w:t xml:space="preserve">а сохранностью имущества и управлением имуществом граждан, находящихся под опекой или попечительством либо помещенных под надзор в образовательные организации, или иные организации, в том числе для детей - сирот и детей, оставшихся без попечения родителей.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/>
        </w:rPr>
      </w:pPr>
      <w:r>
        <w:rPr>
          <w:rFonts w:ascii="Times New Roman" w:hAnsi="Times New Roman"/>
          <w:sz w:val="24"/>
          <w:szCs w:val="24"/>
        </w:rPr>
        <w:t xml:space="preserve">В Печенгском муниципальном округе уделяется особое внимание вопросам противодействия коррупции. Антикоррупционная политика представляет собой целенаправленную деятельность по предупреждению и противодействию коррупции. </w:t>
      </w:r>
      <w:r>
        <w:rPr>
          <w:rFonts w:ascii="Times New Roman" w:hAnsi="Times New Roman"/>
          <w:sz w:val="24"/>
          <w:szCs w:val="24"/>
        </w:rPr>
        <w:t xml:space="preserve">Инструментами, которые позволяют решать указанную задачу, являются проводимые правовая и антикоррупционная экспертизы нормативных правовых актов и их проектов.</w:t>
      </w: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ind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Кроме того,</w:t>
      </w:r>
      <w:r>
        <w:rPr>
          <w:rFonts w:ascii="Times New Roman" w:hAnsi="Times New Roman"/>
          <w:sz w:val="24"/>
          <w:szCs w:val="24"/>
        </w:rPr>
        <w:t xml:space="preserve"> сформирована нормативно-правовая база и созданы необходимые механизмы противодействия коррупции, а также административные процедуры, направленные на предупреждение коррупционных нарушений. В ОМСУ осуществляется реализация планов противодействия коррупции.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Материал</w:t>
      </w:r>
      <w:r>
        <w:rPr>
          <w:rFonts w:ascii="Times New Roman" w:hAnsi="Times New Roman"/>
          <w:sz w:val="24"/>
          <w:szCs w:val="24"/>
        </w:rPr>
        <w:t xml:space="preserve">ьно-техническое, организационное, информационно-аналитическое обеспечение исполнения полномочий ОМСУ - это способ организации их деятельности, позволяющий путем оптимизации финансовых, материальных и трудовых ресурсов осуществлять установленные полномочия.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В целях обеспечения деятельности ОМСУ и исполнения полномочий для выполнения ус</w:t>
      </w:r>
      <w:r>
        <w:rPr>
          <w:rFonts w:ascii="Times New Roman" w:hAnsi="Times New Roman"/>
          <w:sz w:val="24"/>
          <w:szCs w:val="24"/>
        </w:rPr>
        <w:t xml:space="preserve">луг направленных на комплексное организационное, материально – техническое, информационно-документационное обеспечение деятельности ОМСУ осуществляет деятельность МКУ «Управление по обеспечению деятельности администрации Печенгского муниципального округа».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Информационно-коммуникационные технологии стали частью современных управленческих систем и являются одним из наиболее интенсивно развивающихся видов деятельности. Развитие информаци</w:t>
      </w:r>
      <w:r>
        <w:rPr>
          <w:rFonts w:ascii="Times New Roman" w:hAnsi="Times New Roman"/>
          <w:sz w:val="24"/>
          <w:szCs w:val="24"/>
        </w:rPr>
        <w:t xml:space="preserve">онно-коммуникационных технологий меняет условия управленческого труда, позволяя существенно повысить его эффективность, что в свою очередь, способствует повышению эффективности деятельности органов местного самоуправления Печенгского муниципального округа.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 Печенгском муниципальном округе продолжается процесс повышения информационной открытости ОМСУ, эффективности взаимодействия с гражданами и организациями, инструментами выступают Платформа обратной связи, Госпаблики, официальный сайт.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Информирование населения Печенгского округа является одной из главных составляющих работы пресс-службы администрации Печенгского округа и МАУ «Информационный центр» (редакции «Печенга»).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Донести до жителей нашего округа в доступной форме информацию о работе администрации Печенгского округа и наших учреждений - задача номер один.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На территории Печенгского округа выпускается единственное средство массовой информации – газета «Печенга». Выпуск газеты осуществляется еженедельно, тираж составляет 2500 экз. и распространяется бесплатно во всех населенных пунктах </w:t>
      </w:r>
      <w:r>
        <w:rPr>
          <w:rFonts w:ascii="Times New Roman" w:hAnsi="Times New Roman"/>
          <w:sz w:val="24"/>
          <w:szCs w:val="24"/>
        </w:rPr>
        <w:t xml:space="preserve">Печенгского округа.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Ремонтно-эксплуатационное обеспечение учреждений — это комплекс мер по содержанию и обслуживанию зданий и коммуникаций. Его важность сложно переоценить, так как это основа нормального функционирования любой организации, особенно социальной сферы.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Это непрерывный процесс, который включает: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Текущее обслуживание: регулярные проверки, мелкий ремонт, поддержание чистоты и порядка.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Планово-предупредительный ремонт: Регулярные работы по предотвращению износа и аварий.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Эксплуатация инженерных систем: Обеспечение работы отопления, водоснабжения, канализации, электроснабжения, вентиляции. 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Данн</w:t>
      </w:r>
      <w:r>
        <w:rPr>
          <w:rFonts w:ascii="Times New Roman" w:hAnsi="Times New Roman"/>
          <w:sz w:val="24"/>
          <w:szCs w:val="24"/>
        </w:rPr>
        <w:t xml:space="preserve">ы</w:t>
      </w:r>
      <w:r>
        <w:rPr>
          <w:rFonts w:ascii="Times New Roman" w:hAnsi="Times New Roman"/>
          <w:sz w:val="24"/>
          <w:szCs w:val="24"/>
        </w:rPr>
        <w:t xml:space="preserve">е направлени</w:t>
      </w:r>
      <w:r>
        <w:rPr>
          <w:rFonts w:ascii="Times New Roman" w:hAnsi="Times New Roman"/>
          <w:sz w:val="24"/>
          <w:szCs w:val="24"/>
        </w:rPr>
        <w:t xml:space="preserve">я</w:t>
      </w:r>
      <w:r>
        <w:rPr>
          <w:rFonts w:ascii="Times New Roman" w:hAnsi="Times New Roman"/>
          <w:sz w:val="24"/>
          <w:szCs w:val="24"/>
        </w:rPr>
        <w:t xml:space="preserve"> обеспечива</w:t>
      </w:r>
      <w:r>
        <w:rPr>
          <w:rFonts w:ascii="Times New Roman" w:hAnsi="Times New Roman"/>
          <w:sz w:val="24"/>
          <w:szCs w:val="24"/>
        </w:rPr>
        <w:t xml:space="preserve">ю</w:t>
      </w:r>
      <w:r>
        <w:rPr>
          <w:rFonts w:ascii="Times New Roman" w:hAnsi="Times New Roman"/>
          <w:sz w:val="24"/>
          <w:szCs w:val="24"/>
        </w:rPr>
        <w:t xml:space="preserve">т МБУ «РЭС»</w:t>
      </w:r>
      <w:r>
        <w:rPr>
          <w:rFonts w:ascii="Times New Roman" w:hAnsi="Times New Roman"/>
          <w:sz w:val="24"/>
          <w:szCs w:val="24"/>
        </w:rPr>
        <w:t xml:space="preserve"> и МБУ «НДС»</w:t>
      </w:r>
      <w:r>
        <w:rPr>
          <w:rFonts w:ascii="Times New Roman" w:hAnsi="Times New Roman"/>
          <w:sz w:val="24"/>
          <w:szCs w:val="24"/>
        </w:rPr>
        <w:t xml:space="preserve">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Муниципальная программа предусматривает решение на территории</w:t>
      </w:r>
      <w:r>
        <w:rPr>
          <w:rFonts w:ascii="Times New Roman" w:hAnsi="Times New Roman"/>
          <w:sz w:val="24"/>
          <w:szCs w:val="24"/>
        </w:rPr>
        <w:t xml:space="preserve"> муниципального округа следующего комплекса задач: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 обеспечение эффективного функционирования ОМСУ при решении вопросов местного значения и переданных полномочий;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 формирование высококвалифицированного кадрового состава муниципальных служащих и лиц, замещающих муниципальные должности, в администрации Печенгского муниципального округа и ее структурных подразделениях;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 совершенствование материально-технической базы (осуществле</w:t>
      </w:r>
      <w:r>
        <w:rPr>
          <w:rFonts w:ascii="Times New Roman" w:hAnsi="Times New Roman"/>
          <w:sz w:val="24"/>
          <w:szCs w:val="24"/>
        </w:rPr>
        <w:t xml:space="preserve">ние текущего и капитального ремонта зданий, сооружений, автотранспорта, оборудования; оснащение современным оборудованием, мебелью, оргтехникой, автотранспортом, в том числе замена физически изношенного морально устаревшего оборудования и автотранспорта); 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повышение имиджа органов ОМСУ;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совершенствование правовой основы муниципальной службы;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совершенствование организационных и правовых механизмов профессиональной служебной деятельности муниципальных служащих;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замена средств вычислительной техники, выработавших свой технический ресурс, использование преимущественно отечественное программное обеспечение, обслуживание офисной техники;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организация работ по информационной безопасности.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center"/>
        <w:spacing w:after="0" w:line="240" w:lineRule="auto"/>
        <w:tabs>
          <w:tab w:val="left" w:pos="993" w:leader="none"/>
        </w:tabs>
        <w:rPr>
          <w:rFonts w:ascii="Times New Roman" w:hAnsi="Times New Roman"/>
          <w:sz w:val="24"/>
          <w:szCs w:val="24"/>
          <w:u w:val="single"/>
        </w:rPr>
        <w:sectPr>
          <w:footnotePr/>
          <w:endnotePr/>
          <w:type w:val="nextPage"/>
          <w:pgSz w:w="11905" w:h="16838" w:orient="portrait"/>
          <w:pgMar w:top="1134" w:right="850" w:bottom="255" w:left="1701" w:header="720" w:footer="720" w:gutter="0"/>
          <w:cols w:num="1" w:sep="0" w:space="720" w:equalWidth="1"/>
          <w:docGrid w:linePitch="360"/>
        </w:sectPr>
      </w:pPr>
      <w:r>
        <w:rPr>
          <w:rFonts w:ascii="Times New Roman" w:hAnsi="Times New Roman"/>
          <w:sz w:val="24"/>
          <w:szCs w:val="24"/>
          <w:u w:val="single"/>
        </w:rPr>
      </w:r>
      <w:r>
        <w:rPr>
          <w:rFonts w:ascii="Times New Roman" w:hAnsi="Times New Roman"/>
          <w:sz w:val="24"/>
          <w:szCs w:val="24"/>
          <w:u w:val="single"/>
        </w:rPr>
      </w:r>
      <w:r>
        <w:rPr>
          <w:rFonts w:ascii="Times New Roman" w:hAnsi="Times New Roman"/>
          <w:sz w:val="24"/>
          <w:szCs w:val="24"/>
          <w:u w:val="single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b/>
          <w:sz w:val="24"/>
          <w:lang w:eastAsia="ru-RU"/>
        </w:rPr>
      </w:pPr>
      <w:r/>
      <w:bookmarkStart w:id="1" w:name="P446"/>
      <w:r/>
      <w:bookmarkEnd w:id="1"/>
      <w:r>
        <w:rPr>
          <w:rFonts w:ascii="Times New Roman" w:hAnsi="Times New Roman" w:eastAsia="Times New Roman"/>
          <w:b/>
          <w:sz w:val="24"/>
          <w:lang w:eastAsia="ru-RU"/>
        </w:rPr>
        <w:t xml:space="preserve">2. Перечень показателей муниципальной программы</w:t>
      </w:r>
      <w:r>
        <w:rPr>
          <w:rFonts w:ascii="Times New Roman" w:hAnsi="Times New Roman" w:eastAsia="Times New Roman"/>
          <w:b/>
          <w:sz w:val="24"/>
          <w:lang w:eastAsia="ru-RU"/>
        </w:rPr>
      </w:r>
      <w:r>
        <w:rPr>
          <w:rFonts w:ascii="Times New Roman" w:hAnsi="Times New Roman" w:eastAsia="Times New Roman"/>
          <w:b/>
          <w:sz w:val="2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b/>
          <w:sz w:val="24"/>
          <w:lang w:eastAsia="ru-RU"/>
        </w:rPr>
      </w:pPr>
      <w:r>
        <w:rPr>
          <w:rFonts w:ascii="Times New Roman" w:hAnsi="Times New Roman" w:eastAsia="Times New Roman"/>
          <w:b/>
          <w:sz w:val="24"/>
          <w:lang w:eastAsia="ru-RU"/>
        </w:rPr>
      </w:r>
      <w:r>
        <w:rPr>
          <w:rFonts w:ascii="Times New Roman" w:hAnsi="Times New Roman" w:eastAsia="Times New Roman"/>
          <w:b/>
          <w:sz w:val="24"/>
          <w:lang w:eastAsia="ru-RU"/>
        </w:rPr>
      </w:r>
      <w:r>
        <w:rPr>
          <w:rFonts w:ascii="Times New Roman" w:hAnsi="Times New Roman" w:eastAsia="Times New Roman"/>
          <w:b/>
          <w:sz w:val="24"/>
          <w:lang w:eastAsia="ru-RU"/>
        </w:rPr>
      </w:r>
    </w:p>
    <w:tbl>
      <w:tblPr>
        <w:tblW w:w="14452" w:type="dxa"/>
        <w:tblInd w:w="1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0"/>
        <w:gridCol w:w="4678"/>
        <w:gridCol w:w="1134"/>
        <w:gridCol w:w="1134"/>
        <w:gridCol w:w="1134"/>
        <w:gridCol w:w="1134"/>
        <w:gridCol w:w="1134"/>
        <w:gridCol w:w="992"/>
        <w:gridCol w:w="993"/>
        <w:gridCol w:w="1559"/>
      </w:tblGrid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  № п/п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678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Муниципальная программа, направления(подпрограммы), цели, показатели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Ед. изм.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Направленность показателя</w:t>
            </w:r>
            <w:r>
              <w:rPr>
                <w:rFonts w:ascii="Times New Roman" w:hAnsi="Times New Roman" w:eastAsia="Times New Roman"/>
                <w:sz w:val="20"/>
                <w:szCs w:val="20"/>
                <w:vertAlign w:val="superscript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gridSpan w:val="5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38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Значение показателя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Соисполнитель,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ответственный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за достижение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показателя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678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2024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2025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2026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2027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2028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678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факт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оценка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план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план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план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465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</w:p>
        </w:tc>
        <w:tc>
          <w:tcPr>
            <w:gridSpan w:val="9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38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lang w:eastAsia="ru-RU"/>
              </w:rPr>
              <w:t xml:space="preserve">Муниципальная программа </w:t>
            </w:r>
            <w:r>
              <w:rPr>
                <w:rFonts w:ascii="Times New Roman" w:hAnsi="Times New Roman" w:eastAsia="Times New Roman"/>
                <w:b/>
                <w:u w:val="single"/>
                <w:lang w:eastAsia="ru-RU"/>
              </w:rPr>
              <w:t xml:space="preserve">«Муниципальное управление: эффективный муниципалитет»</w:t>
            </w:r>
            <w:r>
              <w:rPr>
                <w:rFonts w:ascii="Times New Roman" w:hAnsi="Times New Roman" w:eastAsia="Times New Roman"/>
                <w:b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</w:p>
          <w:p>
            <w:pPr>
              <w:pStyle w:val="898"/>
              <w:ind w:left="0"/>
              <w:jc w:val="both"/>
              <w:spacing w:after="0" w:line="240" w:lineRule="auto"/>
              <w:widowControl w:val="off"/>
              <w:tabs>
                <w:tab w:val="left" w:pos="300" w:leader="none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Цель муниципальной программы: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Эффективное функционирование системы муниципального управления в Печенгском муниципальном округе 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293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0.1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678" w:type="dxa"/>
            <w:vAlign w:val="center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Доля муниципальных служащих администрации Печенгского муниципального округа и ее структурных подразделений, подтвердивших свою квалификацию в результате аттестации</w:t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%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Администрация, сектор муниципальной службы и кадров</w:t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</w:p>
        </w:tc>
      </w:tr>
      <w:tr>
        <w:tblPrEx/>
        <w:trPr>
          <w:trHeight w:val="1293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0.2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678" w:type="dxa"/>
            <w:vAlign w:val="center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Доля муниципальных служащих и лиц, замещающих муниципальные должности, повысивших квалификацию, от общего числа лиц, направленных на повышение квалификации, профессиональную переподготовку.</w:t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%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Администрация, сектор муниципальной службы и кадров</w:t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</w:p>
        </w:tc>
      </w:tr>
      <w:tr>
        <w:tblPrEx/>
        <w:trPr>
          <w:trHeight w:val="1293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0.3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678" w:type="dxa"/>
            <w:vAlign w:val="center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Своевременность исполнения документов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%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Структурные подразделения администрации, подведомственные учреждения</w:t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</w:p>
        </w:tc>
      </w:tr>
      <w:tr>
        <w:tblPrEx/>
        <w:trPr>
          <w:trHeight w:val="1293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0.4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678" w:type="dxa"/>
            <w:vAlign w:val="center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Доля сводной отчетности, предоставленной с соблюдением сроков предоставления и достоверности в общем количестве сводной информации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%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Структурные подразделения администрации, подведомственные учреждения</w:t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</w:p>
        </w:tc>
      </w:tr>
      <w:tr>
        <w:tblPrEx/>
        <w:trPr>
          <w:trHeight w:val="1293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0.5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678" w:type="dxa"/>
            <w:vAlign w:val="center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Доля рабочих мест, обеспеченных компьютерным оборудованием, оргтехникой, расходными материалами, комплектующими и программными комплексами</w:t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%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МКУ «Управление по ОДА</w:t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</w:p>
        </w:tc>
      </w:tr>
      <w:tr>
        <w:tblPrEx/>
        <w:trPr>
          <w:trHeight w:val="1293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0.6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678" w:type="dxa"/>
            <w:vAlign w:val="center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Доля готовности объектов (зданий, помещений), к эксплуатации, соответствующих требованиям пожарных и санитарно-технических норм и правил от общего числа таких помещений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%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МКУ «Управление по ОДА»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,</w:t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МБУ «РЭС»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, МБУ «НДС»</w:t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</w:p>
        </w:tc>
      </w:tr>
      <w:tr>
        <w:tblPrEx/>
        <w:trPr>
          <w:trHeight w:val="1293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0.7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678" w:type="dxa"/>
            <w:vAlign w:val="center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Доля удовлетворенных заявок на транспортное и материально-техническое обеспечение из общего числа поступивших заявок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%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highlight w:val="green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90</w:t>
            </w:r>
            <w:r>
              <w:rPr>
                <w:rFonts w:ascii="Times New Roman" w:hAnsi="Times New Roman" w:eastAsia="Times New Roman"/>
                <w:sz w:val="20"/>
                <w:szCs w:val="20"/>
                <w:highlight w:val="green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green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90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90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90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95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МКУ «Управление по ОДА</w:t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</w:rPr>
            </w:r>
          </w:p>
        </w:tc>
      </w:tr>
      <w:tr>
        <w:tblPrEx/>
        <w:trPr>
          <w:trHeight w:val="1040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0.8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678" w:type="dxa"/>
            <w:vAlign w:val="center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Доля работников ОМСУ, обеспеченных средствами электронной подписи и защиты информации в соответствии с установленными требованиями и задачами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%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МКУ «Управление по ОДА</w:t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</w:rPr>
            </w:r>
          </w:p>
        </w:tc>
      </w:tr>
      <w:tr>
        <w:tblPrEx/>
        <w:trPr>
          <w:trHeight w:val="590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0.9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678" w:type="dxa"/>
            <w:vAlign w:val="center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Уровень «Цифровой зрелости»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%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line="240" w:lineRule="auto"/>
              <w:rPr>
                <w:sz w:val="20"/>
                <w:szCs w:val="20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МКУ «Управление по ОДА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1078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0.10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678" w:type="dxa"/>
            <w:vAlign w:val="center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Стоимостная доля закупаемого и (или) арендуемого отечественного программного обеспечения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%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line="240" w:lineRule="auto"/>
              <w:rPr>
                <w:sz w:val="20"/>
                <w:szCs w:val="20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МКУ «Управление по ОДА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1401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0.11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678" w:type="dxa"/>
            <w:vAlign w:val="center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Доля опубликованных на сайте нормативных правовых актов и сведений о размещении информации об официальном опубликовании  нормативных правовых актов от общего количества поступивших за отчетный период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%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МКУ «Управление по ОДА», структурные подразделения администрации Печенгского муниципального округа»</w:t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</w:rPr>
            </w:r>
          </w:p>
        </w:tc>
      </w:tr>
      <w:tr>
        <w:tblPrEx/>
        <w:trPr>
          <w:trHeight w:val="1030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0.12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678" w:type="dxa"/>
            <w:vAlign w:val="center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Доля граждан, проживающих на территории Печенгского муниципального округа, удовлетворенных информационной открытостью органов местного самоуправления, от общей численности опрошенных граждан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%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75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80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85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90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95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000000" w:sz="6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МАУ «Информцентр»,</w:t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</w:p>
        </w:tc>
      </w:tr>
    </w:tbl>
    <w:p>
      <w:pPr>
        <w:jc w:val="center"/>
        <w:spacing w:after="0" w:line="240" w:lineRule="auto"/>
        <w:rPr>
          <w:rFonts w:ascii="Times New Roman" w:hAnsi="Times New Roman" w:eastAsia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</w:p>
    <w:p>
      <w:pPr>
        <w:pStyle w:val="908"/>
        <w:jc w:val="both"/>
        <w:spacing w:before="0" w:beforeAutospacing="0" w:after="0" w:afterAutospacing="0"/>
        <w:rPr>
          <w:sz w:val="20"/>
          <w:szCs w:val="20"/>
        </w:rPr>
      </w:pPr>
      <w:r>
        <w:rPr>
          <w:sz w:val="20"/>
          <w:szCs w:val="20"/>
          <w:vertAlign w:val="superscript"/>
        </w:rPr>
        <w:t xml:space="preserve">1 </w:t>
      </w:r>
      <w:r>
        <w:rPr>
          <w:sz w:val="20"/>
          <w:szCs w:val="20"/>
        </w:rPr>
        <w:t xml:space="preserve">Направленность показателя обозначается: </w:t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908"/>
        <w:contextualSpacing/>
        <w:ind w:firstLine="284"/>
        <w:jc w:val="both"/>
        <w:spacing w:before="168" w:beforeAutospacing="0" w:after="0" w:afterAutospacing="0"/>
        <w:rPr>
          <w:sz w:val="20"/>
          <w:szCs w:val="20"/>
        </w:rPr>
      </w:pPr>
      <w:r>
        <w:rPr>
          <w:sz w:val="20"/>
          <w:szCs w:val="20"/>
        </w:rPr>
        <w:t xml:space="preserve">1 - направленность на рост; </w:t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908"/>
        <w:contextualSpacing/>
        <w:ind w:firstLine="284"/>
        <w:jc w:val="both"/>
        <w:spacing w:before="168" w:beforeAutospacing="0" w:after="0" w:afterAutospacing="0"/>
        <w:rPr>
          <w:sz w:val="20"/>
          <w:szCs w:val="20"/>
        </w:rPr>
      </w:pPr>
      <w:r>
        <w:rPr>
          <w:sz w:val="20"/>
          <w:szCs w:val="20"/>
        </w:rPr>
        <w:t xml:space="preserve">(-1) - направленность на снижение; </w:t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908"/>
        <w:contextualSpacing/>
        <w:ind w:firstLine="284"/>
        <w:jc w:val="both"/>
        <w:spacing w:before="168" w:beforeAutospacing="0" w:after="0" w:afterAutospacing="0"/>
        <w:rPr>
          <w:sz w:val="20"/>
          <w:szCs w:val="20"/>
        </w:rPr>
      </w:pPr>
      <w:r>
        <w:rPr>
          <w:sz w:val="20"/>
          <w:szCs w:val="20"/>
        </w:rPr>
        <w:t xml:space="preserve">0 - направленность на достижение конкретного значения. </w:t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spacing w:after="0" w:line="240" w:lineRule="auto"/>
        <w:rPr>
          <w:rFonts w:ascii="Times New Roman" w:hAnsi="Times New Roman" w:eastAsia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/>
          <w:b/>
          <w:sz w:val="16"/>
          <w:szCs w:val="16"/>
          <w:lang w:eastAsia="ru-RU"/>
        </w:rPr>
      </w:pPr>
      <w:r>
        <w:rPr>
          <w:rFonts w:ascii="Times New Roman" w:hAnsi="Times New Roman" w:eastAsia="Times New Roman"/>
          <w:b/>
          <w:sz w:val="24"/>
          <w:szCs w:val="24"/>
          <w:lang w:eastAsia="ru-RU"/>
        </w:rPr>
        <w:t xml:space="preserve">3. Перечень структурных элементов муниципальной программы</w:t>
      </w:r>
      <w:r>
        <w:rPr>
          <w:rFonts w:ascii="Times New Roman" w:hAnsi="Times New Roman" w:eastAsia="Times New Roman"/>
          <w:b/>
          <w:sz w:val="16"/>
          <w:szCs w:val="16"/>
          <w:lang w:eastAsia="ru-RU"/>
        </w:rPr>
      </w:r>
      <w:r>
        <w:rPr>
          <w:rFonts w:ascii="Times New Roman" w:hAnsi="Times New Roman" w:eastAsia="Times New Roman"/>
          <w:b/>
          <w:sz w:val="16"/>
          <w:szCs w:val="16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/>
          <w:sz w:val="16"/>
          <w:szCs w:val="16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/>
          <w:sz w:val="16"/>
          <w:szCs w:val="16"/>
          <w:lang w:eastAsia="ru-RU"/>
        </w:rPr>
      </w:r>
      <w:r>
        <w:rPr>
          <w:rFonts w:ascii="Times New Roman" w:hAnsi="Times New Roman" w:eastAsia="Times New Roman"/>
          <w:sz w:val="16"/>
          <w:szCs w:val="16"/>
          <w:lang w:eastAsia="ru-RU"/>
        </w:rPr>
      </w:r>
    </w:p>
    <w:tbl>
      <w:tblPr>
        <w:tblW w:w="14452" w:type="dxa"/>
        <w:tblInd w:w="1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2"/>
        <w:gridCol w:w="3452"/>
        <w:gridCol w:w="1150"/>
        <w:gridCol w:w="1703"/>
        <w:gridCol w:w="7655"/>
      </w:tblGrid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9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№ п/п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45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Направления (подпрограммы), комплексы процессных и (или) проектных мероприятий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5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Срок выполнения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Соисполнители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65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Связь с показателями муниципальной программы (наименования показателей)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564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9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1.1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452" w:type="dxa"/>
            <w:vAlign w:val="center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i/>
                <w:sz w:val="20"/>
                <w:szCs w:val="20"/>
                <w:lang w:eastAsia="ru-RU"/>
              </w:rPr>
              <w:t xml:space="preserve">Комплекс процессных мероприятий 1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 «Создание оптимальных условий для функционирования ОМСУ»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50" w:type="dxa"/>
            <w:vAlign w:val="center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2026</w:t>
            </w:r>
            <w:r>
              <w:rPr>
                <w:rFonts w:ascii="Times New Roman" w:hAnsi="Times New Roman" w:eastAsia="Times New Roman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-</w:t>
            </w:r>
            <w:r>
              <w:rPr>
                <w:rFonts w:ascii="Times New Roman" w:hAnsi="Times New Roman" w:eastAsia="Times New Roman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2028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Администрация, сектор муниципальной службы и кадров, МКУ «Управление по ОДА»,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МБУ «ЦБ»,  ФИНУ, КУИ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655" w:type="dxa"/>
            <w:vAlign w:val="center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0.1. Доля муниципальных служащих администрации Печенгского муниципального округа и ее структурных подразделений, подтвердивших свою квалификацию в результате аттестации.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0.2. Доля муниципальных служащих и лиц, замещающих муниципальные должности, повысивших квалификацию, от общего числа лиц, направленных на повышение квалификации, профессиональную переподготовку.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0.3. Своевременность исполнения документов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0.4. Доля сводной отчетности, предоставленной с соблюдением сроков предоставления и достоверности в общем количестве сводной информации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0.5. Доля рабочих мест, обеспеченных компьютерным оборудованием, оргтехникой, расходными материалами, комплектующими и программными комплексами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0.7. Доля удовлетворенных заявок на транспортное и материально-техническое обеспечение из общего числа поступивших заявок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0.8. Доля работников ОМСУ, обеспеченных средствами электронной подписи и защиты информации в соответствии с установленными требованиями и задачами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0.9. Уровень «Цифровой зрелости»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0.10.Стоимостная доля закупаемого и (или) арендуемого отечественного программного обеспечения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558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9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1.2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452" w:type="dxa"/>
            <w:vAlign w:val="center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i/>
                <w:sz w:val="20"/>
                <w:szCs w:val="20"/>
                <w:lang w:eastAsia="ru-RU"/>
              </w:rPr>
              <w:t xml:space="preserve">Комплекс процессных мероприятий 2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 «Реализация государственных полномочий, предупреждение и профилактика коррупции» 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50" w:type="dxa"/>
            <w:vAlign w:val="center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2026</w:t>
            </w:r>
            <w:r>
              <w:rPr>
                <w:rFonts w:ascii="Times New Roman" w:hAnsi="Times New Roman" w:eastAsia="Times New Roman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-</w:t>
            </w:r>
            <w:r>
              <w:rPr>
                <w:rFonts w:ascii="Times New Roman" w:hAnsi="Times New Roman" w:eastAsia="Times New Roman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2028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 отдел ЗАГС, административная комиссия, ОПВУ, юридический отдел,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ОС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 и ЖКХ, отдел образования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655" w:type="dxa"/>
            <w:vAlign w:val="center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0.3. Своевременность исполнения документов.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0.4. Доля сводной отчетности, предоставленной с соблюдением сроков предоставления и достоверности в общем количестве сводной информации.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0.11. Доля опубликованных на сайте нормативных правовых актов и сведений о размещении информации об официальном опубликовании  нормативных правовых актов  от общего количества поступивших за отчетный период.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558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9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1.3.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452" w:type="dxa"/>
            <w:vAlign w:val="center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b/>
                <w:i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i/>
                <w:sz w:val="20"/>
                <w:szCs w:val="20"/>
                <w:lang w:eastAsia="ru-RU"/>
              </w:rPr>
              <w:t xml:space="preserve">Комплекс процессных мероприятий 3 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«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Обеспечение населения актуальной достоверной информацией о деятельности ОМСУ» </w:t>
            </w:r>
            <w:r>
              <w:rPr>
                <w:rFonts w:ascii="Times New Roman" w:hAnsi="Times New Roman" w:eastAsia="Times New Roman"/>
                <w:b/>
                <w:i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i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50" w:type="dxa"/>
            <w:vAlign w:val="center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2026</w:t>
            </w:r>
            <w:r>
              <w:rPr>
                <w:rFonts w:ascii="Times New Roman" w:hAnsi="Times New Roman" w:eastAsia="Times New Roman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-</w:t>
            </w:r>
            <w:r>
              <w:rPr>
                <w:rFonts w:ascii="Times New Roman" w:hAnsi="Times New Roman" w:eastAsia="Times New Roman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2028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3" w:type="dxa"/>
            <w:vAlign w:val="center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МАУ «Информцентр»,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МКУ «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Управление по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ОДА»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655" w:type="dxa"/>
            <w:vAlign w:val="center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0.11. Доля опубликованных на сайте нормативных правовых актов и сведений о размещении информации об официальном опубликовании нормативных правовых актов от общего количества поступивших за отчетный период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0.12. Доля граждан, проживающих на территории Печенгского муниципального округа, удовлетворенных информационной открытостью органов местного самоуправления, от общей численности опрошенных граждан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558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9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1.4.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452" w:type="dxa"/>
            <w:vAlign w:val="center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b/>
                <w:i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i/>
                <w:sz w:val="20"/>
                <w:szCs w:val="20"/>
                <w:lang w:eastAsia="ru-RU"/>
              </w:rPr>
              <w:t xml:space="preserve">Комплекс процессный мероприятий 4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«Техническое обслуживание и ремонт зданий и объектов» </w:t>
            </w:r>
            <w:r>
              <w:rPr>
                <w:rFonts w:ascii="Times New Roman" w:hAnsi="Times New Roman" w:eastAsia="Times New Roman"/>
                <w:b/>
                <w:i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i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50" w:type="dxa"/>
            <w:vAlign w:val="center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2026</w:t>
            </w:r>
            <w:r>
              <w:rPr>
                <w:rFonts w:ascii="Times New Roman" w:hAnsi="Times New Roman" w:eastAsia="Times New Roman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-</w:t>
            </w:r>
            <w:r>
              <w:rPr>
                <w:rFonts w:ascii="Times New Roman" w:hAnsi="Times New Roman" w:eastAsia="Times New Roman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2028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3" w:type="dxa"/>
            <w:vAlign w:val="center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МБУ «РЭС»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,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МБУ «НДС»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655" w:type="dxa"/>
            <w:vAlign w:val="center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0.6. Доля готовности объектов (зданий, помещений), к эксплуатации, соответствующих требованиям пожарных и санитарно-технических норм и правил от общего числа таких помещений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</w:tbl>
    <w:p>
      <w:pPr>
        <w:jc w:val="center"/>
        <w:spacing w:after="0" w:line="288" w:lineRule="atLeast"/>
        <w:rPr>
          <w:rFonts w:ascii="Times New Roman" w:hAnsi="Times New Roman" w:eastAsia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/>
          <w:b/>
          <w:sz w:val="16"/>
          <w:szCs w:val="16"/>
          <w:lang w:eastAsia="ru-RU"/>
        </w:rPr>
      </w:pPr>
      <w:r>
        <w:rPr>
          <w:rFonts w:ascii="Times New Roman" w:hAnsi="Times New Roman" w:eastAsia="Times New Roman"/>
          <w:b/>
          <w:sz w:val="24"/>
          <w:szCs w:val="24"/>
          <w:lang w:eastAsia="ru-RU"/>
        </w:rPr>
        <w:t xml:space="preserve">4. Сведения об объемах финансирования муниципальной программы</w:t>
      </w:r>
      <w:r>
        <w:rPr>
          <w:rFonts w:ascii="Times New Roman" w:hAnsi="Times New Roman" w:eastAsia="Times New Roman"/>
          <w:b/>
          <w:sz w:val="16"/>
          <w:szCs w:val="16"/>
          <w:lang w:eastAsia="ru-RU"/>
        </w:rPr>
      </w:r>
      <w:r>
        <w:rPr>
          <w:rFonts w:ascii="Times New Roman" w:hAnsi="Times New Roman" w:eastAsia="Times New Roman"/>
          <w:b/>
          <w:sz w:val="16"/>
          <w:szCs w:val="16"/>
          <w:lang w:eastAsia="ru-RU"/>
        </w:rPr>
      </w:r>
    </w:p>
    <w:p>
      <w:pPr>
        <w:jc w:val="center"/>
        <w:spacing w:after="0" w:line="288" w:lineRule="atLeast"/>
        <w:rPr>
          <w:rFonts w:ascii="Times New Roman" w:hAnsi="Times New Roman" w:eastAsia="Times New Roman"/>
          <w:sz w:val="16"/>
          <w:szCs w:val="16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  </w:t>
      </w:r>
      <w:r>
        <w:rPr>
          <w:rFonts w:ascii="Times New Roman" w:hAnsi="Times New Roman" w:eastAsia="Times New Roman"/>
          <w:sz w:val="16"/>
          <w:szCs w:val="16"/>
          <w:lang w:eastAsia="ru-RU"/>
        </w:rPr>
      </w:r>
      <w:r>
        <w:rPr>
          <w:rFonts w:ascii="Times New Roman" w:hAnsi="Times New Roman" w:eastAsia="Times New Roman"/>
          <w:sz w:val="16"/>
          <w:szCs w:val="16"/>
          <w:lang w:eastAsia="ru-RU"/>
        </w:rPr>
      </w:r>
    </w:p>
    <w:tbl>
      <w:tblPr>
        <w:tblW w:w="14601" w:type="dxa"/>
        <w:tblInd w:w="-134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51"/>
        <w:gridCol w:w="3119"/>
        <w:gridCol w:w="1134"/>
        <w:gridCol w:w="992"/>
        <w:gridCol w:w="1559"/>
        <w:gridCol w:w="1559"/>
        <w:gridCol w:w="1418"/>
        <w:gridCol w:w="1417"/>
        <w:gridCol w:w="2552"/>
      </w:tblGrid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1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№ п/п </w:t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119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Муниципальная программа, ГРБС, направления (подпрограммы) </w:t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Период реализации </w:t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</w:p>
        </w:tc>
        <w:tc>
          <w:tcPr>
            <w:gridSpan w:val="5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94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Объемы и источники финансирования (рублей) </w:t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552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Соисполнители</w:t>
            </w:r>
            <w:r>
              <w:rPr>
                <w:rFonts w:ascii="Times New Roman" w:hAnsi="Times New Roman" w:eastAsia="Times New Roman"/>
                <w:strike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1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11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Год/</w:t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источник </w:t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Всего </w:t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2026 </w:t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2027 </w:t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2028 </w:t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55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87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1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119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Муниципальная программа «Муниципальное управление эффективный муниципалитет»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2026</w:t>
            </w:r>
            <w:r>
              <w:rPr>
                <w:rFonts w:ascii="Times New Roman" w:hAnsi="Times New Roman" w:eastAsia="Times New Roman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-</w:t>
            </w:r>
            <w:r>
              <w:rPr>
                <w:rFonts w:ascii="Times New Roman" w:hAnsi="Times New Roman" w:eastAsia="Times New Roman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2028</w:t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Всего </w:t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1 351 763 311,02</w:t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495 727 973,18</w:t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427 208 165,31</w:t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428 827 172,53</w:t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552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Администрация, сектор муниципальной службы и кадров, МКУ «Управление по ОДА», МБУ «ЦБ», ФИНУ, КУИ, отдел ЗАГС, административная комиссия, ОПВУ, юридический отдел, МАУ «Информцентр»,</w:t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специалист по работе с населением, комиссия ПДН и ЗП, отдел образования,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 МБУ «РЭС»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, МБУ «НДС»</w:t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1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119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МБ </w:t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1 281 995 732,59</w:t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473 323 635,45</w:t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404 214 998,57</w:t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404 457 098,57</w:t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55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1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119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ОБ </w:t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41 219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 387,46</w:t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13 739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 801,00</w:t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13 739 793,23</w:t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13 739 793,23</w:t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55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1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119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ФБ </w:t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27 348 190,97</w:t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8 264 536,73</w:t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8 853 373,51</w:t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10230280,73</w:t>
            </w:r>
            <w:r>
              <w:rPr>
                <w:rFonts w:ascii="Times New Roman" w:hAnsi="Times New Roman"/>
                <w:b/>
                <w:sz w:val="20"/>
                <w:szCs w:val="20"/>
                <w:lang w:val="en-US"/>
              </w:rPr>
            </w:r>
            <w:r>
              <w:rPr>
                <w:rFonts w:ascii="Times New Roman" w:hAnsi="Times New Roman"/>
                <w:b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55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530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1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119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ВБС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</w:rPr>
              <w:t xml:space="preserve">1 200 000,00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</w:rPr>
            </w:r>
          </w:p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</w:rPr>
              <w:t xml:space="preserve">400 000,00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</w:rPr>
            </w:r>
          </w:p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</w:rPr>
              <w:t xml:space="preserve">400 000,00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</w:rPr>
            </w:r>
          </w:p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</w:rPr>
              <w:t xml:space="preserve">400 000,00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</w:rPr>
            </w:r>
          </w:p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55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1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0.1 </w:t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119" w:type="dxa"/>
            <w:vAlign w:val="center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Администрация Печенгского муниципального округа</w:t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2026</w:t>
            </w:r>
            <w:r>
              <w:rPr>
                <w:rFonts w:ascii="Times New Roman" w:hAnsi="Times New Roman" w:eastAsia="Times New Roman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-</w:t>
            </w:r>
            <w:r>
              <w:rPr>
                <w:rFonts w:ascii="Times New Roman" w:hAnsi="Times New Roman" w:eastAsia="Times New Roman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2028</w:t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Всего 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1 348 187 243,02</w:t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494 329 945,18</w:t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426 119 145,31</w:t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427 738 152,53</w:t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552" w:type="dxa"/>
            <w:vAlign w:val="center"/>
            <w:vMerge w:val="restart"/>
            <w:textDirection w:val="lrTb"/>
            <w:noWrap w:val="false"/>
          </w:tcPr>
          <w:p>
            <w:pPr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1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11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МБ </w:t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1 278 419 664,59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471 925 607,45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403 125 978,57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403 368 078,57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55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1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11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ОБ </w:t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41 219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 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3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87,46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13 739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 801,00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13 739 793,23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13 739 793,23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55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1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11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ФБ </w:t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27 348 190,97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8 264 536,73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8 853 373,51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10 230 280,73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55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1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11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</w:rPr>
              <w:t xml:space="preserve">1 200 000,00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</w:rPr>
              <w:t xml:space="preserve">400 000,00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</w:rPr>
              <w:t xml:space="preserve">400 000,00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</w:rPr>
              <w:t xml:space="preserve">400 000,00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55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851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0.2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3119" w:type="dxa"/>
            <w:vAlign w:val="center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Финансовое управление администрации Печенгского муниципального округа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113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2026</w:t>
            </w:r>
            <w:r>
              <w:rPr>
                <w:rFonts w:ascii="Times New Roman" w:hAnsi="Times New Roman" w:eastAsia="Times New Roman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-</w:t>
            </w:r>
            <w:r>
              <w:rPr>
                <w:rFonts w:ascii="Times New Roman" w:hAnsi="Times New Roman" w:eastAsia="Times New Roman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2028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Всего 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</w:rPr>
              <w:t xml:space="preserve">2 239 800,00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</w:rPr>
              <w:t xml:space="preserve">875 600,00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</w:rPr>
              <w:t xml:space="preserve">682 100,00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</w:rPr>
              <w:t xml:space="preserve">682 100,00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2552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ff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ff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ff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ff0000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851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311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МБ </w:t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</w:rPr>
              <w:t xml:space="preserve">2 239 800,00</w:t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</w:rPr>
              <w:t xml:space="preserve">875 600,00</w:t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</w:rPr>
              <w:t xml:space="preserve">682 100,00</w:t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</w:rPr>
              <w:t xml:space="preserve">682 100,00</w:t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55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ff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ff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ff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ff0000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851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311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ОБ </w:t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</w:rPr>
              <w:t xml:space="preserve">0,00</w:t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</w:rPr>
              <w:t xml:space="preserve">0,00</w:t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</w:rPr>
              <w:t xml:space="preserve">0,00</w:t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</w:rPr>
              <w:t xml:space="preserve">0,00</w:t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55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ff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ff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ff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ff0000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851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311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ФБ </w:t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</w:rPr>
              <w:t xml:space="preserve">0,00</w:t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</w:rPr>
              <w:t xml:space="preserve">0,00</w:t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</w:rPr>
              <w:t xml:space="preserve">0,00</w:t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</w:rPr>
              <w:t xml:space="preserve">0,00</w:t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55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ff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ff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ff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ff0000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1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11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ВБС </w:t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</w:rPr>
              <w:t xml:space="preserve">0,00</w:t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</w:rPr>
              <w:t xml:space="preserve">0,00</w:t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</w:rPr>
              <w:t xml:space="preserve">0,00</w:t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</w:rPr>
              <w:t xml:space="preserve">0,00</w:t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55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ff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ff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ff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ff0000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1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0.3 </w:t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119" w:type="dxa"/>
            <w:vAlign w:val="center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</w:rPr>
              <w:t xml:space="preserve">Комитет по имуществу администрации Печенгского муниципального округа</w:t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2026</w:t>
            </w:r>
            <w:r>
              <w:rPr>
                <w:rFonts w:ascii="Times New Roman" w:hAnsi="Times New Roman" w:eastAsia="Times New Roman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-</w:t>
            </w:r>
            <w:r>
              <w:rPr>
                <w:rFonts w:ascii="Times New Roman" w:hAnsi="Times New Roman" w:eastAsia="Times New Roman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2028</w:t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Всего 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</w:rPr>
              <w:t xml:space="preserve">1 336 268,00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</w:rPr>
              <w:t xml:space="preserve">522 428,00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</w:rPr>
              <w:t xml:space="preserve">406 920,00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</w:rPr>
              <w:t xml:space="preserve">406 920,00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552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color w:val="ff0000"/>
                <w:sz w:val="20"/>
                <w:szCs w:val="20"/>
              </w:rPr>
            </w:pPr>
            <w:r>
              <w:rPr>
                <w:rFonts w:ascii="Times New Roman" w:hAnsi="Times New Roman" w:eastAsia="Times New Roman"/>
                <w:color w:val="ff0000"/>
                <w:sz w:val="20"/>
                <w:szCs w:val="20"/>
              </w:rPr>
            </w:r>
            <w:r>
              <w:rPr>
                <w:rFonts w:ascii="Times New Roman" w:hAnsi="Times New Roman" w:eastAsia="Times New Roman"/>
                <w:color w:val="ff0000"/>
                <w:sz w:val="20"/>
                <w:szCs w:val="20"/>
              </w:rPr>
            </w:r>
            <w:r>
              <w:rPr>
                <w:rFonts w:ascii="Times New Roman" w:hAnsi="Times New Roman" w:eastAsia="Times New Roman"/>
                <w:color w:val="ff0000"/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1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119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МБ </w:t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</w:rPr>
              <w:t xml:space="preserve">1 336 268,00</w:t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</w:rPr>
              <w:t xml:space="preserve">522 428,00</w:t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</w:rPr>
              <w:t xml:space="preserve">406 920,00</w:t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</w:rPr>
              <w:t xml:space="preserve">406 920,00</w:t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55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1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119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ОБ </w:t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</w:rPr>
              <w:t xml:space="preserve">0,00</w:t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</w:rPr>
              <w:t xml:space="preserve">0,00</w:t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</w:rPr>
              <w:t xml:space="preserve">0,00</w:t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</w:rPr>
              <w:t xml:space="preserve">0,00</w:t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55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1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119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ФБ </w:t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</w:rPr>
              <w:t xml:space="preserve">0,00</w:t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</w:rPr>
              <w:t xml:space="preserve">0,00</w:t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</w:rPr>
              <w:t xml:space="preserve">0,00</w:t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</w:rPr>
              <w:t xml:space="preserve">0,00</w:t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55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1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119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ВБС </w:t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</w:rPr>
              <w:t xml:space="preserve">0,00</w:t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</w:rPr>
              <w:t xml:space="preserve">0,00</w:t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</w:rPr>
              <w:t xml:space="preserve">0,00</w:t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</w:rPr>
              <w:t xml:space="preserve">0,00</w:t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55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1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1 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119" w:type="dxa"/>
            <w:vAlign w:val="center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Комплекс процессных мероприятий 1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«Создание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оптимальных условий для функционирования ОМСУ»</w:t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</w:rPr>
              <w:t xml:space="preserve">2026</w:t>
            </w:r>
            <w:r>
              <w:rPr>
                <w:rFonts w:ascii="Times New Roman" w:hAnsi="Times New Roman" w:eastAsia="Times New Roman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/>
                <w:sz w:val="20"/>
                <w:szCs w:val="20"/>
              </w:rPr>
              <w:t xml:space="preserve">-</w:t>
            </w:r>
            <w:r>
              <w:rPr>
                <w:rFonts w:ascii="Times New Roman" w:hAnsi="Times New Roman" w:eastAsia="Times New Roman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/>
                <w:sz w:val="20"/>
                <w:szCs w:val="20"/>
              </w:rPr>
              <w:t xml:space="preserve">2028</w:t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Всего 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864 042 939,65</w:t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328 743 009,65</w:t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267 603 765,00</w:t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267 696 165,00</w:t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552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Администрация,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сектор муниципальной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службы и кадров,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МКУ «Управление по ОДА»,</w:t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МБУ «ЦБ», ФИНУ, КУИ</w:t>
            </w:r>
            <w:r>
              <w:rPr>
                <w:rFonts w:ascii="Times New Roman" w:hAnsi="Times New Roman" w:eastAsia="Times New Roman"/>
                <w:sz w:val="18"/>
                <w:szCs w:val="18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1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119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МБ </w:t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861 346 332,59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327 844 135,45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266 704 898,57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266 797 298,57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55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1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119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ОБ </w:t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2 696 607,06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898 874,20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898 866,43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898 866,43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55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1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119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ФБ </w:t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55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1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119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ВБС </w:t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55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1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</w:rPr>
              <w:t xml:space="preserve">2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119" w:type="dxa"/>
            <w:vAlign w:val="center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Комплекс процессных мероприятий 2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 «Реализация государственных полномочий, предупреждение и противодействие коррупции</w:t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</w:rPr>
              <w:t xml:space="preserve">2026</w:t>
            </w:r>
            <w:r>
              <w:rPr>
                <w:rFonts w:ascii="Times New Roman" w:hAnsi="Times New Roman" w:eastAsia="Times New Roman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/>
                <w:sz w:val="20"/>
                <w:szCs w:val="20"/>
              </w:rPr>
              <w:t xml:space="preserve">-</w:t>
            </w:r>
            <w:r>
              <w:rPr>
                <w:rFonts w:ascii="Times New Roman" w:hAnsi="Times New Roman" w:eastAsia="Times New Roman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/>
                <w:sz w:val="20"/>
                <w:szCs w:val="20"/>
              </w:rPr>
              <w:t xml:space="preserve">2028</w:t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Всего 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65 870 971,37</w:t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21 105 463,53</w:t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21 694 300,31</w:t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23 071 207,53</w:t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552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отдел ЗАГС, административная комиссия, ОПВУ, юридический отдел, специалист по работе с населением,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Комиссия ПДН и ЗП, отдел образования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1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119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МБ </w:t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 xml:space="preserve">0,00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 xml:space="preserve">0,00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 xml:space="preserve">0,00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 xml:space="preserve">0,00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55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1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119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ОБ </w:t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 xml:space="preserve">38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 xml:space="preserve">522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 xml:space="preserve">780,40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 xml:space="preserve">12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 xml:space="preserve">840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 xml:space="preserve">926,80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 xml:space="preserve">12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 xml:space="preserve">840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 xml:space="preserve">926,80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 xml:space="preserve">12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 xml:space="preserve">840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 xml:space="preserve">926,80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55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1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119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ФБ </w:t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 xml:space="preserve">27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 xml:space="preserve">348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 xml:space="preserve">190,9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7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 xml:space="preserve">8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 xml:space="preserve">264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 xml:space="preserve">536,73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 xml:space="preserve">8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 xml:space="preserve">853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 xml:space="preserve">373,51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 xml:space="preserve">10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 xml:space="preserve">230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 xml:space="preserve">280,7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3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55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1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119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ВБС </w:t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55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1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</w:rPr>
              <w:t xml:space="preserve">3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119" w:type="dxa"/>
            <w:vAlign w:val="center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Комплекс процессных мероприятий 3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«Обеспечение </w:t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населения актуальной достоверной информацией о деятельности ОМСУ»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</w:rPr>
              <w:t xml:space="preserve">2026</w:t>
            </w:r>
            <w:r>
              <w:rPr>
                <w:rFonts w:ascii="Times New Roman" w:hAnsi="Times New Roman" w:eastAsia="Times New Roman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/>
                <w:sz w:val="20"/>
                <w:szCs w:val="20"/>
              </w:rPr>
              <w:t xml:space="preserve">-</w:t>
            </w:r>
            <w:r>
              <w:rPr>
                <w:rFonts w:ascii="Times New Roman" w:hAnsi="Times New Roman" w:eastAsia="Times New Roman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/>
                <w:sz w:val="20"/>
                <w:szCs w:val="20"/>
              </w:rPr>
              <w:t xml:space="preserve">2028</w:t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Всего 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40 627 000,00</w:t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14 207 000,00</w:t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13 180 000,00</w:t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13 240 000,00</w:t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552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МАУ «Информцентр»,</w:t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МКУ «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Управление по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ОДА»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1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11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МБ </w:t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39 427 000,00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13 807 000,00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12 780 000,00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12 840 000,00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55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1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11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ОБ </w:t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55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1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11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ФБ </w:t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55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1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11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ВБС </w:t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</w:rPr>
              <w:t xml:space="preserve">1 200 000,00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</w:rPr>
              <w:t xml:space="preserve">400 000,00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</w:rPr>
              <w:t xml:space="preserve">400 000,00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</w:rPr>
              <w:t xml:space="preserve">400 000,00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55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851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</w:rPr>
              <w:t xml:space="preserve">4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3119" w:type="dxa"/>
            <w:vAlign w:val="center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Комплекс процессный мероприятий 4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«Техническое обслуживание и ремонт зданий и объектов»</w:t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113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</w:rPr>
              <w:t xml:space="preserve">2026</w:t>
            </w:r>
            <w:r>
              <w:rPr>
                <w:rFonts w:ascii="Times New Roman" w:hAnsi="Times New Roman" w:eastAsia="Times New Roman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/>
                <w:sz w:val="20"/>
                <w:szCs w:val="20"/>
              </w:rPr>
              <w:t xml:space="preserve">-</w:t>
            </w:r>
            <w:r>
              <w:rPr>
                <w:rFonts w:ascii="Times New Roman" w:hAnsi="Times New Roman" w:eastAsia="Times New Roman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/>
                <w:sz w:val="20"/>
                <w:szCs w:val="20"/>
              </w:rPr>
              <w:t xml:space="preserve">2028</w:t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Всего 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381 222 400,00</w:t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131 672 500,00</w:t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124 730 100,00</w:t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124 819 800,00</w:t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2552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МБУ «РЭС»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,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МБУ «НДС»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851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311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МБ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381 222 400,00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131 672 500,00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124 730 100,00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124 819 800,00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55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851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311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ОБ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55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851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311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ФБ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55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1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11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ВБС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55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</w:tbl>
    <w:p>
      <w:pPr>
        <w:jc w:val="center"/>
        <w:spacing w:after="0" w:line="240" w:lineRule="auto"/>
        <w:rPr>
          <w:rFonts w:ascii="Times New Roman" w:hAnsi="Times New Roman" w:eastAsia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 w:eastAsia="Times New Roman"/>
          <w:b/>
          <w:bCs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bCs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bCs/>
          <w:sz w:val="24"/>
          <w:szCs w:val="24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 w:eastAsia="Times New Roman"/>
          <w:b/>
          <w:bCs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bCs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bCs/>
          <w:sz w:val="24"/>
          <w:szCs w:val="24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 w:eastAsia="Times New Roman"/>
          <w:b/>
          <w:bCs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bCs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bCs/>
          <w:sz w:val="24"/>
          <w:szCs w:val="24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 w:eastAsia="Times New Roman"/>
          <w:b/>
          <w:sz w:val="24"/>
          <w:szCs w:val="24"/>
          <w:lang w:eastAsia="ru-RU"/>
        </w:rPr>
        <w:t xml:space="preserve">5. Перечень мер налогового регулирования (налоговых расходов) в сфере реализации муниципальной программы</w:t>
      </w:r>
      <w:r>
        <w:rPr>
          <w:rFonts w:ascii="Times New Roman" w:hAnsi="Times New Roman" w:eastAsia="Times New Roman"/>
          <w:b/>
          <w:bCs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bCs/>
          <w:sz w:val="24"/>
          <w:szCs w:val="24"/>
          <w:lang w:eastAsia="ru-RU"/>
        </w:rPr>
      </w:r>
    </w:p>
    <w:p>
      <w:pPr>
        <w:jc w:val="center"/>
        <w:spacing w:after="0" w:line="288" w:lineRule="atLeast"/>
        <w:rPr>
          <w:rFonts w:ascii="Times New Roman" w:hAnsi="Times New Roman" w:eastAsia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</w:p>
    <w:tbl>
      <w:tblPr>
        <w:tblW w:w="14601" w:type="dxa"/>
        <w:tblInd w:w="-276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08"/>
        <w:gridCol w:w="3545"/>
        <w:gridCol w:w="1134"/>
        <w:gridCol w:w="1276"/>
        <w:gridCol w:w="1418"/>
        <w:gridCol w:w="2976"/>
        <w:gridCol w:w="3544"/>
      </w:tblGrid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№ п/п </w:t>
            </w:r>
            <w:r>
              <w:rPr>
                <w:rFonts w:ascii="Times New Roman" w:hAnsi="Times New Roman" w:eastAsia="Times New Roman"/>
              </w:rPr>
            </w:r>
            <w:r>
              <w:rPr>
                <w:rFonts w:ascii="Times New Roman" w:hAnsi="Times New Roman"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auto" w:sz="4" w:space="0"/>
            </w:tcBorders>
            <w:tcW w:w="3545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Наименование меры </w:t>
            </w:r>
            <w:r>
              <w:rPr>
                <w:rFonts w:ascii="Times New Roman" w:hAnsi="Times New Roman" w:eastAsia="Times New Roman"/>
              </w:rPr>
            </w:r>
            <w:r>
              <w:rPr>
                <w:rFonts w:ascii="Times New Roman" w:hAnsi="Times New Roman" w:eastAsia="Times New Roman"/>
              </w:rPr>
            </w:r>
          </w:p>
        </w:tc>
        <w:tc>
          <w:tcPr>
            <w:gridSpan w:val="3"/>
            <w:tcBorders>
              <w:top w:val="single" w:color="000000" w:sz="6" w:space="0"/>
              <w:left w:val="single" w:color="auto" w:sz="4" w:space="0"/>
              <w:bottom w:val="single" w:color="000000" w:sz="6" w:space="0"/>
              <w:right w:val="single" w:color="000000" w:sz="6" w:space="0"/>
            </w:tcBorders>
            <w:tcW w:w="3828" w:type="dxa"/>
            <w:vAlign w:val="center"/>
            <w:textDirection w:val="lrTb"/>
            <w:noWrap w:val="false"/>
          </w:tcPr>
          <w:p>
            <w:pPr>
              <w:ind w:left="180"/>
              <w:jc w:val="center"/>
              <w:spacing w:after="0" w:line="240" w:lineRule="auto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Объем выпадающих доходов бюджета </w:t>
            </w:r>
            <w:r>
              <w:rPr>
                <w:rFonts w:ascii="Times New Roman" w:hAnsi="Times New Roman" w:eastAsia="Times New Roman"/>
              </w:rPr>
            </w:r>
            <w:r>
              <w:rPr>
                <w:rFonts w:ascii="Times New Roman" w:hAnsi="Times New Roman" w:eastAsia="Times New Roman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округа (руб.) </w:t>
            </w:r>
            <w:r>
              <w:rPr>
                <w:rFonts w:ascii="Times New Roman" w:hAnsi="Times New Roman" w:eastAsia="Times New Roman"/>
              </w:rPr>
            </w:r>
            <w:r>
              <w:rPr>
                <w:rFonts w:ascii="Times New Roman" w:hAnsi="Times New Roman"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976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Основание применения меры налогового регулирования </w:t>
            </w:r>
            <w:r>
              <w:rPr>
                <w:rFonts w:ascii="Times New Roman" w:hAnsi="Times New Roman" w:eastAsia="Times New Roman"/>
              </w:rPr>
            </w:r>
            <w:r>
              <w:rPr>
                <w:rFonts w:ascii="Times New Roman" w:hAnsi="Times New Roman"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54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Цель применения меры, связь с показателями муниципальной программы </w:t>
            </w:r>
            <w:r>
              <w:rPr>
                <w:rFonts w:ascii="Times New Roman" w:hAnsi="Times New Roman" w:eastAsia="Times New Roman"/>
              </w:rPr>
            </w:r>
            <w:r>
              <w:rPr>
                <w:rFonts w:ascii="Times New Roman" w:hAnsi="Times New Roman" w:eastAsia="Times New Roman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auto" w:sz="4" w:space="0"/>
            </w:tcBorders>
            <w:tcW w:w="354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2026 </w:t>
            </w:r>
            <w:r>
              <w:rPr>
                <w:rFonts w:ascii="Times New Roman" w:hAnsi="Times New Roman" w:eastAsia="Times New Roman"/>
              </w:rPr>
            </w:r>
            <w:r>
              <w:rPr>
                <w:rFonts w:ascii="Times New Roman" w:hAnsi="Times New Roman"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2027</w:t>
            </w:r>
            <w:r>
              <w:rPr>
                <w:rFonts w:ascii="Times New Roman" w:hAnsi="Times New Roman" w:eastAsia="Times New Roman"/>
              </w:rPr>
            </w:r>
            <w:r>
              <w:rPr>
                <w:rFonts w:ascii="Times New Roman" w:hAnsi="Times New Roman"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2028</w:t>
            </w:r>
            <w:r>
              <w:rPr>
                <w:rFonts w:ascii="Times New Roman" w:hAnsi="Times New Roman" w:eastAsia="Times New Roman"/>
              </w:rPr>
            </w:r>
            <w:r>
              <w:rPr>
                <w:rFonts w:ascii="Times New Roman" w:hAnsi="Times New Roman"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9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54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auto" w:sz="4" w:space="0"/>
            </w:tcBorders>
            <w:tcW w:w="354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План</w:t>
            </w:r>
            <w:r>
              <w:rPr>
                <w:rFonts w:ascii="Times New Roman" w:hAnsi="Times New Roman" w:eastAsia="Times New Roman"/>
              </w:rPr>
            </w:r>
            <w:r>
              <w:rPr>
                <w:rFonts w:ascii="Times New Roman" w:hAnsi="Times New Roman"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План </w:t>
            </w:r>
            <w:r>
              <w:rPr>
                <w:rFonts w:ascii="Times New Roman" w:hAnsi="Times New Roman" w:eastAsia="Times New Roman"/>
              </w:rPr>
            </w:r>
            <w:r>
              <w:rPr>
                <w:rFonts w:ascii="Times New Roman" w:hAnsi="Times New Roman"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План </w:t>
            </w:r>
            <w:r>
              <w:rPr>
                <w:rFonts w:ascii="Times New Roman" w:hAnsi="Times New Roman" w:eastAsia="Times New Roman"/>
              </w:rPr>
            </w:r>
            <w:r>
              <w:rPr>
                <w:rFonts w:ascii="Times New Roman" w:hAnsi="Times New Roman"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9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54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1 </w:t>
            </w:r>
            <w:r>
              <w:rPr>
                <w:rFonts w:ascii="Times New Roman" w:hAnsi="Times New Roman" w:eastAsia="Times New Roman"/>
              </w:rPr>
            </w:r>
            <w:r>
              <w:rPr>
                <w:rFonts w:ascii="Times New Roman" w:hAnsi="Times New Roman" w:eastAsia="Times New Roman"/>
              </w:rPr>
            </w:r>
          </w:p>
        </w:tc>
        <w:tc>
          <w:tcPr>
            <w:gridSpan w:val="6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auto" w:sz="4" w:space="0"/>
            </w:tcBorders>
            <w:tcW w:w="13893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  <w:u w:val="single"/>
                <w:lang w:eastAsia="ru-RU"/>
              </w:rPr>
              <w:t xml:space="preserve">Комплекс процессных мероприятий 1.</w:t>
            </w:r>
            <w:r>
              <w:rPr>
                <w:rFonts w:ascii="Times New Roman" w:hAnsi="Times New Roman" w:eastAsia="Times New Roman"/>
                <w:lang w:eastAsia="ru-RU"/>
              </w:rPr>
              <w:t xml:space="preserve"> «Приведение в нормативное состояние сети автомобильных дорог общего пользования местного значения на территории Печенгского муниципального округа»</w:t>
            </w:r>
            <w:r>
              <w:rPr>
                <w:rFonts w:ascii="Times New Roman" w:hAnsi="Times New Roman" w:eastAsia="Times New Roman"/>
              </w:rPr>
            </w:r>
            <w:r>
              <w:rPr>
                <w:rFonts w:ascii="Times New Roman" w:hAnsi="Times New Roman" w:eastAsia="Times New Roman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1.1</w:t>
            </w:r>
            <w:r>
              <w:rPr>
                <w:rFonts w:ascii="Times New Roman" w:hAnsi="Times New Roman" w:eastAsia="Times New Roman"/>
              </w:rPr>
            </w:r>
            <w:r>
              <w:rPr>
                <w:rFonts w:ascii="Times New Roman" w:hAnsi="Times New Roman"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auto" w:sz="4" w:space="0"/>
            </w:tcBorders>
            <w:tcW w:w="3545" w:type="dxa"/>
            <w:textDirection w:val="lrTb"/>
            <w:noWrap w:val="false"/>
          </w:tcPr>
          <w:p>
            <w:pPr>
              <w:ind w:left="147" w:right="139"/>
              <w:jc w:val="both"/>
              <w:spacing w:after="0" w:line="240" w:lineRule="auto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Освобождение от уплаты земельного налога муниципальных учреждений, финансируемых из бюджета Печенгского муниципального округа, в отношении земельных участков, предоставленных для непосредственного выполнения возложенных на эти учреждения функций</w:t>
            </w:r>
            <w:r>
              <w:rPr>
                <w:rFonts w:ascii="Times New Roman" w:hAnsi="Times New Roman" w:eastAsia="Times New Roman"/>
              </w:rPr>
            </w:r>
            <w:r>
              <w:rPr>
                <w:rFonts w:ascii="Times New Roman" w:hAnsi="Times New Roman"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473 455</w:t>
            </w:r>
            <w:r>
              <w:rPr>
                <w:rFonts w:ascii="Times New Roman" w:hAnsi="Times New Roman" w:eastAsia="Times New Roman"/>
              </w:rPr>
            </w:r>
            <w:r>
              <w:rPr>
                <w:rFonts w:ascii="Times New Roman" w:hAnsi="Times New Roman"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473 455</w:t>
            </w:r>
            <w:r>
              <w:rPr>
                <w:rFonts w:ascii="Times New Roman" w:hAnsi="Times New Roman" w:eastAsia="Times New Roman"/>
              </w:rPr>
            </w:r>
            <w:r>
              <w:rPr>
                <w:rFonts w:ascii="Times New Roman" w:hAnsi="Times New Roman"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473 455</w:t>
            </w:r>
            <w:r>
              <w:rPr>
                <w:rFonts w:ascii="Times New Roman" w:hAnsi="Times New Roman" w:eastAsia="Times New Roman"/>
              </w:rPr>
            </w:r>
            <w:r>
              <w:rPr>
                <w:rFonts w:ascii="Times New Roman" w:hAnsi="Times New Roman"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976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Подпункт 4.2 пункта 4 решения Совета депутатов Печенгского муниципального округа от 23.10.2020 № 39 </w:t>
            </w:r>
            <w:r>
              <w:rPr>
                <w:rFonts w:ascii="Times New Roman" w:hAnsi="Times New Roman" w:eastAsia="Times New Roman"/>
                <w:lang w:eastAsia="ru-RU"/>
              </w:rPr>
              <w:br/>
              <w:t xml:space="preserve">«Об установлении земельного налога на территории муниципального образования Печенгский муниципальный округ Мурманской области» </w:t>
            </w:r>
            <w:r>
              <w:rPr>
                <w:rFonts w:ascii="Times New Roman" w:hAnsi="Times New Roman" w:eastAsia="Times New Roman"/>
              </w:rPr>
            </w:r>
            <w:r>
              <w:rPr>
                <w:rFonts w:ascii="Times New Roman" w:hAnsi="Times New Roman" w:eastAsia="Times New Roman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(в ред. от </w:t>
            </w:r>
            <w:r>
              <w:rPr>
                <w:rFonts w:ascii="Times New Roman" w:hAnsi="Times New Roman" w:eastAsia="Times New Roman"/>
                <w:lang w:eastAsia="ru-RU"/>
              </w:rPr>
              <w:t xml:space="preserve">13.02.2026</w:t>
            </w:r>
            <w:r>
              <w:rPr>
                <w:rFonts w:ascii="Times New Roman" w:hAnsi="Times New Roman" w:eastAsia="Times New Roman"/>
                <w:lang w:eastAsia="ru-RU"/>
              </w:rPr>
              <w:t xml:space="preserve">)</w:t>
            </w:r>
            <w:r>
              <w:rPr>
                <w:rFonts w:ascii="Times New Roman" w:hAnsi="Times New Roman" w:eastAsia="Times New Roman"/>
              </w:rPr>
            </w:r>
            <w:r>
              <w:rPr>
                <w:rFonts w:ascii="Times New Roman" w:hAnsi="Times New Roman"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544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Во избежание встречных потоков денежных средств, уменьшения расходов плательщиков, воспользовавшихся льготами, финансовое обеспечение которых осуществляется в полном объеме или частично за счет средств бюджета округа.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0.5. Доля рабочих мест, обеспеченных компьютерным оборудованием, оргтехникой, расходными материалами, комплектующими и программными комплексами</w:t>
            </w:r>
            <w:r>
              <w:rPr>
                <w:rFonts w:ascii="Times New Roman" w:hAnsi="Times New Roman" w:eastAsia="Times New Roman"/>
              </w:rPr>
            </w:r>
            <w:r>
              <w:rPr>
                <w:rFonts w:ascii="Times New Roman" w:hAnsi="Times New Roman" w:eastAsia="Times New Roman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0.7. Доля удовлетворенных заявок на транспортное и материально-техническое обеспечение из общего числа поступивших заявок</w:t>
            </w:r>
            <w:r>
              <w:rPr>
                <w:rFonts w:ascii="Times New Roman" w:hAnsi="Times New Roman" w:eastAsia="Times New Roman"/>
              </w:rPr>
            </w:r>
            <w:r>
              <w:rPr>
                <w:rFonts w:ascii="Times New Roman" w:hAnsi="Times New Roman" w:eastAsia="Times New Roman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0.6. Доля готовности объектов (зданий, помещений), к эксплуатации, соответствующих требованиям пожарных и санитарно-технических норм и правил от общего числа таких помещений</w:t>
            </w:r>
            <w:r>
              <w:rPr>
                <w:rFonts w:ascii="Times New Roman" w:hAnsi="Times New Roman" w:eastAsia="Times New Roman"/>
              </w:rPr>
            </w:r>
            <w:r>
              <w:rPr>
                <w:rFonts w:ascii="Times New Roman" w:hAnsi="Times New Roman" w:eastAsia="Times New Roman"/>
              </w:rPr>
            </w:r>
          </w:p>
        </w:tc>
      </w:tr>
    </w:tbl>
    <w:p>
      <w:pPr>
        <w:jc w:val="center"/>
        <w:spacing w:after="0" w:line="240" w:lineRule="auto"/>
        <w:rPr>
          <w:rFonts w:ascii="Times New Roman" w:hAnsi="Times New Roman" w:eastAsia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bCs/>
          <w:sz w:val="24"/>
          <w:szCs w:val="24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bCs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bCs/>
          <w:sz w:val="24"/>
          <w:szCs w:val="24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 w:eastAsia="Times New Roman"/>
          <w:b/>
          <w:sz w:val="24"/>
          <w:szCs w:val="24"/>
          <w:lang w:eastAsia="ru-RU"/>
        </w:rPr>
        <w:t xml:space="preserve">6. Механизмы управления рисками </w:t>
      </w:r>
      <w:r>
        <w:rPr>
          <w:rFonts w:ascii="Times New Roman" w:hAnsi="Times New Roman" w:eastAsia="Times New Roman"/>
          <w:b/>
          <w:bCs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bCs/>
          <w:sz w:val="24"/>
          <w:szCs w:val="24"/>
          <w:lang w:eastAsia="ru-RU"/>
        </w:rPr>
      </w:r>
    </w:p>
    <w:p>
      <w:pPr>
        <w:jc w:val="both"/>
        <w:spacing w:after="0" w:line="288" w:lineRule="atLeast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    </w:t>
      </w: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tbl>
      <w:tblPr>
        <w:tblW w:w="5134" w:type="pct"/>
        <w:tblInd w:w="-276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17"/>
        <w:gridCol w:w="1668"/>
        <w:gridCol w:w="3495"/>
        <w:gridCol w:w="3407"/>
        <w:gridCol w:w="3322"/>
        <w:gridCol w:w="2076"/>
      </w:tblGrid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4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№ п/п 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Наименование риска 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9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Ожидаемые последствия 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6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Меры по предотвращению наступления риска 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Меры реагирования при наличии признаков наступления риска 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Периодичность мониторинга рисков 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4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1.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Правовой</w:t>
            </w:r>
            <w:r>
              <w:rPr>
                <w:rFonts w:ascii="Times New Roman" w:hAnsi="Times New Roman" w:eastAsia="Times New Roman"/>
              </w:rPr>
            </w:r>
            <w:r>
              <w:rPr>
                <w:rFonts w:ascii="Times New Roman" w:hAnsi="Times New Roman" w:eastAsia="Times New Roman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</w:rPr>
            </w:r>
            <w:r>
              <w:rPr>
                <w:rFonts w:ascii="Times New Roman" w:hAnsi="Times New Roman" w:eastAsia="Times New Roman"/>
              </w:rPr>
            </w:r>
            <w:r>
              <w:rPr>
                <w:rFonts w:ascii="Times New Roman" w:hAnsi="Times New Roman"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90" w:type="pct"/>
            <w:vAlign w:val="center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Невозможность или нецелесообразность реализации поставленных целей, выполнения каких-либо мероприятий (результатов), обязательств в связи с данными изменениями, что окажет влияние на конечные результаты Программы</w:t>
            </w:r>
            <w:r>
              <w:rPr>
                <w:rFonts w:ascii="Times New Roman" w:hAnsi="Times New Roman" w:eastAsia="Times New Roman"/>
              </w:rPr>
            </w:r>
            <w:r>
              <w:rPr>
                <w:rFonts w:ascii="Times New Roman" w:hAnsi="Times New Roman"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60" w:type="pct"/>
            <w:vAlign w:val="center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Проведение мониторинга планируемых изменений в федеральном, региональном законодательстве.</w:t>
            </w:r>
            <w:r>
              <w:rPr>
                <w:rFonts w:ascii="Times New Roman" w:hAnsi="Times New Roman" w:eastAsia="Times New Roman"/>
              </w:rPr>
            </w:r>
            <w:r>
              <w:rPr>
                <w:rFonts w:ascii="Times New Roman" w:hAnsi="Times New Roman" w:eastAsia="Times New Roman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</w:rPr>
            </w:r>
            <w:r>
              <w:rPr>
                <w:rFonts w:ascii="Times New Roman" w:hAnsi="Times New Roman" w:eastAsia="Times New Roman"/>
              </w:rPr>
            </w:r>
            <w:r>
              <w:rPr>
                <w:rFonts w:ascii="Times New Roman" w:hAnsi="Times New Roman"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1" w:type="pct"/>
            <w:vAlign w:val="center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Оперативное принятие муниципальных нормативных правовых актов с целью приведения нормативно-методической базы муниципальной программы в соответствие с государственной политикой на региональном уровне</w:t>
            </w:r>
            <w:r>
              <w:rPr>
                <w:rFonts w:ascii="Times New Roman" w:hAnsi="Times New Roman" w:eastAsia="Times New Roman"/>
              </w:rPr>
            </w:r>
            <w:r>
              <w:rPr>
                <w:rFonts w:ascii="Times New Roman" w:hAnsi="Times New Roman"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Постоянно</w:t>
            </w:r>
            <w:r>
              <w:rPr>
                <w:rFonts w:ascii="Times New Roman" w:hAnsi="Times New Roman" w:eastAsia="Times New Roman"/>
              </w:rPr>
            </w:r>
            <w:r>
              <w:rPr>
                <w:rFonts w:ascii="Times New Roman" w:hAnsi="Times New Roman" w:eastAsia="Times New Roman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4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2. 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Финансовый</w:t>
            </w:r>
            <w:r>
              <w:rPr>
                <w:rFonts w:ascii="Times New Roman" w:hAnsi="Times New Roman" w:eastAsia="Times New Roman"/>
              </w:rPr>
            </w:r>
            <w:r>
              <w:rPr>
                <w:rFonts w:ascii="Times New Roman" w:hAnsi="Times New Roman"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90" w:type="pct"/>
            <w:vAlign w:val="center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Недостижение запланированных значений показателей Программы, невыполнение мероприятий результатов в срок</w:t>
            </w:r>
            <w:r>
              <w:rPr>
                <w:rFonts w:ascii="Times New Roman" w:hAnsi="Times New Roman" w:eastAsia="Times New Roman"/>
              </w:rPr>
            </w:r>
            <w:r>
              <w:rPr>
                <w:rFonts w:ascii="Times New Roman" w:hAnsi="Times New Roman"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60" w:type="pct"/>
            <w:vAlign w:val="center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Сбалансированное распределение финансовых средств по структурным элементам Программы в соответствии с ожидаемыми конечными результатами</w:t>
            </w:r>
            <w:r>
              <w:rPr>
                <w:rFonts w:ascii="Times New Roman" w:hAnsi="Times New Roman" w:eastAsia="Times New Roman"/>
              </w:rPr>
            </w:r>
            <w:r>
              <w:rPr>
                <w:rFonts w:ascii="Times New Roman" w:hAnsi="Times New Roman" w:eastAsia="Times New Roman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</w:rPr>
            </w:r>
            <w:r>
              <w:rPr>
                <w:rFonts w:ascii="Times New Roman" w:hAnsi="Times New Roman" w:eastAsia="Times New Roman"/>
              </w:rPr>
            </w:r>
            <w:r>
              <w:rPr>
                <w:rFonts w:ascii="Times New Roman" w:hAnsi="Times New Roman"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1" w:type="pct"/>
            <w:vAlign w:val="center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Уточнение объемов финансовых средств, предусмотренных на реализацию мероприятий (результатов), корректировка целевых показателей в зависимости от достигнутых результатов</w:t>
            </w:r>
            <w:r>
              <w:rPr>
                <w:rFonts w:ascii="Times New Roman" w:hAnsi="Times New Roman" w:eastAsia="Times New Roman"/>
              </w:rPr>
            </w:r>
            <w:r>
              <w:rPr>
                <w:rFonts w:ascii="Times New Roman" w:hAnsi="Times New Roman"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Ежеквартально</w:t>
            </w:r>
            <w:r>
              <w:rPr>
                <w:rFonts w:ascii="Times New Roman" w:hAnsi="Times New Roman" w:eastAsia="Times New Roman"/>
              </w:rPr>
            </w:r>
            <w:r>
              <w:rPr>
                <w:rFonts w:ascii="Times New Roman" w:hAnsi="Times New Roman" w:eastAsia="Times New Roman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4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3.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Внешний</w:t>
            </w:r>
            <w:r>
              <w:rPr>
                <w:rFonts w:ascii="Times New Roman" w:hAnsi="Times New Roman" w:eastAsia="Times New Roman"/>
              </w:rPr>
            </w:r>
            <w:r>
              <w:rPr>
                <w:rFonts w:ascii="Times New Roman" w:hAnsi="Times New Roman"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90" w:type="pct"/>
            <w:vAlign w:val="center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Срыв сроков выполнения мероприятий (результатов) либо выполнение их не в полном объеме</w:t>
            </w:r>
            <w:r>
              <w:rPr>
                <w:rFonts w:ascii="Times New Roman" w:hAnsi="Times New Roman" w:eastAsia="Times New Roman"/>
              </w:rPr>
            </w:r>
            <w:r>
              <w:rPr>
                <w:rFonts w:ascii="Times New Roman" w:hAnsi="Times New Roman" w:eastAsia="Times New Roman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</w:rPr>
            </w:r>
            <w:r>
              <w:rPr>
                <w:rFonts w:ascii="Times New Roman" w:hAnsi="Times New Roman" w:eastAsia="Times New Roman"/>
              </w:rPr>
            </w:r>
            <w:r>
              <w:rPr>
                <w:rFonts w:ascii="Times New Roman" w:hAnsi="Times New Roman"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60" w:type="pct"/>
            <w:vAlign w:val="center"/>
            <w:textDirection w:val="lrTb"/>
            <w:noWrap w:val="false"/>
          </w:tcPr>
          <w:p>
            <w:pPr>
              <w:pStyle w:val="908"/>
              <w:jc w:val="both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Контроль и сопровождение всех действующих договоров и контрактов в части своевременности исполнения контрагентами своих обязательств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pStyle w:val="908"/>
              <w:jc w:val="both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1" w:type="pct"/>
            <w:vAlign w:val="center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/>
              </w:rPr>
              <w:t xml:space="preserve">Своевременное расторжение контрактов, проведение новых процедур для обеспечения заключения контрактов с иными исполнителями, поставщиками, подрядчиками</w:t>
            </w:r>
            <w:r>
              <w:rPr>
                <w:rFonts w:ascii="Times New Roman" w:hAnsi="Times New Roman" w:eastAsia="Times New Roman"/>
              </w:rPr>
            </w:r>
            <w:r>
              <w:rPr>
                <w:rFonts w:ascii="Times New Roman" w:hAnsi="Times New Roman"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Постоянно </w:t>
            </w:r>
            <w:r>
              <w:rPr>
                <w:rFonts w:ascii="Times New Roman" w:hAnsi="Times New Roman" w:eastAsia="Times New Roman"/>
              </w:rPr>
            </w:r>
            <w:r>
              <w:rPr>
                <w:rFonts w:ascii="Times New Roman" w:hAnsi="Times New Roman" w:eastAsia="Times New Roman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4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4.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Непредвиденный</w:t>
            </w:r>
            <w:r>
              <w:rPr>
                <w:rFonts w:ascii="Times New Roman" w:hAnsi="Times New Roman" w:eastAsia="Times New Roman"/>
              </w:rPr>
            </w:r>
            <w:r>
              <w:rPr>
                <w:rFonts w:ascii="Times New Roman" w:hAnsi="Times New Roman"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90" w:type="pct"/>
            <w:vAlign w:val="center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Снижение бюджетных доходов, необходимость концентрации бюджетных средств на преодоление последствий, связанных с кризисными явлениями в экономике, вызванные природными и техногенными катастрофами</w:t>
            </w:r>
            <w:r>
              <w:rPr>
                <w:rFonts w:ascii="Times New Roman" w:hAnsi="Times New Roman" w:eastAsia="Times New Roman"/>
              </w:rPr>
            </w:r>
            <w:r>
              <w:rPr>
                <w:rFonts w:ascii="Times New Roman" w:hAnsi="Times New Roman"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60" w:type="pct"/>
            <w:vAlign w:val="center"/>
            <w:textDirection w:val="lrTb"/>
            <w:noWrap w:val="false"/>
          </w:tcPr>
          <w:p>
            <w:pPr>
              <w:pStyle w:val="908"/>
              <w:jc w:val="both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Осуществление прогнозирования социально-экономического развития с учетом возможного ухудшения экономической ситуации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pStyle w:val="908"/>
              <w:jc w:val="both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1" w:type="pct"/>
            <w:vAlign w:val="center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Определение приоритетов для первоочередного финансирования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Ежегодно </w:t>
            </w:r>
            <w:r>
              <w:rPr>
                <w:rFonts w:ascii="Times New Roman" w:hAnsi="Times New Roman" w:eastAsia="Times New Roman"/>
              </w:rPr>
            </w:r>
            <w:r>
              <w:rPr>
                <w:rFonts w:ascii="Times New Roman" w:hAnsi="Times New Roman" w:eastAsia="Times New Roman"/>
              </w:rPr>
            </w:r>
          </w:p>
        </w:tc>
      </w:tr>
    </w:tbl>
    <w:p>
      <w:pPr>
        <w:ind w:firstLine="709"/>
        <w:jc w:val="both"/>
        <w:spacing w:after="0" w:line="240" w:lineRule="auto"/>
        <w:widowControl w:val="off"/>
        <w:tabs>
          <w:tab w:val="left" w:pos="993" w:leader="none"/>
        </w:tabs>
        <w:rPr>
          <w:rFonts w:ascii="Times New Roman" w:hAnsi="Times New Roman"/>
        </w:rPr>
      </w:pPr>
      <w:r>
        <w:rPr>
          <w:rFonts w:ascii="Times New Roman" w:hAnsi="Times New Roman"/>
        </w:rPr>
      </w: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ind w:firstLine="709"/>
        <w:jc w:val="both"/>
        <w:spacing w:after="0" w:line="240" w:lineRule="auto"/>
        <w:widowControl w:val="off"/>
        <w:tabs>
          <w:tab w:val="left" w:pos="993" w:leader="none"/>
        </w:tabs>
        <w:rPr>
          <w:rFonts w:ascii="Times New Roman" w:hAnsi="Times New Roman"/>
        </w:rPr>
      </w:pPr>
      <w:r>
        <w:rPr>
          <w:rFonts w:ascii="Times New Roman" w:hAnsi="Times New Roman"/>
        </w:rPr>
      </w: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ind w:left="360"/>
        <w:jc w:val="center"/>
        <w:spacing w:after="0" w:line="240" w:lineRule="auto"/>
        <w:widowControl w:val="off"/>
        <w:tabs>
          <w:tab w:val="left" w:pos="0" w:leader="none"/>
        </w:tabs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</w:r>
      <w:r>
        <w:rPr>
          <w:rFonts w:ascii="Times New Roman" w:hAnsi="Times New Roman"/>
          <w:b/>
        </w:rPr>
      </w:r>
      <w:r>
        <w:rPr>
          <w:rFonts w:ascii="Times New Roman" w:hAnsi="Times New Roman"/>
          <w:b/>
        </w:rPr>
      </w:r>
    </w:p>
    <w:p>
      <w:pPr>
        <w:ind w:left="360"/>
        <w:jc w:val="center"/>
        <w:spacing w:after="0" w:line="240" w:lineRule="auto"/>
        <w:widowControl w:val="off"/>
        <w:tabs>
          <w:tab w:val="left" w:pos="0" w:leader="none"/>
        </w:tabs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</w:p>
    <w:p>
      <w:pPr>
        <w:ind w:left="360"/>
        <w:jc w:val="center"/>
        <w:spacing w:after="0" w:line="240" w:lineRule="auto"/>
        <w:widowControl w:val="off"/>
        <w:tabs>
          <w:tab w:val="left" w:pos="0" w:leader="none"/>
        </w:tabs>
        <w:rPr>
          <w:rFonts w:ascii="Times New Roman" w:hAnsi="Times New Roman"/>
          <w:b/>
          <w:sz w:val="24"/>
          <w:szCs w:val="24"/>
        </w:rPr>
        <w:sectPr>
          <w:footnotePr/>
          <w:endnotePr/>
          <w:type w:val="nextPage"/>
          <w:pgSz w:w="16838" w:h="11905" w:orient="landscape"/>
          <w:pgMar w:top="851" w:right="851" w:bottom="849" w:left="1701" w:header="720" w:footer="720" w:gutter="0"/>
          <w:cols w:num="1" w:sep="0" w:space="720" w:equalWidth="1"/>
          <w:docGrid w:linePitch="360"/>
        </w:sectPr>
      </w:pP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</w:p>
    <w:p>
      <w:pPr>
        <w:jc w:val="center"/>
        <w:spacing w:after="0" w:line="240" w:lineRule="auto"/>
        <w:widowControl w:val="off"/>
        <w:tabs>
          <w:tab w:val="left" w:pos="0" w:leader="none"/>
        </w:tabs>
        <w:rPr>
          <w:rFonts w:ascii="Times New Roman" w:hAnsi="Times New Roman" w:eastAsia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7. Порядок взаимодействия </w:t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  <w:t xml:space="preserve">Ответственного исполнителя, Соисполнителей и участников муниципальной программы</w:t>
      </w:r>
      <w:r>
        <w:rPr>
          <w:rFonts w:ascii="Times New Roman" w:hAnsi="Times New Roman" w:eastAsia="Times New Roman"/>
          <w:b/>
          <w:sz w:val="24"/>
          <w:szCs w:val="24"/>
        </w:rPr>
      </w:r>
      <w:r>
        <w:rPr>
          <w:rFonts w:ascii="Times New Roman" w:hAnsi="Times New Roman" w:eastAsia="Times New Roman"/>
          <w:b/>
          <w:sz w:val="24"/>
          <w:szCs w:val="24"/>
        </w:rPr>
      </w:r>
    </w:p>
    <w:p>
      <w:pPr>
        <w:jc w:val="center"/>
        <w:spacing w:after="0" w:line="240" w:lineRule="auto"/>
        <w:rPr>
          <w:highlight w:val="yellow"/>
        </w:rPr>
      </w:pPr>
      <w:r/>
      <w:bookmarkStart w:id="2" w:name="Par3713"/>
      <w:r/>
      <w:bookmarkEnd w:id="2"/>
      <w:r>
        <w:rPr>
          <w:highlight w:val="yellow"/>
        </w:rPr>
      </w:r>
      <w:r>
        <w:rPr>
          <w:highlight w:val="yellow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Мониторинг и контроль реализации муниципальной программы осуществляется ответственным исполнителем программы – Управляющим делами администрации, который: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</w:rPr>
        <w:t xml:space="preserve">-</w:t>
      </w:r>
      <w:r>
        <w:rPr>
          <w:rFonts w:ascii="Times New Roman" w:hAnsi="Times New Roman" w:eastAsia="Times New Roman"/>
          <w:sz w:val="24"/>
          <w:lang w:eastAsia="ru-RU"/>
        </w:rPr>
        <w:t xml:space="preserve"> об</w:t>
      </w:r>
      <w:r>
        <w:rPr>
          <w:rFonts w:ascii="Times New Roman" w:hAnsi="Times New Roman" w:eastAsia="Times New Roman"/>
          <w:sz w:val="24"/>
          <w:lang w:eastAsia="ru-RU"/>
        </w:rPr>
        <w:t xml:space="preserve">еспечивает совместно с Соисполнителями разработку проекта Программы, проектов постановлений Администрации об утверждении муниципальной программы и (или) о внесении изменений в муниципальную программу и их согласование в соответствии с требованиями Порядка 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разработки, реализации и оценки эффективности муниципальных программ Печенгского муниципального округа, утвержденного постановлением администрации Печенгского муниципального округа от 18.09.2025 № 1488 (далее – Порядок);</w:t>
      </w: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 w:eastAsia="Times New Roman"/>
          <w:sz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-</w:t>
      </w:r>
      <w:r>
        <w:rPr>
          <w:rFonts w:ascii="Times New Roman" w:hAnsi="Times New Roman" w:eastAsia="Times New Roman"/>
          <w:sz w:val="24"/>
          <w:lang w:eastAsia="ru-RU"/>
        </w:rPr>
        <w:t xml:space="preserve"> организует и координирует реализацию муниципальной программы, несет ответственность за достижение показателей муниципальной программы и конечных результатов ее реализации в части его касающейся;</w:t>
      </w: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</w:p>
    <w:p>
      <w:pPr>
        <w:ind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 w:eastAsia="Times New Roman"/>
          <w:sz w:val="24"/>
          <w:lang w:eastAsia="ru-RU"/>
        </w:rPr>
      </w:pPr>
      <w:r>
        <w:rPr>
          <w:rFonts w:ascii="Times New Roman" w:hAnsi="Times New Roman" w:eastAsia="Times New Roman"/>
          <w:sz w:val="24"/>
          <w:lang w:eastAsia="ru-RU"/>
        </w:rPr>
        <w:t xml:space="preserve">- осуществляет мониторинг реализации муниципальной программы и подготовку отчетов о ходе реализации муниципальной программы в соответствии с требованиями Порядка.</w:t>
      </w: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</w:p>
    <w:p>
      <w:pPr>
        <w:ind w:firstLine="709"/>
        <w:jc w:val="both"/>
        <w:spacing w:after="0" w:line="288" w:lineRule="atLeast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Соисполнителями муниципальной программы являются: сектор муниципальной службы и кадров, МКУ «Управление по ОДА», МБУ «ЦБ», МБУ «РЭС», 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МБУ «НДС», 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ФИНУ, КУИ, отдел ЗАГС, административная комиссия, ОПВУ, специалист по работе с населением, Комиссия ПДН и ЗП, сектор по охране прав детей отдела образования, юридический отдел, отдел строительства и ЖКХ, МАУ «Информцентр» которые:</w:t>
      </w: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 w:eastAsia="Times New Roman"/>
          <w:sz w:val="24"/>
          <w:lang w:eastAsia="ru-RU"/>
        </w:rPr>
      </w:pPr>
      <w:r>
        <w:rPr>
          <w:rFonts w:ascii="Times New Roman" w:hAnsi="Times New Roman" w:eastAsia="Times New Roman"/>
          <w:sz w:val="24"/>
          <w:lang w:eastAsia="ru-RU"/>
        </w:rPr>
        <w:t xml:space="preserve">- обеспечивают разработку и реализацию комплексов процессных мероприятий муниципальной программы, в отношении которых являются соисполнителями;</w:t>
      </w: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</w:p>
    <w:p>
      <w:pPr>
        <w:ind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 w:eastAsia="Times New Roman"/>
          <w:sz w:val="24"/>
          <w:lang w:eastAsia="ru-RU"/>
        </w:rPr>
      </w:pPr>
      <w:r>
        <w:rPr>
          <w:rFonts w:ascii="Times New Roman" w:hAnsi="Times New Roman" w:eastAsia="Times New Roman"/>
          <w:sz w:val="24"/>
          <w:lang w:eastAsia="ru-RU"/>
        </w:rPr>
        <w:t xml:space="preserve">- несут ответственность за</w:t>
      </w:r>
      <w:bookmarkStart w:id="3" w:name="_GoBack"/>
      <w:r/>
      <w:bookmarkEnd w:id="3"/>
      <w:r>
        <w:rPr>
          <w:rFonts w:ascii="Times New Roman" w:hAnsi="Times New Roman" w:eastAsia="Times New Roman"/>
          <w:sz w:val="24"/>
          <w:lang w:eastAsia="ru-RU"/>
        </w:rPr>
        <w:t xml:space="preserve"> достижение плановых значений показателей муниципальной программы в части, их касающейся;</w:t>
      </w: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</w:p>
    <w:p>
      <w:pPr>
        <w:ind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 w:eastAsia="Times New Roman"/>
          <w:sz w:val="24"/>
          <w:lang w:eastAsia="ru-RU"/>
        </w:rPr>
      </w:pPr>
      <w:r>
        <w:rPr>
          <w:rFonts w:ascii="Times New Roman" w:hAnsi="Times New Roman" w:eastAsia="Times New Roman"/>
          <w:sz w:val="24"/>
          <w:lang w:eastAsia="ru-RU"/>
        </w:rPr>
        <w:t xml:space="preserve">- формирует предложения по разработке проекта муниципальной программы, внесению изменений в муниципальную программу;</w:t>
      </w: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</w:p>
    <w:p>
      <w:pPr>
        <w:ind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 w:eastAsia="Times New Roman"/>
          <w:sz w:val="24"/>
          <w:lang w:eastAsia="ru-RU"/>
        </w:rPr>
      </w:pPr>
      <w:r>
        <w:rPr>
          <w:rFonts w:ascii="Times New Roman" w:hAnsi="Times New Roman" w:eastAsia="Times New Roman"/>
          <w:sz w:val="24"/>
          <w:lang w:eastAsia="ru-RU"/>
        </w:rPr>
        <w:t xml:space="preserve">- в пределах своей компетенции участвуют в разработке плана реализации муниципальной программы, направляют Управляющему делами администрации соответствующие предложения;</w:t>
      </w: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</w:p>
    <w:p>
      <w:pPr>
        <w:ind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 w:eastAsia="Times New Roman"/>
          <w:sz w:val="24"/>
          <w:lang w:eastAsia="ru-RU"/>
        </w:rPr>
      </w:pPr>
      <w:r>
        <w:rPr>
          <w:rFonts w:ascii="Times New Roman" w:hAnsi="Times New Roman" w:eastAsia="Times New Roman"/>
          <w:sz w:val="24"/>
          <w:lang w:eastAsia="ru-RU"/>
        </w:rPr>
        <w:t xml:space="preserve">- представляют в отдел экономического развития в электронном виде в срок и по формам, установленным Порядком, всю необходимую информацию для проведения мониторинга и оценки эффективности муниципальной программы.</w:t>
      </w: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</w:p>
    <w:p>
      <w:pPr>
        <w:ind w:firstLine="567"/>
        <w:jc w:val="both"/>
        <w:spacing w:after="0" w:line="240" w:lineRule="auto"/>
        <w:tabs>
          <w:tab w:val="left" w:pos="993" w:leader="none"/>
        </w:tabs>
        <w:rPr>
          <w:rFonts w:ascii="Times New Roman" w:hAnsi="Times New Roman" w:eastAsia="Times New Roman"/>
          <w:sz w:val="24"/>
          <w:lang w:eastAsia="ru-RU"/>
        </w:rPr>
      </w:pP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</w:p>
    <w:p>
      <w:pPr>
        <w:ind w:firstLine="567"/>
        <w:jc w:val="both"/>
        <w:spacing w:after="0" w:line="240" w:lineRule="auto"/>
        <w:tabs>
          <w:tab w:val="left" w:pos="993" w:leader="none"/>
        </w:tabs>
        <w:rPr>
          <w:rFonts w:ascii="Times New Roman" w:hAnsi="Times New Roman" w:eastAsia="Times New Roman"/>
          <w:sz w:val="24"/>
          <w:lang w:eastAsia="ru-RU"/>
        </w:rPr>
      </w:pP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</w:p>
    <w:p>
      <w:pPr>
        <w:ind w:firstLine="567"/>
        <w:jc w:val="both"/>
        <w:spacing w:after="0" w:line="240" w:lineRule="auto"/>
        <w:tabs>
          <w:tab w:val="left" w:pos="993" w:leader="none"/>
        </w:tabs>
        <w:rPr>
          <w:rFonts w:ascii="Times New Roman" w:hAnsi="Times New Roman" w:eastAsia="Times New Roman"/>
          <w:sz w:val="24"/>
          <w:lang w:eastAsia="ru-RU"/>
        </w:rPr>
      </w:pP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</w:p>
    <w:p>
      <w:pPr>
        <w:ind w:firstLine="567"/>
        <w:jc w:val="both"/>
        <w:spacing w:after="0" w:line="240" w:lineRule="auto"/>
        <w:tabs>
          <w:tab w:val="left" w:pos="993" w:leader="none"/>
        </w:tabs>
        <w:rPr>
          <w:rFonts w:ascii="Times New Roman" w:hAnsi="Times New Roman" w:eastAsia="Times New Roman"/>
          <w:sz w:val="24"/>
          <w:lang w:eastAsia="ru-RU"/>
        </w:rPr>
      </w:pP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</w:p>
    <w:p>
      <w:pPr>
        <w:ind w:firstLine="567"/>
        <w:jc w:val="both"/>
        <w:spacing w:after="0" w:line="240" w:lineRule="auto"/>
        <w:tabs>
          <w:tab w:val="left" w:pos="993" w:leader="none"/>
        </w:tabs>
        <w:rPr>
          <w:rFonts w:ascii="Times New Roman" w:hAnsi="Times New Roman" w:eastAsia="Times New Roman"/>
          <w:sz w:val="24"/>
          <w:lang w:eastAsia="ru-RU"/>
        </w:rPr>
      </w:pP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</w:p>
    <w:p>
      <w:pPr>
        <w:ind w:firstLine="567"/>
        <w:jc w:val="both"/>
        <w:spacing w:after="0" w:line="240" w:lineRule="auto"/>
        <w:tabs>
          <w:tab w:val="left" w:pos="993" w:leader="none"/>
        </w:tabs>
        <w:rPr>
          <w:rFonts w:ascii="Times New Roman" w:hAnsi="Times New Roman" w:eastAsia="Times New Roman"/>
          <w:sz w:val="24"/>
          <w:lang w:eastAsia="ru-RU"/>
        </w:rPr>
      </w:pP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</w:p>
    <w:p>
      <w:pPr>
        <w:ind w:firstLine="567"/>
        <w:jc w:val="both"/>
        <w:spacing w:after="0" w:line="240" w:lineRule="auto"/>
        <w:tabs>
          <w:tab w:val="left" w:pos="993" w:leader="none"/>
        </w:tabs>
        <w:rPr>
          <w:rFonts w:ascii="Times New Roman" w:hAnsi="Times New Roman" w:eastAsia="Times New Roman"/>
          <w:sz w:val="24"/>
          <w:lang w:eastAsia="ru-RU"/>
        </w:rPr>
      </w:pP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</w:p>
    <w:p>
      <w:pPr>
        <w:ind w:firstLine="567"/>
        <w:jc w:val="both"/>
        <w:spacing w:after="0" w:line="240" w:lineRule="auto"/>
        <w:tabs>
          <w:tab w:val="left" w:pos="993" w:leader="none"/>
        </w:tabs>
        <w:rPr>
          <w:rFonts w:ascii="Times New Roman" w:hAnsi="Times New Roman" w:eastAsia="Times New Roman"/>
          <w:sz w:val="24"/>
          <w:lang w:eastAsia="ru-RU"/>
        </w:rPr>
      </w:pP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</w:p>
    <w:p>
      <w:pPr>
        <w:ind w:firstLine="567"/>
        <w:jc w:val="both"/>
        <w:spacing w:after="0" w:line="240" w:lineRule="auto"/>
        <w:tabs>
          <w:tab w:val="left" w:pos="993" w:leader="none"/>
        </w:tabs>
        <w:rPr>
          <w:rFonts w:ascii="Times New Roman" w:hAnsi="Times New Roman" w:eastAsia="Times New Roman"/>
          <w:sz w:val="24"/>
          <w:lang w:eastAsia="ru-RU"/>
        </w:rPr>
      </w:pP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</w:p>
    <w:p>
      <w:pPr>
        <w:ind w:firstLine="567"/>
        <w:jc w:val="both"/>
        <w:spacing w:after="0" w:line="240" w:lineRule="auto"/>
        <w:tabs>
          <w:tab w:val="left" w:pos="993" w:leader="none"/>
        </w:tabs>
        <w:rPr>
          <w:rFonts w:ascii="Times New Roman" w:hAnsi="Times New Roman" w:eastAsia="Times New Roman"/>
          <w:sz w:val="24"/>
          <w:lang w:eastAsia="ru-RU"/>
        </w:rPr>
      </w:pP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</w:p>
    <w:p>
      <w:pPr>
        <w:ind w:firstLine="567"/>
        <w:jc w:val="both"/>
        <w:spacing w:after="0" w:line="240" w:lineRule="auto"/>
        <w:tabs>
          <w:tab w:val="left" w:pos="993" w:leader="none"/>
        </w:tabs>
        <w:rPr>
          <w:rFonts w:ascii="Times New Roman" w:hAnsi="Times New Roman" w:eastAsia="Times New Roman"/>
          <w:sz w:val="24"/>
          <w:lang w:eastAsia="ru-RU"/>
        </w:rPr>
      </w:pP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</w:p>
    <w:p>
      <w:pPr>
        <w:ind w:firstLine="567"/>
        <w:jc w:val="both"/>
        <w:spacing w:after="0" w:line="240" w:lineRule="auto"/>
        <w:tabs>
          <w:tab w:val="left" w:pos="993" w:leader="none"/>
        </w:tabs>
        <w:rPr>
          <w:rFonts w:ascii="Times New Roman" w:hAnsi="Times New Roman" w:eastAsia="Times New Roman"/>
          <w:sz w:val="24"/>
          <w:lang w:eastAsia="ru-RU"/>
        </w:rPr>
      </w:pP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</w:p>
    <w:p>
      <w:pPr>
        <w:ind w:firstLine="567"/>
        <w:jc w:val="both"/>
        <w:spacing w:after="0" w:line="240" w:lineRule="auto"/>
        <w:tabs>
          <w:tab w:val="left" w:pos="993" w:leader="none"/>
        </w:tabs>
        <w:rPr>
          <w:rFonts w:ascii="Times New Roman" w:hAnsi="Times New Roman" w:eastAsia="Times New Roman"/>
          <w:sz w:val="24"/>
          <w:lang w:eastAsia="ru-RU"/>
        </w:rPr>
      </w:pP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</w:p>
    <w:p>
      <w:pPr>
        <w:ind w:firstLine="567"/>
        <w:jc w:val="both"/>
        <w:spacing w:after="0" w:line="240" w:lineRule="auto"/>
        <w:tabs>
          <w:tab w:val="left" w:pos="993" w:leader="none"/>
        </w:tabs>
        <w:rPr>
          <w:rFonts w:ascii="Times New Roman" w:hAnsi="Times New Roman" w:eastAsia="Times New Roman"/>
          <w:sz w:val="24"/>
          <w:lang w:eastAsia="ru-RU"/>
        </w:rPr>
      </w:pP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</w:p>
    <w:p>
      <w:pPr>
        <w:jc w:val="both"/>
        <w:spacing w:after="0" w:line="240" w:lineRule="auto"/>
        <w:tabs>
          <w:tab w:val="left" w:pos="993" w:leader="none"/>
        </w:tabs>
        <w:rPr>
          <w:rFonts w:ascii="Times New Roman" w:hAnsi="Times New Roman" w:eastAsia="Times New Roman"/>
          <w:sz w:val="24"/>
          <w:lang w:eastAsia="ru-RU"/>
        </w:rPr>
      </w:pP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</w:p>
    <w:p>
      <w:pPr>
        <w:ind w:firstLine="567"/>
        <w:jc w:val="both"/>
        <w:spacing w:after="0" w:line="240" w:lineRule="auto"/>
        <w:tabs>
          <w:tab w:val="left" w:pos="993" w:leader="none"/>
        </w:tabs>
        <w:rPr>
          <w:rFonts w:ascii="Times New Roman" w:hAnsi="Times New Roman" w:eastAsia="Times New Roman"/>
          <w:sz w:val="24"/>
          <w:lang w:eastAsia="ru-RU"/>
        </w:rPr>
        <w:sectPr>
          <w:footnotePr/>
          <w:endnotePr/>
          <w:type w:val="nextPage"/>
          <w:pgSz w:w="11905" w:h="16838" w:orient="portrait"/>
          <w:pgMar w:top="1135" w:right="706" w:bottom="1701" w:left="1276" w:header="720" w:footer="720" w:gutter="0"/>
          <w:cols w:num="1" w:sep="0" w:space="720" w:equalWidth="1"/>
          <w:docGrid w:linePitch="360"/>
        </w:sectPr>
      </w:pP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/>
          <w:b/>
          <w:sz w:val="24"/>
          <w:szCs w:val="24"/>
        </w:rPr>
      </w:pPr>
      <w:r>
        <w:rPr>
          <w:rFonts w:ascii="Times New Roman" w:hAnsi="Times New Roman" w:eastAsia="Times New Roman"/>
          <w:b/>
          <w:sz w:val="24"/>
          <w:szCs w:val="24"/>
          <w:lang w:eastAsia="ru-RU"/>
        </w:rPr>
        <w:t xml:space="preserve">8. Сведения об источниках и методике расчета значений показателей муниципальной программы</w:t>
      </w:r>
      <w:r>
        <w:rPr>
          <w:rFonts w:ascii="Times New Roman" w:hAnsi="Times New Roman" w:eastAsia="Times New Roman"/>
          <w:b/>
          <w:sz w:val="24"/>
          <w:szCs w:val="24"/>
        </w:rPr>
      </w:r>
      <w:r>
        <w:rPr>
          <w:rFonts w:ascii="Times New Roman" w:hAnsi="Times New Roman" w:eastAsia="Times New Roman"/>
          <w:b/>
          <w:sz w:val="24"/>
          <w:szCs w:val="24"/>
        </w:rPr>
      </w:r>
    </w:p>
    <w:p>
      <w:pPr>
        <w:ind w:firstLine="709"/>
        <w:jc w:val="center"/>
        <w:spacing w:after="0" w:line="288" w:lineRule="atLeast"/>
        <w:rPr>
          <w:rFonts w:ascii="Times New Roman" w:hAnsi="Times New Roman" w:eastAsia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</w:p>
    <w:tbl>
      <w:tblPr>
        <w:tblW w:w="14307" w:type="dxa"/>
        <w:tblInd w:w="1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0"/>
        <w:gridCol w:w="3132"/>
        <w:gridCol w:w="1121"/>
        <w:gridCol w:w="1559"/>
        <w:gridCol w:w="2693"/>
        <w:gridCol w:w="2410"/>
        <w:gridCol w:w="1276"/>
        <w:gridCol w:w="1556"/>
      </w:tblGrid>
      <w:tr>
        <w:tblPrEx/>
        <w:trPr/>
        <w:tc>
          <w:tcPr>
            <w:tcW w:w="56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  № п/п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W w:w="313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Наименование показателя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W w:w="112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Единица измерения, временная характеристика</w:t>
            </w:r>
            <w:r>
              <w:rPr>
                <w:rFonts w:ascii="Times New Roman" w:hAnsi="Times New Roman" w:eastAsia="Times New Roman"/>
                <w:sz w:val="20"/>
                <w:szCs w:val="20"/>
                <w:vertAlign w:val="superscript"/>
                <w:lang w:eastAsia="ru-RU"/>
              </w:rPr>
              <w:t xml:space="preserve">4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Алгоритм расчета (формула)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W w:w="269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Базовые показатели (используемые в формуле)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W w:w="241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Метод сбора информации,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код формы отчетности</w:t>
            </w:r>
            <w:r>
              <w:rPr>
                <w:rFonts w:ascii="Times New Roman" w:hAnsi="Times New Roman" w:eastAsia="Times New Roman"/>
                <w:sz w:val="20"/>
                <w:szCs w:val="20"/>
                <w:vertAlign w:val="superscript"/>
                <w:lang w:eastAsia="ru-RU"/>
              </w:rPr>
              <w:t xml:space="preserve">5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W w:w="1276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Дата получения фактических значений показателей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W w:w="1556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Ответственный исполнитель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568"/>
        </w:trPr>
        <w:tc>
          <w:tcPr>
            <w:tcW w:w="560" w:type="dxa"/>
            <w:vAlign w:val="center"/>
            <w:textDirection w:val="lrTb"/>
            <w:noWrap w:val="false"/>
          </w:tcPr>
          <w:p>
            <w:pPr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gridSpan w:val="7"/>
            <w:tcW w:w="13747" w:type="dxa"/>
            <w:vAlign w:val="center"/>
            <w:textDirection w:val="lrTb"/>
            <w:noWrap w:val="false"/>
          </w:tcPr>
          <w:p>
            <w:pPr>
              <w:jc w:val="both"/>
              <w:spacing w:after="0" w:line="288" w:lineRule="atLeast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Муниципальная программа «Муниципальное управление: эффективный муниципалите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т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»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540"/>
        </w:trPr>
        <w:tc>
          <w:tcPr>
            <w:tcW w:w="56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W w:w="3132" w:type="dxa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Доля муниципальных служащих администрации Печенгского муниципального округа и ее структурных подразделений, подтвердивших свою квалификацию в результате аттестации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W w:w="1121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процент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1559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Д = (Чмсд/Чмсп)*100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W w:w="269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Чмсд - численность муниципальных служащих подтвердивших свою квалификацию в результате аттестации, человек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W w:w="241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Ведомственные данные (отчет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сектора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 муниципальной службы и кадров)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W w:w="1276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ежегодно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февраль </w:t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</w:p>
        </w:tc>
        <w:tc>
          <w:tcPr>
            <w:tcW w:w="1556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сектор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 муниципальной службы и кадров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840"/>
        </w:trPr>
        <w:tc>
          <w:tcPr>
            <w:tcW w:w="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W w:w="3132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W w:w="1121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W w:w="269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Чмсп – численность муниципальных служащих допущенных к аттестации, человек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W w:w="127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W w:w="155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840"/>
        </w:trPr>
        <w:tc>
          <w:tcPr>
            <w:tcW w:w="56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2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W w:w="3132" w:type="dxa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Доля муниципальных служащих и лиц, замещающих муниципальные должности, повысивших квалификацию, от общего числа лиц, направленных на повышение квалификации, профессиональную переподготовку.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W w:w="1121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процент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1559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Д= (Чмсн/Чмсп)*100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W w:w="269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Чмсн- численность муниципальных служащих повысивших свою квалификацию, человек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W w:w="241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Ведомственные данные (отчет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сектора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 муниципальной службы и кадров)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W w:w="1276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ежегодно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февраль</w:t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</w:p>
        </w:tc>
        <w:tc>
          <w:tcPr>
            <w:tcW w:w="1556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сектор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 муниципальной службы и кадров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765"/>
        </w:trPr>
        <w:tc>
          <w:tcPr>
            <w:tcW w:w="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W w:w="3132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W w:w="1121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W w:w="269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ff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Чмсп – численность муниципальных служащих направленных на повышение квалификации, человек</w:t>
            </w:r>
            <w:r>
              <w:rPr>
                <w:rFonts w:ascii="Times New Roman" w:hAnsi="Times New Roman" w:eastAsia="Times New Roman"/>
                <w:color w:val="ff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ff0000"/>
                <w:sz w:val="20"/>
                <w:szCs w:val="20"/>
                <w:lang w:eastAsia="ru-RU"/>
              </w:rPr>
            </w:r>
          </w:p>
        </w:tc>
        <w:tc>
          <w:tcPr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W w:w="155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10"/>
        </w:trPr>
        <w:tc>
          <w:tcPr>
            <w:tcW w:w="56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3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W w:w="3132" w:type="dxa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Своевременность исполнения документов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W w:w="1121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процент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1559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Сид=(Пд/Ос)*100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W w:w="2693" w:type="dxa"/>
            <w:vAlign w:val="center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Пд- количество  сотрудников ОМСУ, соблюдающих сроки рассмотрения и исполнения документов, человек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bottom w:val="single" w:color="000000" w:sz="4" w:space="0"/>
            </w:tcBorders>
            <w:tcW w:w="241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Данные системы электронного документооборота 1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С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W w:w="1276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ежегодно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февраль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W w:w="1556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МКУ «Управление по ОДА»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322"/>
        </w:trPr>
        <w:tc>
          <w:tcPr>
            <w:tcW w:w="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W w:w="3132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W w:w="1121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right w:val="single" w:color="000000" w:sz="4" w:space="0"/>
            </w:tcBorders>
            <w:tcW w:w="2693" w:type="dxa"/>
            <w:vAlign w:val="center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Ос - общее количество сотрудников ОМСУ, человек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left w:val="single" w:color="000000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W w:w="155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615"/>
        </w:trPr>
        <w:tc>
          <w:tcPr>
            <w:tcW w:w="56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4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W w:w="3132" w:type="dxa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Доля сводной отчетности, предоставленной с соблюдением сроков предоставления и достоверности в общем количестве сводной информации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W w:w="1121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процент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1559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Д=(СО/ДОПС)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*100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right w:val="single" w:color="000000" w:sz="4" w:space="0"/>
            </w:tcBorders>
            <w:tcW w:w="2693" w:type="dxa"/>
            <w:vAlign w:val="center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СО- общее количество отчетных данных, предоставленных данных с соблюдением сроков и достоверностью данных, единиц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1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Данные системы электронного документооборота 1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С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. Поступление предписаний, протоколов о привлечении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к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ответственности, контролирующих органов за несвоевременной и недостоверной предоставлен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ной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 отчетности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left w:val="single" w:color="000000" w:sz="4" w:space="0"/>
            </w:tcBorders>
            <w:tcW w:w="1276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ежегодно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февраль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W w:w="1556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МКУ «Управление по ОДА»,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МБУ «ЦБ», 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МБУ «РЭС»,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МБУ «НДС»,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ФИНУ, КУИ, отдел ЗАГС, административная комиссия, ОПВУ,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ОС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 и ЖКХ, специалист по работе с населением, Комиссия ПДН и ЗП, юридичес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кий отдел,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МАУ «Информцентр»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525"/>
        </w:trPr>
        <w:tc>
          <w:tcPr>
            <w:tcW w:w="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W w:w="3132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W w:w="1121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right w:val="single" w:color="000000" w:sz="4" w:space="0"/>
            </w:tcBorders>
            <w:tcW w:w="2693" w:type="dxa"/>
            <w:vAlign w:val="center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ДОПС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- общее количество сводных отчетных данных предоставляемых ОМСУ, единиц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left w:val="single" w:color="000000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W w:w="155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570"/>
        </w:trPr>
        <w:tc>
          <w:tcPr>
            <w:tcW w:w="56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5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W w:w="3132" w:type="dxa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Доля рабочих мест, обеспеченных компьютерным оборудованием, оргтехникой, расходными материалами, комплектующими и программными комплексами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W w:w="1121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процент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1559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Д=(Окрм/Оскрм)*100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W w:w="2693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Окрм – количество рабочих мест оснащенных компьютерным оборудованием, оргтехникой, расходными материалами, комплектующими, единиц 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</w:tcBorders>
            <w:tcW w:w="241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Ведомственные данные отчет о работе МКУ «Управление по ОДА»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W w:w="1276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ежегодно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февраль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W w:w="1556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МКУ «Управление по ОДА»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585"/>
        </w:trPr>
        <w:tc>
          <w:tcPr>
            <w:tcW w:w="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W w:w="3132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W w:w="1121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W w:w="2693" w:type="dxa"/>
            <w:vAlign w:val="center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Оскрм - общее количество рабочих мест, единиц 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W w:w="155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735"/>
        </w:trPr>
        <w:tc>
          <w:tcPr>
            <w:tcW w:w="56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6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W w:w="3132" w:type="dxa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Доля готовности объектов (зданий, помещений), к эксплуатации, соответствующих требованиям пожарных и санитарно-технических норм и правил от общего числа таких помещений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W w:w="1121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процент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1559" w:type="dxa"/>
            <w:vAlign w:val="center"/>
            <w:vMerge w:val="restart"/>
            <w:textDirection w:val="lrTb"/>
            <w:noWrap w:val="false"/>
          </w:tcPr>
          <w:p>
            <w:pPr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Д = Д</w:t>
            </w:r>
            <w:r>
              <w:rPr>
                <w:rFonts w:ascii="Times New Roman" w:hAnsi="Times New Roman" w:eastAsia="Times New Roman"/>
                <w:sz w:val="20"/>
                <w:szCs w:val="20"/>
                <w:vertAlign w:val="subscript"/>
                <w:lang w:eastAsia="ru-RU"/>
              </w:rPr>
              <w:t xml:space="preserve">го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 /Д</w:t>
            </w:r>
            <w:r>
              <w:rPr>
                <w:rFonts w:ascii="Times New Roman" w:hAnsi="Times New Roman" w:eastAsia="Times New Roman"/>
                <w:sz w:val="20"/>
                <w:szCs w:val="20"/>
                <w:vertAlign w:val="subscript"/>
                <w:lang w:eastAsia="ru-RU"/>
              </w:rPr>
              <w:t xml:space="preserve">оо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 *100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W w:w="2693" w:type="dxa"/>
            <w:vAlign w:val="center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Дго –</w:t>
            </w:r>
            <w: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количество объектов </w:t>
            </w:r>
            <w: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(зданий, помещений) готовых к эксплуатации, соответствующих требованиям пожарных и санитарно-технических но</w:t>
            </w:r>
            <w: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р</w:t>
            </w:r>
            <w: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м и правил, штук</w:t>
            </w:r>
            <w: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r>
            <w: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r>
          </w:p>
        </w:tc>
        <w:tc>
          <w:tcPr>
            <w:tcW w:w="241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Ведомственные данные отчет о работе МКУ «Управление по ОДА»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W w:w="1276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ежегодно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февраль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W w:w="1556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МБУ «РЭС»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, МБУ «НДС»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956"/>
        </w:trPr>
        <w:tc>
          <w:tcPr>
            <w:tcW w:w="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W w:w="3132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W w:w="1121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W w:w="2693" w:type="dxa"/>
            <w:vAlign w:val="center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Д</w:t>
            </w:r>
            <w:r>
              <w:rPr>
                <w:rFonts w:ascii="Times New Roman" w:hAnsi="Times New Roman" w:eastAsia="Times New Roman"/>
                <w:sz w:val="20"/>
                <w:szCs w:val="20"/>
                <w:vertAlign w:val="subscript"/>
                <w:lang w:eastAsia="ru-RU"/>
              </w:rPr>
              <w:t xml:space="preserve">оо</w:t>
            </w:r>
            <w:r>
              <w:rPr>
                <w:rFonts w:ascii="Times New Roman" w:hAnsi="Times New Roman" w:eastAsia="Times New Roman"/>
                <w:sz w:val="20"/>
                <w:szCs w:val="20"/>
                <w:vertAlign w:val="subscript"/>
              </w:rPr>
              <w:t xml:space="preserve">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- общее количество эксплуатируемых объектов (зданий, помещений), штук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W w:w="155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</w:p>
        </w:tc>
      </w:tr>
      <w:tr>
        <w:tblPrEx/>
        <w:trPr>
          <w:trHeight w:val="300"/>
        </w:trPr>
        <w:tc>
          <w:tcPr>
            <w:tcW w:w="56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7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132" w:type="dxa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Доля удовлетворенных заявок на  материально-техническое и транспортное обеспечение из общего числа поступивших заявок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21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процент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W w:w="1559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Д</w:t>
            </w:r>
            <w:r>
              <w:rPr>
                <w:rFonts w:ascii="Times New Roman" w:hAnsi="Times New Roman" w:eastAsia="Times New Roman"/>
                <w:sz w:val="20"/>
                <w:szCs w:val="20"/>
                <w:lang w:val="en-US" w:eastAsia="ru-RU"/>
              </w:rPr>
              <w:t xml:space="preserve">=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(Уз/ Окз)*100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693" w:type="dxa"/>
            <w:vAlign w:val="center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Окз</w:t>
            </w:r>
            <w:r>
              <w:rPr>
                <w:rFonts w:ascii="Times New Roman" w:hAnsi="Times New Roman" w:eastAsia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-</w:t>
            </w:r>
            <w:r>
              <w:rPr>
                <w:rFonts w:ascii="Times New Roman" w:hAnsi="Times New Roman" w:eastAsia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общее количество заявок на транспортное и материально-техническое обеспечение, поступивших для исполнения, штук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41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Ведомственные данные отчет о работе МКУ «Управление по ОДА»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276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ежегодно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февраль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56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МКУ «Управление по ОДА»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90"/>
        </w:trPr>
        <w:tc>
          <w:tcPr>
            <w:tcW w:w="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132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21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693" w:type="dxa"/>
            <w:vAlign w:val="center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Уз</w:t>
            </w:r>
            <w:r>
              <w:rPr>
                <w:rFonts w:ascii="Times New Roman" w:hAnsi="Times New Roman" w:eastAsia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-</w:t>
            </w:r>
            <w:r>
              <w:rPr>
                <w:rFonts w:ascii="Times New Roman" w:hAnsi="Times New Roman" w:eastAsia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общее количество исполненных заявок, штук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5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705"/>
        </w:trPr>
        <w:tc>
          <w:tcPr>
            <w:tcW w:w="56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8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132" w:type="dxa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Доля работников ОМСУ, обеспеченных средствами электронной подписи и защиты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информации в соответствии с установленными требованиями и задачами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21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процент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W w:w="1559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Д=(Росэпз/Р)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*100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693" w:type="dxa"/>
            <w:vAlign w:val="center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Росэпз</w:t>
            </w:r>
            <w:r>
              <w:rPr>
                <w:rFonts w:ascii="Times New Roman" w:hAnsi="Times New Roman" w:eastAsia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-</w:t>
            </w:r>
            <w:r>
              <w:rPr>
                <w:rFonts w:ascii="Times New Roman" w:hAnsi="Times New Roman" w:eastAsia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количество работников</w:t>
            </w:r>
            <w:r>
              <w:t xml:space="preserve">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обеспеченных средствами электронной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подписи и защиты информации в соответствии с установленными требованиями и задачами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41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Ведомственные данные отчет о работе МКУ «Управление по ОДА»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276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ежегодно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февраль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56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МКУ «Управление по ОДА»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675"/>
        </w:trPr>
        <w:tc>
          <w:tcPr>
            <w:tcW w:w="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W w:w="3132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W w:w="1121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W w:w="2693" w:type="dxa"/>
            <w:vAlign w:val="center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Р-общее количество работников, использующих ЭЦП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W w:w="155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</w:p>
        </w:tc>
      </w:tr>
      <w:tr>
        <w:tblPrEx/>
        <w:trPr>
          <w:trHeight w:val="1770"/>
        </w:trPr>
        <w:tc>
          <w:tcPr>
            <w:tcW w:w="56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9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W w:w="3132" w:type="dxa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Уровень «Цифровой зрелости»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W w:w="1121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процент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1559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З=З1/З2*100%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W w:w="2693" w:type="dxa"/>
            <w:vAlign w:val="center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З1</w:t>
            </w:r>
            <w:r>
              <w:rPr>
                <w:rFonts w:ascii="Times New Roman" w:hAnsi="Times New Roman" w:eastAsia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- сумма средств потраченных на организацию работ по защите информации на покупку и аренду Российского программного обеспечения и технических средств Российского производства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W w:w="241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Ведомственные данные отчет о работе МКУ «Управление по ОДА»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W w:w="1276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ежегодно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февраль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W w:w="1556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МКУ «Управление по ОДА»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515"/>
        </w:trPr>
        <w:tc>
          <w:tcPr>
            <w:tcW w:w="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W w:w="3132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W w:w="1121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W w:w="2693" w:type="dxa"/>
            <w:vAlign w:val="center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З2</w:t>
            </w:r>
            <w:r>
              <w:rPr>
                <w:rFonts w:ascii="Times New Roman" w:hAnsi="Times New Roman" w:eastAsia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- общая сумма денежных средств направленных в закупки для организации работ по защите информации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W w:w="155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450"/>
        </w:trPr>
        <w:tc>
          <w:tcPr>
            <w:tcW w:w="56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10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W w:w="3132" w:type="dxa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Стоимостная доля закупаемого и (или) арендуемого отечественного программного обеспечения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W w:w="1121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1559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П=П1/П2*100%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W w:w="2693" w:type="dxa"/>
            <w:vAlign w:val="center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П1</w:t>
            </w:r>
            <w:r>
              <w:rPr>
                <w:rFonts w:ascii="Times New Roman" w:hAnsi="Times New Roman" w:eastAsia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-</w:t>
            </w:r>
            <w:r>
              <w:t xml:space="preserve">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сумма всех денежных средств потраченных на покупку и аренду Российского программного обеспечения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W w:w="241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Ведомственные данные отчет о работе МКУ «Управление по ОДА»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W w:w="1276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ежегодно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февраль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W w:w="1556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МКУ «Управление по ОДА»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45"/>
        </w:trPr>
        <w:tc>
          <w:tcPr>
            <w:tcW w:w="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W w:w="3132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W w:w="1121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W w:w="2693" w:type="dxa"/>
            <w:vAlign w:val="center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П2</w:t>
            </w:r>
            <w:r>
              <w:rPr>
                <w:rFonts w:ascii="Times New Roman" w:hAnsi="Times New Roman" w:eastAsia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-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общая сумма </w:t>
            </w:r>
            <w:r>
              <w:t xml:space="preserve">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денежных средств направленная в закупки программного обеспечения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W w:w="155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810"/>
        </w:trPr>
        <w:tc>
          <w:tcPr>
            <w:tcW w:w="56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11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W w:w="3132" w:type="dxa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Доля опубликованных на сайте нормативных правовых актов и сведений о размещении информации об официальном  опубликовании  нормативных правовых актов от общего количества поступивших за отчетный период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W w:w="1121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процент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1559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Д=(Паос/ Пап)*100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W w:w="2693" w:type="dxa"/>
            <w:vAlign w:val="center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Паос - общее количество опубликованных ПА, размещенных на официальном сайте ОМСУ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W w:w="241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Ведомственные данные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Отчет об исполнении плана мероприятий по противодействию коррупции в Печенгском муниципальном округе»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W w:w="1276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ежеквартально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W w:w="1556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Юридический отдел, МКУ «Управление по ОДА»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795"/>
        </w:trPr>
        <w:tc>
          <w:tcPr>
            <w:tcW w:w="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W w:w="3132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W w:w="1121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W w:w="2693" w:type="dxa"/>
            <w:vAlign w:val="center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Пап - общее количество ПА, подлежащих размещению на официальном сайте ОМСУ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W w:w="155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825"/>
        </w:trPr>
        <w:tc>
          <w:tcPr>
            <w:tcW w:w="56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12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W w:w="3132" w:type="dxa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Доля граждан, проживающих на территории Печенгского муниципального округа, удовлетворенных информационной открытостью органов местного самоуправления, от общей численности опрошенных граждан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W w:w="1121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процент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1559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Д=(Гро/Гуов)*100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W w:w="2693" w:type="dxa"/>
            <w:vAlign w:val="center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Гро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- численность опрошенных граждан удовлетворенных информационной открытостью органов местного самоуправления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W w:w="241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Социологический опрос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W w:w="1276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е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жегодно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декабрь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W w:w="1556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МАУ «Инфрмцентр»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483"/>
        </w:trPr>
        <w:tc>
          <w:tcPr>
            <w:tcW w:w="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W w:w="3132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W w:w="1121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W w:w="2693" w:type="dxa"/>
            <w:vAlign w:val="center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Гуов -</w:t>
            </w:r>
            <w:r>
              <w:t xml:space="preserve">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общая численность опрошенных граждан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color w:val="ff0000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color w:val="ff0000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color w:val="ff0000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color w:val="ff0000"/>
                <w:sz w:val="20"/>
                <w:szCs w:val="20"/>
                <w:highlight w:val="yellow"/>
                <w:lang w:eastAsia="ru-RU"/>
              </w:rPr>
            </w:r>
          </w:p>
        </w:tc>
        <w:tc>
          <w:tcPr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W w:w="155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</w:p>
        </w:tc>
      </w:tr>
    </w:tbl>
    <w:p>
      <w:pPr>
        <w:contextualSpacing/>
        <w:jc w:val="both"/>
        <w:spacing w:after="0" w:line="240" w:lineRule="auto"/>
        <w:rPr>
          <w:rFonts w:ascii="Times New Roman" w:hAnsi="Times New Roman" w:eastAsia="Times New Roman"/>
          <w:sz w:val="16"/>
          <w:szCs w:val="16"/>
          <w:vertAlign w:val="superscript"/>
          <w:lang w:eastAsia="ru-RU"/>
        </w:rPr>
      </w:pPr>
      <w:r/>
      <w:bookmarkStart w:id="4" w:name="p124"/>
      <w:r/>
      <w:bookmarkEnd w:id="4"/>
      <w:r>
        <w:rPr>
          <w:rFonts w:ascii="Times New Roman" w:hAnsi="Times New Roman" w:eastAsia="Times New Roman"/>
          <w:sz w:val="16"/>
          <w:szCs w:val="16"/>
          <w:vertAlign w:val="superscript"/>
          <w:lang w:eastAsia="ru-RU"/>
        </w:rPr>
      </w:r>
      <w:r>
        <w:rPr>
          <w:rFonts w:ascii="Times New Roman" w:hAnsi="Times New Roman" w:eastAsia="Times New Roman"/>
          <w:sz w:val="16"/>
          <w:szCs w:val="16"/>
          <w:vertAlign w:val="superscript"/>
          <w:lang w:eastAsia="ru-RU"/>
        </w:rPr>
      </w:r>
    </w:p>
    <w:p>
      <w:pPr>
        <w:contextualSpacing/>
        <w:jc w:val="both"/>
        <w:spacing w:after="0" w:line="240" w:lineRule="auto"/>
        <w:rPr>
          <w:rFonts w:ascii="Times New Roman" w:hAnsi="Times New Roman" w:eastAsia="Times New Roman"/>
          <w:sz w:val="18"/>
          <w:szCs w:val="18"/>
          <w:lang w:eastAsia="ru-RU"/>
        </w:rPr>
      </w:pPr>
      <w:r>
        <w:rPr>
          <w:rFonts w:ascii="Times New Roman" w:hAnsi="Times New Roman" w:eastAsia="Times New Roman"/>
          <w:sz w:val="18"/>
          <w:szCs w:val="18"/>
          <w:vertAlign w:val="superscript"/>
          <w:lang w:eastAsia="ru-RU"/>
        </w:rPr>
        <w:t xml:space="preserve">4</w:t>
      </w:r>
      <w:r>
        <w:rPr>
          <w:rFonts w:ascii="Times New Roman" w:hAnsi="Times New Roman" w:eastAsia="Times New Roman"/>
          <w:sz w:val="18"/>
          <w:szCs w:val="18"/>
          <w:lang w:eastAsia="ru-RU"/>
        </w:rPr>
        <w:t xml:space="preserve">Ежегодно, нарастающим итогом, убывающим итогом. </w:t>
      </w:r>
      <w:r>
        <w:rPr>
          <w:rFonts w:ascii="Times New Roman" w:hAnsi="Times New Roman" w:eastAsia="Times New Roman"/>
          <w:sz w:val="18"/>
          <w:szCs w:val="18"/>
          <w:lang w:eastAsia="ru-RU"/>
        </w:rPr>
      </w:r>
      <w:r>
        <w:rPr>
          <w:rFonts w:ascii="Times New Roman" w:hAnsi="Times New Roman" w:eastAsia="Times New Roman"/>
          <w:sz w:val="18"/>
          <w:szCs w:val="18"/>
          <w:lang w:eastAsia="ru-RU"/>
        </w:rPr>
      </w:r>
    </w:p>
    <w:p>
      <w:pPr>
        <w:contextualSpacing/>
        <w:jc w:val="both"/>
        <w:spacing w:before="168" w:after="0" w:line="240" w:lineRule="auto"/>
        <w:rPr>
          <w:rFonts w:ascii="Times New Roman" w:hAnsi="Times New Roman" w:eastAsia="Times New Roman"/>
          <w:sz w:val="18"/>
          <w:szCs w:val="18"/>
          <w:lang w:eastAsia="ru-RU"/>
        </w:rPr>
      </w:pPr>
      <w:r>
        <w:rPr>
          <w:rFonts w:ascii="Times New Roman" w:hAnsi="Times New Roman" w:eastAsia="Times New Roman"/>
          <w:sz w:val="18"/>
          <w:szCs w:val="18"/>
          <w:vertAlign w:val="superscript"/>
          <w:lang w:eastAsia="ru-RU"/>
        </w:rPr>
        <w:t xml:space="preserve">5</w:t>
      </w:r>
      <w:r>
        <w:rPr>
          <w:rFonts w:ascii="Times New Roman" w:hAnsi="Times New Roman" w:eastAsia="Times New Roman"/>
          <w:sz w:val="18"/>
          <w:szCs w:val="18"/>
          <w:lang w:eastAsia="ru-RU"/>
        </w:rPr>
        <w:t xml:space="preserve">Указываются методы: статистическая отчетность, социологический опрос, прочие (указать).</w:t>
      </w:r>
      <w:r>
        <w:rPr>
          <w:rFonts w:ascii="Times New Roman" w:hAnsi="Times New Roman" w:eastAsia="Times New Roman"/>
          <w:sz w:val="18"/>
          <w:szCs w:val="18"/>
          <w:lang w:eastAsia="ru-RU"/>
        </w:rPr>
        <w:t xml:space="preserve">».</w:t>
      </w:r>
      <w:r>
        <w:rPr>
          <w:rFonts w:ascii="Times New Roman" w:hAnsi="Times New Roman" w:eastAsia="Times New Roman"/>
          <w:sz w:val="18"/>
          <w:szCs w:val="18"/>
          <w:lang w:eastAsia="ru-RU"/>
        </w:rPr>
        <w:t xml:space="preserve"> </w:t>
      </w:r>
      <w:r>
        <w:rPr>
          <w:rFonts w:ascii="Times New Roman" w:hAnsi="Times New Roman" w:eastAsia="Times New Roman"/>
          <w:sz w:val="18"/>
          <w:szCs w:val="18"/>
          <w:lang w:eastAsia="ru-RU"/>
        </w:rPr>
      </w:r>
      <w:r>
        <w:rPr>
          <w:rFonts w:ascii="Times New Roman" w:hAnsi="Times New Roman" w:eastAsia="Times New Roman"/>
          <w:sz w:val="18"/>
          <w:szCs w:val="18"/>
          <w:lang w:eastAsia="ru-RU"/>
        </w:rPr>
      </w:r>
    </w:p>
    <w:p>
      <w:pPr>
        <w:contextualSpacing/>
        <w:jc w:val="both"/>
        <w:spacing w:before="168" w:after="0" w:line="240" w:lineRule="auto"/>
        <w:rPr>
          <w:rFonts w:ascii="Times New Roman" w:hAnsi="Times New Roman" w:eastAsia="Times New Roman"/>
          <w:b/>
          <w:sz w:val="18"/>
          <w:szCs w:val="18"/>
          <w:highlight w:val="yellow"/>
          <w:lang w:eastAsia="ru-RU"/>
        </w:rPr>
        <w:sectPr>
          <w:footnotePr/>
          <w:endnotePr/>
          <w:type w:val="nextPage"/>
          <w:pgSz w:w="16838" w:h="11905" w:orient="landscape"/>
          <w:pgMar w:top="851" w:right="851" w:bottom="993" w:left="1701" w:header="720" w:footer="720" w:gutter="0"/>
          <w:cols w:num="1" w:sep="0" w:space="720" w:equalWidth="1"/>
          <w:docGrid w:linePitch="360"/>
        </w:sectPr>
      </w:pPr>
      <w:r>
        <w:rPr>
          <w:rFonts w:ascii="Times New Roman" w:hAnsi="Times New Roman" w:eastAsia="Times New Roman"/>
          <w:b/>
          <w:sz w:val="18"/>
          <w:szCs w:val="18"/>
          <w:highlight w:val="yellow"/>
          <w:lang w:eastAsia="ru-RU"/>
        </w:rPr>
      </w:r>
      <w:r>
        <w:rPr>
          <w:rFonts w:ascii="Times New Roman" w:hAnsi="Times New Roman" w:eastAsia="Times New Roman"/>
          <w:b/>
          <w:sz w:val="18"/>
          <w:szCs w:val="18"/>
          <w:highlight w:val="yellow"/>
          <w:lang w:eastAsia="ru-RU"/>
        </w:rPr>
      </w:r>
      <w:r>
        <w:rPr>
          <w:rFonts w:ascii="Times New Roman" w:hAnsi="Times New Roman" w:eastAsia="Times New Roman"/>
          <w:b/>
          <w:sz w:val="18"/>
          <w:szCs w:val="18"/>
          <w:highlight w:val="yellow"/>
          <w:lang w:eastAsia="ru-RU"/>
        </w:rPr>
      </w:r>
    </w:p>
    <w:p>
      <w:r/>
    </w:p>
    <w:sectPr>
      <w:footnotePr/>
      <w:endnotePr/>
      <w:type w:val="nextPage"/>
      <w:pgSz w:w="11905" w:h="16838" w:orient="portrait"/>
      <w:pgMar w:top="1134" w:right="706" w:bottom="1134" w:left="1701" w:header="720" w:footer="720" w:gutter="0"/>
      <w:cols w:num="1" w:sep="0" w:space="720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Verdana">
    <w:panose1 w:val="020B0604030504040204"/>
  </w:font>
  <w:font w:name="Tahoma">
    <w:panose1 w:val="020B0604030504040204"/>
  </w:font>
  <w:font w:name="Courier New">
    <w:panose1 w:val="02070309020205020404"/>
  </w:font>
  <w:font w:name="Arial">
    <w:panose1 w:val="020B0604020202020204"/>
  </w:font>
  <w:font w:name="Cambria">
    <w:panose1 w:val="02040503050406030204"/>
  </w:font>
  <w:font w:name="Times New Roman">
    <w:panose1 w:val="02020603050405020304"/>
  </w:font>
  <w:font w:name="Calibri">
    <w:panose1 w:val="020F0502020204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252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288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360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432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504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76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648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720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920" w:hanging="180"/>
      </w:pPr>
    </w:lvl>
  </w:abstractNum>
  <w:abstractNum w:abstractNumId="2">
    <w:multiLevelType w:val="hybridMultilevel"/>
    <w:lvl w:ilvl="0">
      <w:start w:val="2"/>
      <w:numFmt w:val="upperRoman"/>
      <w:isLgl w:val="false"/>
      <w:suff w:val="tab"/>
      <w:lvlText w:val="%1."/>
      <w:lvlJc w:val="left"/>
      <w:pPr>
        <w:ind w:left="2782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3142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3862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4582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5302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6022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6742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7462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8182" w:hanging="180"/>
      </w:pPr>
    </w:lvl>
  </w:abstractNum>
  <w:abstractNum w:abstractNumId="3">
    <w:multiLevelType w:val="hybridMultilevel"/>
    <w:lvl w:ilvl="0">
      <w:start w:val="4"/>
      <w:numFmt w:val="decimal"/>
      <w:isLgl w:val="false"/>
      <w:suff w:val="tab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222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1942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662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382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102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822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542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262" w:hanging="180"/>
      </w:pPr>
    </w:lvl>
  </w:abstractNum>
  <w:abstractNum w:abstractNumId="5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2422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4123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4843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5563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6283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7003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7723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8443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9163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08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180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52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24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396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68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40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12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4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 w:ascii="Times New Roman" w:hAnsi="Times New Roman" w:cs="Times New Roman"/>
        <w:sz w:val="24"/>
        <w:szCs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6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space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5"/>
  </w:num>
  <w:num w:numId="3">
    <w:abstractNumId w:val="8"/>
  </w:num>
  <w:num w:numId="4">
    <w:abstractNumId w:val="10"/>
  </w:num>
  <w:num w:numId="5">
    <w:abstractNumId w:val="6"/>
  </w:num>
  <w:num w:numId="6">
    <w:abstractNumId w:val="4"/>
  </w:num>
  <w:num w:numId="7">
    <w:abstractNumId w:val="14"/>
  </w:num>
  <w:num w:numId="8">
    <w:abstractNumId w:val="9"/>
  </w:num>
  <w:num w:numId="9">
    <w:abstractNumId w:val="1"/>
  </w:num>
  <w:num w:numId="10">
    <w:abstractNumId w:val="0"/>
  </w:num>
  <w:num w:numId="1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1"/>
  </w:num>
  <w:num w:numId="13">
    <w:abstractNumId w:val="12"/>
  </w:num>
  <w:num w:numId="14">
    <w:abstractNumId w:val="13"/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9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85" w:default="1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686">
    <w:name w:val="Heading 1"/>
    <w:basedOn w:val="685"/>
    <w:link w:val="911"/>
    <w:uiPriority w:val="9"/>
    <w:qFormat/>
    <w:pPr>
      <w:spacing w:before="100" w:beforeAutospacing="1" w:after="100" w:afterAutospacing="1" w:line="240" w:lineRule="auto"/>
      <w:outlineLvl w:val="0"/>
    </w:pPr>
    <w:rPr>
      <w:rFonts w:ascii="Times New Roman" w:hAnsi="Times New Roman" w:eastAsia="Times New Roman"/>
      <w:b/>
      <w:bCs/>
      <w:sz w:val="48"/>
      <w:szCs w:val="48"/>
      <w:lang w:eastAsia="ru-RU"/>
    </w:rPr>
  </w:style>
  <w:style w:type="paragraph" w:styleId="687">
    <w:name w:val="Heading 2"/>
    <w:basedOn w:val="685"/>
    <w:next w:val="685"/>
    <w:link w:val="912"/>
    <w:qFormat/>
    <w:pPr>
      <w:keepNext/>
      <w:spacing w:before="240" w:after="60" w:line="240" w:lineRule="auto"/>
      <w:outlineLvl w:val="1"/>
    </w:pPr>
    <w:rPr>
      <w:rFonts w:ascii="Cambria" w:hAnsi="Cambria" w:eastAsia="Times New Roman"/>
      <w:b/>
      <w:bCs/>
      <w:i/>
      <w:iCs/>
      <w:sz w:val="28"/>
      <w:szCs w:val="28"/>
      <w:lang w:eastAsia="ru-RU"/>
    </w:rPr>
  </w:style>
  <w:style w:type="paragraph" w:styleId="688">
    <w:name w:val="Heading 3"/>
    <w:basedOn w:val="685"/>
    <w:next w:val="685"/>
    <w:link w:val="913"/>
    <w:qFormat/>
    <w:pPr>
      <w:keepNext/>
      <w:spacing w:before="240" w:after="60" w:line="240" w:lineRule="auto"/>
      <w:outlineLvl w:val="2"/>
    </w:pPr>
    <w:rPr>
      <w:rFonts w:ascii="Cambria" w:hAnsi="Cambria" w:eastAsia="Times New Roman"/>
      <w:b/>
      <w:bCs/>
      <w:sz w:val="26"/>
      <w:szCs w:val="26"/>
      <w:lang w:eastAsia="ru-RU"/>
    </w:rPr>
  </w:style>
  <w:style w:type="paragraph" w:styleId="689">
    <w:name w:val="Heading 4"/>
    <w:basedOn w:val="685"/>
    <w:next w:val="685"/>
    <w:link w:val="732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90">
    <w:name w:val="Heading 5"/>
    <w:basedOn w:val="685"/>
    <w:next w:val="685"/>
    <w:link w:val="733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91">
    <w:name w:val="Heading 6"/>
    <w:basedOn w:val="685"/>
    <w:next w:val="685"/>
    <w:link w:val="734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92">
    <w:name w:val="Heading 7"/>
    <w:basedOn w:val="685"/>
    <w:next w:val="685"/>
    <w:link w:val="735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3">
    <w:name w:val="Heading 8"/>
    <w:basedOn w:val="685"/>
    <w:next w:val="685"/>
    <w:link w:val="736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4">
    <w:name w:val="Heading 9"/>
    <w:basedOn w:val="685"/>
    <w:next w:val="685"/>
    <w:link w:val="737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5" w:default="1">
    <w:name w:val="Default Paragraph Font"/>
    <w:uiPriority w:val="1"/>
    <w:semiHidden/>
    <w:unhideWhenUsed/>
  </w:style>
  <w:style w:type="table" w:styleId="69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7" w:default="1">
    <w:name w:val="No List"/>
    <w:uiPriority w:val="99"/>
    <w:semiHidden/>
    <w:unhideWhenUsed/>
  </w:style>
  <w:style w:type="table" w:styleId="698">
    <w:name w:val="Plain Table 1"/>
    <w:basedOn w:val="696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9">
    <w:name w:val="Plain Table 2"/>
    <w:basedOn w:val="696"/>
    <w:uiPriority w:val="59"/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0">
    <w:name w:val="Plain Table 3"/>
    <w:basedOn w:val="696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1">
    <w:name w:val="Plain Table 4"/>
    <w:basedOn w:val="696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2">
    <w:name w:val="Plain Table 5"/>
    <w:basedOn w:val="696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3">
    <w:name w:val="Grid Table 1 Light"/>
    <w:basedOn w:val="696"/>
    <w:uiPriority w:val="99"/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Grid Table 2"/>
    <w:basedOn w:val="696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5">
    <w:name w:val="Grid Table 3"/>
    <w:basedOn w:val="696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6">
    <w:name w:val="Grid Table 4"/>
    <w:basedOn w:val="696"/>
    <w:uiPriority w:val="59"/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07">
    <w:name w:val="Grid Table 5 Dark"/>
    <w:basedOn w:val="696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08">
    <w:name w:val="Grid Table 6 Colorful"/>
    <w:basedOn w:val="696"/>
    <w:uiPriority w:val="99"/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09">
    <w:name w:val="Grid Table 7 Colorful"/>
    <w:basedOn w:val="696"/>
    <w:uiPriority w:val="99"/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0">
    <w:name w:val="List Table 1 Light"/>
    <w:basedOn w:val="696"/>
    <w:uiPriority w:val="99"/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1">
    <w:name w:val="List Table 2"/>
    <w:basedOn w:val="696"/>
    <w:uiPriority w:val="99"/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12">
    <w:name w:val="List Table 3"/>
    <w:basedOn w:val="696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>
    <w:name w:val="List Table 4"/>
    <w:basedOn w:val="696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>
    <w:name w:val="List Table 5 Dark"/>
    <w:basedOn w:val="696"/>
    <w:uiPriority w:val="99"/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15">
    <w:name w:val="List Table 6 Colorful"/>
    <w:basedOn w:val="696"/>
    <w:uiPriority w:val="99"/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16">
    <w:name w:val="List Table 7 Colorful"/>
    <w:basedOn w:val="696"/>
    <w:uiPriority w:val="99"/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character" w:styleId="717" w:customStyle="1">
    <w:name w:val="Heading 4 Char"/>
    <w:basedOn w:val="695"/>
    <w:uiPriority w:val="9"/>
    <w:rPr>
      <w:rFonts w:ascii="Arial" w:hAnsi="Arial" w:eastAsia="Arial" w:cs="Arial"/>
      <w:b/>
      <w:bCs/>
      <w:sz w:val="26"/>
      <w:szCs w:val="26"/>
    </w:rPr>
  </w:style>
  <w:style w:type="character" w:styleId="718" w:customStyle="1">
    <w:name w:val="Heading 5 Char"/>
    <w:basedOn w:val="695"/>
    <w:uiPriority w:val="9"/>
    <w:rPr>
      <w:rFonts w:ascii="Arial" w:hAnsi="Arial" w:eastAsia="Arial" w:cs="Arial"/>
      <w:b/>
      <w:bCs/>
      <w:sz w:val="24"/>
      <w:szCs w:val="24"/>
    </w:rPr>
  </w:style>
  <w:style w:type="character" w:styleId="719" w:customStyle="1">
    <w:name w:val="Heading 6 Char"/>
    <w:basedOn w:val="695"/>
    <w:uiPriority w:val="9"/>
    <w:rPr>
      <w:rFonts w:ascii="Arial" w:hAnsi="Arial" w:eastAsia="Arial" w:cs="Arial"/>
      <w:b/>
      <w:bCs/>
      <w:sz w:val="22"/>
      <w:szCs w:val="22"/>
    </w:rPr>
  </w:style>
  <w:style w:type="character" w:styleId="720" w:customStyle="1">
    <w:name w:val="Heading 7 Char"/>
    <w:basedOn w:val="69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21" w:customStyle="1">
    <w:name w:val="Heading 8 Char"/>
    <w:basedOn w:val="695"/>
    <w:uiPriority w:val="9"/>
    <w:rPr>
      <w:rFonts w:ascii="Arial" w:hAnsi="Arial" w:eastAsia="Arial" w:cs="Arial"/>
      <w:i/>
      <w:iCs/>
      <w:sz w:val="22"/>
      <w:szCs w:val="22"/>
    </w:rPr>
  </w:style>
  <w:style w:type="character" w:styleId="722" w:customStyle="1">
    <w:name w:val="Heading 9 Char"/>
    <w:basedOn w:val="695"/>
    <w:uiPriority w:val="9"/>
    <w:rPr>
      <w:rFonts w:ascii="Arial" w:hAnsi="Arial" w:eastAsia="Arial" w:cs="Arial"/>
      <w:i/>
      <w:iCs/>
      <w:sz w:val="21"/>
      <w:szCs w:val="21"/>
    </w:rPr>
  </w:style>
  <w:style w:type="character" w:styleId="723" w:customStyle="1">
    <w:name w:val="Title Char"/>
    <w:basedOn w:val="695"/>
    <w:uiPriority w:val="10"/>
    <w:rPr>
      <w:sz w:val="48"/>
      <w:szCs w:val="48"/>
    </w:rPr>
  </w:style>
  <w:style w:type="character" w:styleId="724" w:customStyle="1">
    <w:name w:val="Subtitle Char"/>
    <w:basedOn w:val="695"/>
    <w:uiPriority w:val="11"/>
    <w:rPr>
      <w:sz w:val="24"/>
      <w:szCs w:val="24"/>
    </w:rPr>
  </w:style>
  <w:style w:type="character" w:styleId="725" w:customStyle="1">
    <w:name w:val="Quote Char"/>
    <w:uiPriority w:val="29"/>
    <w:rPr>
      <w:i/>
    </w:rPr>
  </w:style>
  <w:style w:type="character" w:styleId="726" w:customStyle="1">
    <w:name w:val="Intense Quote Char"/>
    <w:uiPriority w:val="30"/>
    <w:rPr>
      <w:i/>
    </w:rPr>
  </w:style>
  <w:style w:type="character" w:styleId="727" w:customStyle="1">
    <w:name w:val="Footnote Text Char"/>
    <w:uiPriority w:val="99"/>
    <w:rPr>
      <w:sz w:val="18"/>
    </w:rPr>
  </w:style>
  <w:style w:type="character" w:styleId="728" w:customStyle="1">
    <w:name w:val="Endnote Text Char"/>
    <w:uiPriority w:val="99"/>
    <w:rPr>
      <w:sz w:val="20"/>
    </w:rPr>
  </w:style>
  <w:style w:type="character" w:styleId="729" w:customStyle="1">
    <w:name w:val="Heading 1 Char"/>
    <w:basedOn w:val="695"/>
    <w:uiPriority w:val="9"/>
    <w:rPr>
      <w:rFonts w:ascii="Arial" w:hAnsi="Arial" w:eastAsia="Arial" w:cs="Arial"/>
      <w:sz w:val="40"/>
      <w:szCs w:val="40"/>
    </w:rPr>
  </w:style>
  <w:style w:type="character" w:styleId="730" w:customStyle="1">
    <w:name w:val="Heading 2 Char"/>
    <w:basedOn w:val="695"/>
    <w:uiPriority w:val="9"/>
    <w:rPr>
      <w:rFonts w:ascii="Arial" w:hAnsi="Arial" w:eastAsia="Arial" w:cs="Arial"/>
      <w:sz w:val="34"/>
    </w:rPr>
  </w:style>
  <w:style w:type="character" w:styleId="731" w:customStyle="1">
    <w:name w:val="Heading 3 Char"/>
    <w:basedOn w:val="695"/>
    <w:uiPriority w:val="9"/>
    <w:rPr>
      <w:rFonts w:ascii="Arial" w:hAnsi="Arial" w:eastAsia="Arial" w:cs="Arial"/>
      <w:sz w:val="30"/>
      <w:szCs w:val="30"/>
    </w:rPr>
  </w:style>
  <w:style w:type="character" w:styleId="732" w:customStyle="1">
    <w:name w:val="Заголовок 4 Знак"/>
    <w:basedOn w:val="695"/>
    <w:link w:val="689"/>
    <w:uiPriority w:val="9"/>
    <w:rPr>
      <w:rFonts w:ascii="Arial" w:hAnsi="Arial" w:eastAsia="Arial" w:cs="Arial"/>
      <w:b/>
      <w:bCs/>
      <w:sz w:val="26"/>
      <w:szCs w:val="26"/>
    </w:rPr>
  </w:style>
  <w:style w:type="character" w:styleId="733" w:customStyle="1">
    <w:name w:val="Заголовок 5 Знак"/>
    <w:basedOn w:val="695"/>
    <w:link w:val="690"/>
    <w:uiPriority w:val="9"/>
    <w:rPr>
      <w:rFonts w:ascii="Arial" w:hAnsi="Arial" w:eastAsia="Arial" w:cs="Arial"/>
      <w:b/>
      <w:bCs/>
      <w:sz w:val="24"/>
      <w:szCs w:val="24"/>
    </w:rPr>
  </w:style>
  <w:style w:type="character" w:styleId="734" w:customStyle="1">
    <w:name w:val="Заголовок 6 Знак"/>
    <w:basedOn w:val="695"/>
    <w:link w:val="691"/>
    <w:uiPriority w:val="9"/>
    <w:rPr>
      <w:rFonts w:ascii="Arial" w:hAnsi="Arial" w:eastAsia="Arial" w:cs="Arial"/>
      <w:b/>
      <w:bCs/>
      <w:sz w:val="22"/>
      <w:szCs w:val="22"/>
    </w:rPr>
  </w:style>
  <w:style w:type="character" w:styleId="735" w:customStyle="1">
    <w:name w:val="Заголовок 7 Знак"/>
    <w:basedOn w:val="695"/>
    <w:link w:val="69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36" w:customStyle="1">
    <w:name w:val="Заголовок 8 Знак"/>
    <w:basedOn w:val="695"/>
    <w:link w:val="693"/>
    <w:uiPriority w:val="9"/>
    <w:rPr>
      <w:rFonts w:ascii="Arial" w:hAnsi="Arial" w:eastAsia="Arial" w:cs="Arial"/>
      <w:i/>
      <w:iCs/>
      <w:sz w:val="22"/>
      <w:szCs w:val="22"/>
    </w:rPr>
  </w:style>
  <w:style w:type="character" w:styleId="737" w:customStyle="1">
    <w:name w:val="Заголовок 9 Знак"/>
    <w:basedOn w:val="695"/>
    <w:link w:val="694"/>
    <w:uiPriority w:val="9"/>
    <w:rPr>
      <w:rFonts w:ascii="Arial" w:hAnsi="Arial" w:eastAsia="Arial" w:cs="Arial"/>
      <w:i/>
      <w:iCs/>
      <w:sz w:val="21"/>
      <w:szCs w:val="21"/>
    </w:rPr>
  </w:style>
  <w:style w:type="paragraph" w:styleId="738">
    <w:name w:val="Title"/>
    <w:basedOn w:val="685"/>
    <w:next w:val="685"/>
    <w:link w:val="739"/>
    <w:uiPriority w:val="10"/>
    <w:qFormat/>
    <w:pPr>
      <w:contextualSpacing/>
      <w:spacing w:before="300"/>
    </w:pPr>
    <w:rPr>
      <w:sz w:val="48"/>
      <w:szCs w:val="48"/>
    </w:rPr>
  </w:style>
  <w:style w:type="character" w:styleId="739" w:customStyle="1">
    <w:name w:val="Заголовок Знак"/>
    <w:basedOn w:val="695"/>
    <w:link w:val="738"/>
    <w:uiPriority w:val="10"/>
    <w:rPr>
      <w:sz w:val="48"/>
      <w:szCs w:val="48"/>
    </w:rPr>
  </w:style>
  <w:style w:type="paragraph" w:styleId="740">
    <w:name w:val="Subtitle"/>
    <w:basedOn w:val="685"/>
    <w:next w:val="685"/>
    <w:link w:val="741"/>
    <w:uiPriority w:val="11"/>
    <w:qFormat/>
    <w:pPr>
      <w:spacing w:before="200"/>
    </w:pPr>
    <w:rPr>
      <w:sz w:val="24"/>
      <w:szCs w:val="24"/>
    </w:rPr>
  </w:style>
  <w:style w:type="character" w:styleId="741" w:customStyle="1">
    <w:name w:val="Подзаголовок Знак"/>
    <w:basedOn w:val="695"/>
    <w:link w:val="740"/>
    <w:uiPriority w:val="11"/>
    <w:rPr>
      <w:sz w:val="24"/>
      <w:szCs w:val="24"/>
    </w:rPr>
  </w:style>
  <w:style w:type="paragraph" w:styleId="742">
    <w:name w:val="Quote"/>
    <w:basedOn w:val="685"/>
    <w:next w:val="685"/>
    <w:link w:val="743"/>
    <w:uiPriority w:val="29"/>
    <w:qFormat/>
    <w:pPr>
      <w:ind w:left="720" w:right="720"/>
    </w:pPr>
    <w:rPr>
      <w:i/>
    </w:rPr>
  </w:style>
  <w:style w:type="character" w:styleId="743" w:customStyle="1">
    <w:name w:val="Цитата 2 Знак"/>
    <w:link w:val="742"/>
    <w:uiPriority w:val="29"/>
    <w:rPr>
      <w:i/>
    </w:rPr>
  </w:style>
  <w:style w:type="paragraph" w:styleId="744">
    <w:name w:val="Intense Quote"/>
    <w:basedOn w:val="685"/>
    <w:next w:val="685"/>
    <w:link w:val="74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45" w:customStyle="1">
    <w:name w:val="Выделенная цитата Знак"/>
    <w:link w:val="744"/>
    <w:uiPriority w:val="30"/>
    <w:rPr>
      <w:i/>
    </w:rPr>
  </w:style>
  <w:style w:type="character" w:styleId="746" w:customStyle="1">
    <w:name w:val="Header Char"/>
    <w:basedOn w:val="695"/>
    <w:uiPriority w:val="99"/>
  </w:style>
  <w:style w:type="character" w:styleId="747" w:customStyle="1">
    <w:name w:val="Footer Char"/>
    <w:basedOn w:val="695"/>
    <w:uiPriority w:val="99"/>
  </w:style>
  <w:style w:type="character" w:styleId="748" w:customStyle="1">
    <w:name w:val="Caption Char"/>
    <w:uiPriority w:val="99"/>
  </w:style>
  <w:style w:type="table" w:styleId="749" w:customStyle="1">
    <w:name w:val="Table Grid Light"/>
    <w:basedOn w:val="696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50" w:customStyle="1">
    <w:name w:val="Таблица простая 11"/>
    <w:basedOn w:val="696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51" w:customStyle="1">
    <w:name w:val="Таблица простая 21"/>
    <w:basedOn w:val="696"/>
    <w:uiPriority w:val="59"/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52" w:customStyle="1">
    <w:name w:val="Таблица простая 31"/>
    <w:basedOn w:val="696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53" w:customStyle="1">
    <w:name w:val="Таблица простая 41"/>
    <w:basedOn w:val="696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4" w:customStyle="1">
    <w:name w:val="Таблица простая 51"/>
    <w:basedOn w:val="696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55" w:customStyle="1">
    <w:name w:val="Таблица-сетка 1 светлая1"/>
    <w:basedOn w:val="696"/>
    <w:uiPriority w:val="99"/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6" w:customStyle="1">
    <w:name w:val="Grid Table 1 Light - Accent 1"/>
    <w:basedOn w:val="696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7" w:customStyle="1">
    <w:name w:val="Grid Table 1 Light - Accent 2"/>
    <w:basedOn w:val="696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8" w:customStyle="1">
    <w:name w:val="Grid Table 1 Light - Accent 3"/>
    <w:basedOn w:val="696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9" w:customStyle="1">
    <w:name w:val="Grid Table 1 Light - Accent 4"/>
    <w:basedOn w:val="696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0" w:customStyle="1">
    <w:name w:val="Grid Table 1 Light - Accent 5"/>
    <w:basedOn w:val="696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1" w:customStyle="1">
    <w:name w:val="Grid Table 1 Light - Accent 6"/>
    <w:basedOn w:val="696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2" w:customStyle="1">
    <w:name w:val="Таблица-сетка 21"/>
    <w:basedOn w:val="696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Grid Table 2 - Accent 1"/>
    <w:basedOn w:val="696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Grid Table 2 - Accent 2"/>
    <w:basedOn w:val="696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Grid Table 2 - Accent 3"/>
    <w:basedOn w:val="696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Grid Table 2 - Accent 4"/>
    <w:basedOn w:val="696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Grid Table 2 - Accent 5"/>
    <w:basedOn w:val="696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Grid Table 2 - Accent 6"/>
    <w:basedOn w:val="696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Таблица-сетка 31"/>
    <w:basedOn w:val="696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3 - Accent 1"/>
    <w:basedOn w:val="696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 w:customStyle="1">
    <w:name w:val="Grid Table 3 - Accent 2"/>
    <w:basedOn w:val="696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Grid Table 3 - Accent 3"/>
    <w:basedOn w:val="696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Grid Table 3 - Accent 4"/>
    <w:basedOn w:val="696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Grid Table 3 - Accent 5"/>
    <w:basedOn w:val="696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Grid Table 3 - Accent 6"/>
    <w:basedOn w:val="696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Таблица-сетка 41"/>
    <w:basedOn w:val="696"/>
    <w:uiPriority w:val="59"/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77" w:customStyle="1">
    <w:name w:val="Grid Table 4 - Accent 1"/>
    <w:basedOn w:val="696"/>
    <w:uiPriority w:val="5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78" w:customStyle="1">
    <w:name w:val="Grid Table 4 - Accent 2"/>
    <w:basedOn w:val="696"/>
    <w:uiPriority w:val="5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79" w:customStyle="1">
    <w:name w:val="Grid Table 4 - Accent 3"/>
    <w:basedOn w:val="696"/>
    <w:uiPriority w:val="5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80" w:customStyle="1">
    <w:name w:val="Grid Table 4 - Accent 4"/>
    <w:basedOn w:val="696"/>
    <w:uiPriority w:val="5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81" w:customStyle="1">
    <w:name w:val="Grid Table 4 - Accent 5"/>
    <w:basedOn w:val="696"/>
    <w:uiPriority w:val="5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82" w:customStyle="1">
    <w:name w:val="Grid Table 4 - Accent 6"/>
    <w:basedOn w:val="696"/>
    <w:uiPriority w:val="5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83" w:customStyle="1">
    <w:name w:val="Таблица-сетка 5 темная1"/>
    <w:basedOn w:val="696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84" w:customStyle="1">
    <w:name w:val="Grid Table 5 Dark- Accent 1"/>
    <w:basedOn w:val="696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85" w:customStyle="1">
    <w:name w:val="Grid Table 5 Dark - Accent 2"/>
    <w:basedOn w:val="696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86" w:customStyle="1">
    <w:name w:val="Grid Table 5 Dark - Accent 3"/>
    <w:basedOn w:val="696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87" w:customStyle="1">
    <w:name w:val="Grid Table 5 Dark- Accent 4"/>
    <w:basedOn w:val="696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88" w:customStyle="1">
    <w:name w:val="Grid Table 5 Dark - Accent 5"/>
    <w:basedOn w:val="696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89" w:customStyle="1">
    <w:name w:val="Grid Table 5 Dark - Accent 6"/>
    <w:basedOn w:val="696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90" w:customStyle="1">
    <w:name w:val="Таблица-сетка 6 цветная1"/>
    <w:basedOn w:val="696"/>
    <w:uiPriority w:val="99"/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91" w:customStyle="1">
    <w:name w:val="Grid Table 6 Colorful - Accent 1"/>
    <w:basedOn w:val="696"/>
    <w:uiPriority w:val="99"/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92" w:customStyle="1">
    <w:name w:val="Grid Table 6 Colorful - Accent 2"/>
    <w:basedOn w:val="696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93" w:customStyle="1">
    <w:name w:val="Grid Table 6 Colorful - Accent 3"/>
    <w:basedOn w:val="696"/>
    <w:uiPriority w:val="99"/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94" w:customStyle="1">
    <w:name w:val="Grid Table 6 Colorful - Accent 4"/>
    <w:basedOn w:val="696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95" w:customStyle="1">
    <w:name w:val="Grid Table 6 Colorful - Accent 5"/>
    <w:basedOn w:val="696"/>
    <w:uiPriority w:val="99"/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96" w:customStyle="1">
    <w:name w:val="Grid Table 6 Colorful - Accent 6"/>
    <w:basedOn w:val="696"/>
    <w:uiPriority w:val="99"/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97" w:customStyle="1">
    <w:name w:val="Таблица-сетка 7 цветная1"/>
    <w:basedOn w:val="696"/>
    <w:uiPriority w:val="99"/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98" w:customStyle="1">
    <w:name w:val="Grid Table 7 Colorful - Accent 1"/>
    <w:basedOn w:val="696"/>
    <w:uiPriority w:val="99"/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99" w:customStyle="1">
    <w:name w:val="Grid Table 7 Colorful - Accent 2"/>
    <w:basedOn w:val="696"/>
    <w:uiPriority w:val="99"/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0" w:customStyle="1">
    <w:name w:val="Grid Table 7 Colorful - Accent 3"/>
    <w:basedOn w:val="696"/>
    <w:uiPriority w:val="99"/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1" w:customStyle="1">
    <w:name w:val="Grid Table 7 Colorful - Accent 4"/>
    <w:basedOn w:val="696"/>
    <w:uiPriority w:val="99"/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2" w:customStyle="1">
    <w:name w:val="Grid Table 7 Colorful - Accent 5"/>
    <w:basedOn w:val="696"/>
    <w:uiPriority w:val="99"/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Grid Table 7 Colorful - Accent 6"/>
    <w:basedOn w:val="696"/>
    <w:uiPriority w:val="99"/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Список-таблица 1 светлая1"/>
    <w:basedOn w:val="696"/>
    <w:uiPriority w:val="99"/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1 Light - Accent 1"/>
    <w:basedOn w:val="696"/>
    <w:uiPriority w:val="99"/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st Table 1 Light - Accent 2"/>
    <w:basedOn w:val="696"/>
    <w:uiPriority w:val="99"/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7" w:customStyle="1">
    <w:name w:val="List Table 1 Light - Accent 3"/>
    <w:basedOn w:val="696"/>
    <w:uiPriority w:val="99"/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8" w:customStyle="1">
    <w:name w:val="List Table 1 Light - Accent 4"/>
    <w:basedOn w:val="696"/>
    <w:uiPriority w:val="99"/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9" w:customStyle="1">
    <w:name w:val="List Table 1 Light - Accent 5"/>
    <w:basedOn w:val="696"/>
    <w:uiPriority w:val="99"/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0" w:customStyle="1">
    <w:name w:val="List Table 1 Light - Accent 6"/>
    <w:basedOn w:val="696"/>
    <w:uiPriority w:val="99"/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1" w:customStyle="1">
    <w:name w:val="Список-таблица 21"/>
    <w:basedOn w:val="696"/>
    <w:uiPriority w:val="99"/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812" w:customStyle="1">
    <w:name w:val="List Table 2 - Accent 1"/>
    <w:basedOn w:val="696"/>
    <w:uiPriority w:val="99"/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813" w:customStyle="1">
    <w:name w:val="List Table 2 - Accent 2"/>
    <w:basedOn w:val="696"/>
    <w:uiPriority w:val="99"/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814" w:customStyle="1">
    <w:name w:val="List Table 2 - Accent 3"/>
    <w:basedOn w:val="696"/>
    <w:uiPriority w:val="99"/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815" w:customStyle="1">
    <w:name w:val="List Table 2 - Accent 4"/>
    <w:basedOn w:val="696"/>
    <w:uiPriority w:val="99"/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816" w:customStyle="1">
    <w:name w:val="List Table 2 - Accent 5"/>
    <w:basedOn w:val="696"/>
    <w:uiPriority w:val="99"/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817" w:customStyle="1">
    <w:name w:val="List Table 2 - Accent 6"/>
    <w:basedOn w:val="696"/>
    <w:uiPriority w:val="99"/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818" w:customStyle="1">
    <w:name w:val="Список-таблица 31"/>
    <w:basedOn w:val="696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9" w:customStyle="1">
    <w:name w:val="List Table 3 - Accent 1"/>
    <w:basedOn w:val="696"/>
    <w:uiPriority w:val="99"/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0" w:customStyle="1">
    <w:name w:val="List Table 3 - Accent 2"/>
    <w:basedOn w:val="696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1" w:customStyle="1">
    <w:name w:val="List Table 3 - Accent 3"/>
    <w:basedOn w:val="696"/>
    <w:uiPriority w:val="99"/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2" w:customStyle="1">
    <w:name w:val="List Table 3 - Accent 4"/>
    <w:basedOn w:val="696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3" w:customStyle="1">
    <w:name w:val="List Table 3 - Accent 5"/>
    <w:basedOn w:val="696"/>
    <w:uiPriority w:val="99"/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4" w:customStyle="1">
    <w:name w:val="List Table 3 - Accent 6"/>
    <w:basedOn w:val="696"/>
    <w:uiPriority w:val="99"/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5" w:customStyle="1">
    <w:name w:val="Список-таблица 41"/>
    <w:basedOn w:val="696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6" w:customStyle="1">
    <w:name w:val="List Table 4 - Accent 1"/>
    <w:basedOn w:val="696"/>
    <w:uiPriority w:val="9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7" w:customStyle="1">
    <w:name w:val="List Table 4 - Accent 2"/>
    <w:basedOn w:val="696"/>
    <w:uiPriority w:val="9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8" w:customStyle="1">
    <w:name w:val="List Table 4 - Accent 3"/>
    <w:basedOn w:val="696"/>
    <w:uiPriority w:val="9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9" w:customStyle="1">
    <w:name w:val="List Table 4 - Accent 4"/>
    <w:basedOn w:val="696"/>
    <w:uiPriority w:val="9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0" w:customStyle="1">
    <w:name w:val="List Table 4 - Accent 5"/>
    <w:basedOn w:val="696"/>
    <w:uiPriority w:val="9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1" w:customStyle="1">
    <w:name w:val="List Table 4 - Accent 6"/>
    <w:basedOn w:val="696"/>
    <w:uiPriority w:val="9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2" w:customStyle="1">
    <w:name w:val="Список-таблица 5 темная1"/>
    <w:basedOn w:val="696"/>
    <w:uiPriority w:val="99"/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3" w:customStyle="1">
    <w:name w:val="List Table 5 Dark - Accent 1"/>
    <w:basedOn w:val="696"/>
    <w:uiPriority w:val="99"/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4" w:customStyle="1">
    <w:name w:val="List Table 5 Dark - Accent 2"/>
    <w:basedOn w:val="696"/>
    <w:uiPriority w:val="99"/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5" w:customStyle="1">
    <w:name w:val="List Table 5 Dark - Accent 3"/>
    <w:basedOn w:val="696"/>
    <w:uiPriority w:val="99"/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6" w:customStyle="1">
    <w:name w:val="List Table 5 Dark - Accent 4"/>
    <w:basedOn w:val="696"/>
    <w:uiPriority w:val="99"/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7" w:customStyle="1">
    <w:name w:val="List Table 5 Dark - Accent 5"/>
    <w:basedOn w:val="696"/>
    <w:uiPriority w:val="99"/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8" w:customStyle="1">
    <w:name w:val="List Table 5 Dark - Accent 6"/>
    <w:basedOn w:val="696"/>
    <w:uiPriority w:val="99"/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9" w:customStyle="1">
    <w:name w:val="Список-таблица 6 цветная1"/>
    <w:basedOn w:val="696"/>
    <w:uiPriority w:val="99"/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40" w:customStyle="1">
    <w:name w:val="List Table 6 Colorful - Accent 1"/>
    <w:basedOn w:val="696"/>
    <w:uiPriority w:val="99"/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41" w:customStyle="1">
    <w:name w:val="List Table 6 Colorful - Accent 2"/>
    <w:basedOn w:val="696"/>
    <w:uiPriority w:val="99"/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42" w:customStyle="1">
    <w:name w:val="List Table 6 Colorful - Accent 3"/>
    <w:basedOn w:val="696"/>
    <w:uiPriority w:val="99"/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43" w:customStyle="1">
    <w:name w:val="List Table 6 Colorful - Accent 4"/>
    <w:basedOn w:val="696"/>
    <w:uiPriority w:val="99"/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44" w:customStyle="1">
    <w:name w:val="List Table 6 Colorful - Accent 5"/>
    <w:basedOn w:val="696"/>
    <w:uiPriority w:val="99"/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45" w:customStyle="1">
    <w:name w:val="List Table 6 Colorful - Accent 6"/>
    <w:basedOn w:val="696"/>
    <w:uiPriority w:val="99"/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46" w:customStyle="1">
    <w:name w:val="Список-таблица 7 цветная1"/>
    <w:basedOn w:val="696"/>
    <w:uiPriority w:val="99"/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7" w:customStyle="1">
    <w:name w:val="List Table 7 Colorful - Accent 1"/>
    <w:basedOn w:val="696"/>
    <w:uiPriority w:val="99"/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8" w:customStyle="1">
    <w:name w:val="List Table 7 Colorful - Accent 2"/>
    <w:basedOn w:val="696"/>
    <w:uiPriority w:val="99"/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9" w:customStyle="1">
    <w:name w:val="List Table 7 Colorful - Accent 3"/>
    <w:basedOn w:val="696"/>
    <w:uiPriority w:val="99"/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50" w:customStyle="1">
    <w:name w:val="List Table 7 Colorful - Accent 4"/>
    <w:basedOn w:val="696"/>
    <w:uiPriority w:val="99"/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51" w:customStyle="1">
    <w:name w:val="List Table 7 Colorful - Accent 5"/>
    <w:basedOn w:val="696"/>
    <w:uiPriority w:val="99"/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52" w:customStyle="1">
    <w:name w:val="List Table 7 Colorful - Accent 6"/>
    <w:basedOn w:val="696"/>
    <w:uiPriority w:val="99"/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53" w:customStyle="1">
    <w:name w:val="Lined - Accent"/>
    <w:basedOn w:val="696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54" w:customStyle="1">
    <w:name w:val="Lined - Accent 1"/>
    <w:basedOn w:val="696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55" w:customStyle="1">
    <w:name w:val="Lined - Accent 2"/>
    <w:basedOn w:val="696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56" w:customStyle="1">
    <w:name w:val="Lined - Accent 3"/>
    <w:basedOn w:val="696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57" w:customStyle="1">
    <w:name w:val="Lined - Accent 4"/>
    <w:basedOn w:val="696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58" w:customStyle="1">
    <w:name w:val="Lined - Accent 5"/>
    <w:basedOn w:val="696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59" w:customStyle="1">
    <w:name w:val="Lined - Accent 6"/>
    <w:basedOn w:val="696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60" w:customStyle="1">
    <w:name w:val="Bordered &amp; Lined - Accent"/>
    <w:basedOn w:val="696"/>
    <w:uiPriority w:val="99"/>
    <w:rPr>
      <w:color w:val="404040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61" w:customStyle="1">
    <w:name w:val="Bordered &amp; Lined - Accent 1"/>
    <w:basedOn w:val="696"/>
    <w:uiPriority w:val="99"/>
    <w:rPr>
      <w:color w:val="404040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62" w:customStyle="1">
    <w:name w:val="Bordered &amp; Lined - Accent 2"/>
    <w:basedOn w:val="696"/>
    <w:uiPriority w:val="99"/>
    <w:rPr>
      <w:color w:val="404040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63" w:customStyle="1">
    <w:name w:val="Bordered &amp; Lined - Accent 3"/>
    <w:basedOn w:val="696"/>
    <w:uiPriority w:val="99"/>
    <w:rPr>
      <w:color w:val="404040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64" w:customStyle="1">
    <w:name w:val="Bordered &amp; Lined - Accent 4"/>
    <w:basedOn w:val="696"/>
    <w:uiPriority w:val="99"/>
    <w:rPr>
      <w:color w:val="404040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65" w:customStyle="1">
    <w:name w:val="Bordered &amp; Lined - Accent 5"/>
    <w:basedOn w:val="696"/>
    <w:uiPriority w:val="99"/>
    <w:rPr>
      <w:color w:val="404040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66" w:customStyle="1">
    <w:name w:val="Bordered &amp; Lined - Accent 6"/>
    <w:basedOn w:val="696"/>
    <w:uiPriority w:val="99"/>
    <w:rPr>
      <w:color w:val="404040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67" w:customStyle="1">
    <w:name w:val="Bordered"/>
    <w:basedOn w:val="696"/>
    <w:uiPriority w:val="99"/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68" w:customStyle="1">
    <w:name w:val="Bordered - Accent 1"/>
    <w:basedOn w:val="696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69" w:customStyle="1">
    <w:name w:val="Bordered - Accent 2"/>
    <w:basedOn w:val="696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70" w:customStyle="1">
    <w:name w:val="Bordered - Accent 3"/>
    <w:basedOn w:val="696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71" w:customStyle="1">
    <w:name w:val="Bordered - Accent 4"/>
    <w:basedOn w:val="696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72" w:customStyle="1">
    <w:name w:val="Bordered - Accent 5"/>
    <w:basedOn w:val="696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73" w:customStyle="1">
    <w:name w:val="Bordered - Accent 6"/>
    <w:basedOn w:val="696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74">
    <w:name w:val="footnote text"/>
    <w:basedOn w:val="685"/>
    <w:link w:val="875"/>
    <w:uiPriority w:val="99"/>
    <w:semiHidden/>
    <w:unhideWhenUsed/>
    <w:pPr>
      <w:spacing w:after="40" w:line="240" w:lineRule="auto"/>
    </w:pPr>
    <w:rPr>
      <w:sz w:val="18"/>
    </w:rPr>
  </w:style>
  <w:style w:type="character" w:styleId="875" w:customStyle="1">
    <w:name w:val="Текст сноски Знак"/>
    <w:link w:val="874"/>
    <w:uiPriority w:val="99"/>
    <w:rPr>
      <w:sz w:val="18"/>
    </w:rPr>
  </w:style>
  <w:style w:type="character" w:styleId="876">
    <w:name w:val="footnote reference"/>
    <w:basedOn w:val="695"/>
    <w:uiPriority w:val="99"/>
    <w:unhideWhenUsed/>
    <w:rPr>
      <w:vertAlign w:val="superscript"/>
    </w:rPr>
  </w:style>
  <w:style w:type="paragraph" w:styleId="877">
    <w:name w:val="endnote text"/>
    <w:basedOn w:val="685"/>
    <w:link w:val="878"/>
    <w:uiPriority w:val="99"/>
    <w:semiHidden/>
    <w:unhideWhenUsed/>
    <w:pPr>
      <w:spacing w:after="0" w:line="240" w:lineRule="auto"/>
    </w:pPr>
    <w:rPr>
      <w:sz w:val="20"/>
    </w:rPr>
  </w:style>
  <w:style w:type="character" w:styleId="878" w:customStyle="1">
    <w:name w:val="Текст концевой сноски Знак"/>
    <w:link w:val="877"/>
    <w:uiPriority w:val="99"/>
    <w:rPr>
      <w:sz w:val="20"/>
    </w:rPr>
  </w:style>
  <w:style w:type="character" w:styleId="879">
    <w:name w:val="endnote reference"/>
    <w:basedOn w:val="695"/>
    <w:uiPriority w:val="99"/>
    <w:semiHidden/>
    <w:unhideWhenUsed/>
    <w:rPr>
      <w:vertAlign w:val="superscript"/>
    </w:rPr>
  </w:style>
  <w:style w:type="paragraph" w:styleId="880">
    <w:name w:val="toc 1"/>
    <w:basedOn w:val="685"/>
    <w:next w:val="685"/>
    <w:uiPriority w:val="39"/>
    <w:unhideWhenUsed/>
    <w:pPr>
      <w:spacing w:after="57"/>
    </w:pPr>
  </w:style>
  <w:style w:type="paragraph" w:styleId="881">
    <w:name w:val="toc 2"/>
    <w:basedOn w:val="685"/>
    <w:next w:val="685"/>
    <w:uiPriority w:val="39"/>
    <w:unhideWhenUsed/>
    <w:pPr>
      <w:ind w:left="283"/>
      <w:spacing w:after="57"/>
    </w:pPr>
  </w:style>
  <w:style w:type="paragraph" w:styleId="882">
    <w:name w:val="toc 3"/>
    <w:basedOn w:val="685"/>
    <w:next w:val="685"/>
    <w:uiPriority w:val="39"/>
    <w:unhideWhenUsed/>
    <w:pPr>
      <w:ind w:left="567"/>
      <w:spacing w:after="57"/>
    </w:pPr>
  </w:style>
  <w:style w:type="paragraph" w:styleId="883">
    <w:name w:val="toc 4"/>
    <w:basedOn w:val="685"/>
    <w:next w:val="685"/>
    <w:uiPriority w:val="39"/>
    <w:unhideWhenUsed/>
    <w:pPr>
      <w:ind w:left="850"/>
      <w:spacing w:after="57"/>
    </w:pPr>
  </w:style>
  <w:style w:type="paragraph" w:styleId="884">
    <w:name w:val="toc 5"/>
    <w:basedOn w:val="685"/>
    <w:next w:val="685"/>
    <w:uiPriority w:val="39"/>
    <w:unhideWhenUsed/>
    <w:pPr>
      <w:ind w:left="1134"/>
      <w:spacing w:after="57"/>
    </w:pPr>
  </w:style>
  <w:style w:type="paragraph" w:styleId="885">
    <w:name w:val="toc 6"/>
    <w:basedOn w:val="685"/>
    <w:next w:val="685"/>
    <w:uiPriority w:val="39"/>
    <w:unhideWhenUsed/>
    <w:pPr>
      <w:ind w:left="1417"/>
      <w:spacing w:after="57"/>
    </w:pPr>
  </w:style>
  <w:style w:type="paragraph" w:styleId="886">
    <w:name w:val="toc 7"/>
    <w:basedOn w:val="685"/>
    <w:next w:val="685"/>
    <w:uiPriority w:val="39"/>
    <w:unhideWhenUsed/>
    <w:pPr>
      <w:ind w:left="1701"/>
      <w:spacing w:after="57"/>
    </w:pPr>
  </w:style>
  <w:style w:type="paragraph" w:styleId="887">
    <w:name w:val="toc 8"/>
    <w:basedOn w:val="685"/>
    <w:next w:val="685"/>
    <w:uiPriority w:val="39"/>
    <w:unhideWhenUsed/>
    <w:pPr>
      <w:ind w:left="1984"/>
      <w:spacing w:after="57"/>
    </w:pPr>
  </w:style>
  <w:style w:type="paragraph" w:styleId="888">
    <w:name w:val="toc 9"/>
    <w:basedOn w:val="685"/>
    <w:next w:val="685"/>
    <w:uiPriority w:val="39"/>
    <w:unhideWhenUsed/>
    <w:pPr>
      <w:ind w:left="2268"/>
      <w:spacing w:after="57"/>
    </w:pPr>
  </w:style>
  <w:style w:type="paragraph" w:styleId="889">
    <w:name w:val="TOC Heading"/>
    <w:uiPriority w:val="39"/>
    <w:unhideWhenUsed/>
  </w:style>
  <w:style w:type="paragraph" w:styleId="890">
    <w:name w:val="table of figures"/>
    <w:basedOn w:val="685"/>
    <w:next w:val="685"/>
    <w:uiPriority w:val="99"/>
    <w:unhideWhenUsed/>
    <w:pPr>
      <w:spacing w:after="0"/>
    </w:pPr>
  </w:style>
  <w:style w:type="paragraph" w:styleId="891" w:customStyle="1">
    <w:name w:val="ConsPlusNormal"/>
    <w:pPr>
      <w:widowControl w:val="off"/>
    </w:pPr>
    <w:rPr>
      <w:rFonts w:eastAsia="Times New Roman" w:cs="Calibri"/>
      <w:sz w:val="22"/>
      <w:szCs w:val="22"/>
    </w:rPr>
  </w:style>
  <w:style w:type="paragraph" w:styleId="892" w:customStyle="1">
    <w:name w:val="ConsPlusNonformat"/>
    <w:uiPriority w:val="99"/>
    <w:pPr>
      <w:widowControl w:val="off"/>
    </w:pPr>
    <w:rPr>
      <w:rFonts w:ascii="Courier New" w:hAnsi="Courier New" w:eastAsia="Times New Roman" w:cs="Courier New"/>
    </w:rPr>
  </w:style>
  <w:style w:type="paragraph" w:styleId="893" w:customStyle="1">
    <w:name w:val="ConsPlusTitle"/>
    <w:uiPriority w:val="99"/>
    <w:pPr>
      <w:widowControl w:val="off"/>
    </w:pPr>
    <w:rPr>
      <w:rFonts w:eastAsia="Times New Roman" w:cs="Calibri"/>
      <w:b/>
      <w:bCs/>
      <w:sz w:val="22"/>
      <w:szCs w:val="22"/>
    </w:rPr>
  </w:style>
  <w:style w:type="paragraph" w:styleId="894" w:customStyle="1">
    <w:name w:val="ConsPlusCell"/>
    <w:uiPriority w:val="99"/>
    <w:pPr>
      <w:widowControl w:val="off"/>
    </w:pPr>
    <w:rPr>
      <w:rFonts w:eastAsia="Times New Roman" w:cs="Calibri"/>
      <w:sz w:val="22"/>
      <w:szCs w:val="22"/>
    </w:rPr>
  </w:style>
  <w:style w:type="character" w:styleId="895" w:customStyle="1">
    <w:name w:val="МОН Знак"/>
    <w:link w:val="896"/>
    <w:rPr>
      <w:sz w:val="24"/>
      <w:szCs w:val="24"/>
    </w:rPr>
  </w:style>
  <w:style w:type="paragraph" w:styleId="896" w:customStyle="1">
    <w:name w:val="МОН"/>
    <w:basedOn w:val="685"/>
    <w:link w:val="895"/>
    <w:pPr>
      <w:ind w:firstLine="709"/>
      <w:jc w:val="both"/>
      <w:spacing w:after="0" w:line="360" w:lineRule="auto"/>
    </w:pPr>
    <w:rPr>
      <w:sz w:val="24"/>
      <w:szCs w:val="24"/>
    </w:rPr>
  </w:style>
  <w:style w:type="character" w:styleId="897">
    <w:name w:val="Strong"/>
    <w:qFormat/>
    <w:rPr>
      <w:b/>
      <w:bCs/>
    </w:rPr>
  </w:style>
  <w:style w:type="paragraph" w:styleId="898">
    <w:name w:val="List Paragraph"/>
    <w:basedOn w:val="685"/>
    <w:qFormat/>
    <w:pPr>
      <w:contextualSpacing/>
      <w:ind w:left="720"/>
    </w:pPr>
  </w:style>
  <w:style w:type="character" w:styleId="899" w:customStyle="1">
    <w:name w:val="Основной текст_"/>
    <w:link w:val="900"/>
    <w:rPr>
      <w:rFonts w:ascii="Times New Roman" w:hAnsi="Times New Roman" w:eastAsia="Times New Roman" w:cs="Times New Roman"/>
      <w:spacing w:val="-1"/>
      <w:sz w:val="26"/>
      <w:szCs w:val="26"/>
      <w:shd w:val="clear" w:color="auto" w:fill="ffffff"/>
    </w:rPr>
  </w:style>
  <w:style w:type="paragraph" w:styleId="900" w:customStyle="1">
    <w:name w:val="Основной текст2"/>
    <w:basedOn w:val="685"/>
    <w:link w:val="899"/>
    <w:pPr>
      <w:jc w:val="both"/>
      <w:spacing w:before="420" w:after="0" w:line="322" w:lineRule="exact"/>
      <w:shd w:val="clear" w:color="auto" w:fill="ffffff"/>
      <w:widowControl w:val="off"/>
    </w:pPr>
    <w:rPr>
      <w:rFonts w:ascii="Times New Roman" w:hAnsi="Times New Roman" w:eastAsia="Times New Roman"/>
      <w:spacing w:val="-1"/>
      <w:sz w:val="26"/>
      <w:szCs w:val="26"/>
    </w:rPr>
  </w:style>
  <w:style w:type="paragraph" w:styleId="901">
    <w:name w:val="Body Text 2"/>
    <w:basedOn w:val="685"/>
    <w:link w:val="902"/>
    <w:pPr>
      <w:jc w:val="both"/>
      <w:spacing w:after="0" w:line="240" w:lineRule="auto"/>
    </w:pPr>
    <w:rPr>
      <w:rFonts w:ascii="Times New Roman" w:hAnsi="Times New Roman" w:eastAsia="Times New Roman"/>
      <w:b/>
      <w:bCs/>
      <w:sz w:val="24"/>
      <w:szCs w:val="20"/>
      <w:lang w:eastAsia="fi-FI"/>
    </w:rPr>
  </w:style>
  <w:style w:type="character" w:styleId="902" w:customStyle="1">
    <w:name w:val="Основной текст 2 Знак"/>
    <w:link w:val="901"/>
    <w:rPr>
      <w:rFonts w:ascii="Times New Roman" w:hAnsi="Times New Roman" w:eastAsia="Times New Roman" w:cs="Times New Roman"/>
      <w:b/>
      <w:bCs/>
      <w:sz w:val="24"/>
      <w:szCs w:val="20"/>
      <w:lang w:eastAsia="fi-FI"/>
    </w:rPr>
  </w:style>
  <w:style w:type="paragraph" w:styleId="903">
    <w:name w:val="Footer"/>
    <w:basedOn w:val="685"/>
    <w:link w:val="904"/>
    <w:uiPriority w:val="99"/>
    <w:unhideWhenUsed/>
    <w:pPr>
      <w:jc w:val="both"/>
      <w:spacing w:after="0" w:line="240" w:lineRule="auto"/>
      <w:tabs>
        <w:tab w:val="center" w:pos="4677" w:leader="none"/>
        <w:tab w:val="right" w:pos="9355" w:leader="none"/>
      </w:tabs>
    </w:pPr>
    <w:rPr>
      <w:rFonts w:ascii="Times New Roman" w:hAnsi="Times New Roman"/>
      <w:sz w:val="24"/>
      <w:szCs w:val="24"/>
    </w:rPr>
  </w:style>
  <w:style w:type="character" w:styleId="904" w:customStyle="1">
    <w:name w:val="Нижний колонтитул Знак"/>
    <w:link w:val="903"/>
    <w:uiPriority w:val="99"/>
    <w:rPr>
      <w:rFonts w:ascii="Times New Roman" w:hAnsi="Times New Roman" w:eastAsia="Calibri" w:cs="Times New Roman"/>
      <w:sz w:val="24"/>
      <w:szCs w:val="24"/>
    </w:rPr>
  </w:style>
  <w:style w:type="character" w:styleId="905" w:customStyle="1">
    <w:name w:val="Основной текст + 8 pt;Интервал 0 pt"/>
    <w:rPr>
      <w:rFonts w:ascii="Times New Roman" w:hAnsi="Times New Roman" w:eastAsia="Times New Roman" w:cs="Times New Roman"/>
      <w:b w:val="0"/>
      <w:bCs w:val="0"/>
      <w:i w:val="0"/>
      <w:iCs w:val="0"/>
      <w:smallCaps w:val="0"/>
      <w:strike w:val="0"/>
      <w:color w:val="000000"/>
      <w:spacing w:val="-2"/>
      <w:position w:val="0"/>
      <w:sz w:val="16"/>
      <w:szCs w:val="16"/>
      <w:u w:val="none"/>
      <w:lang w:val="ru-RU"/>
    </w:rPr>
  </w:style>
  <w:style w:type="paragraph" w:styleId="906" w:customStyle="1">
    <w:name w:val="32"/>
    <w:basedOn w:val="685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character" w:styleId="907" w:customStyle="1">
    <w:name w:val="Основной текст + 10;5 pt;Интервал 0 pt"/>
    <w:rPr>
      <w:rFonts w:ascii="Times New Roman" w:hAnsi="Times New Roman" w:eastAsia="Times New Roman" w:cs="Times New Roman"/>
      <w:b w:val="0"/>
      <w:bCs w:val="0"/>
      <w:i w:val="0"/>
      <w:iCs w:val="0"/>
      <w:smallCaps w:val="0"/>
      <w:strike w:val="0"/>
      <w:color w:val="000000"/>
      <w:spacing w:val="2"/>
      <w:position w:val="0"/>
      <w:sz w:val="21"/>
      <w:szCs w:val="21"/>
      <w:u w:val="none"/>
      <w:lang w:val="ru-RU"/>
    </w:rPr>
  </w:style>
  <w:style w:type="paragraph" w:styleId="908">
    <w:name w:val="Normal (Web)"/>
    <w:basedOn w:val="685"/>
    <w:uiPriority w:val="99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paragraph" w:styleId="909">
    <w:name w:val="Body Text Indent"/>
    <w:basedOn w:val="685"/>
    <w:link w:val="910"/>
    <w:pPr>
      <w:ind w:left="283"/>
      <w:spacing w:after="120" w:line="240" w:lineRule="auto"/>
    </w:pPr>
    <w:rPr>
      <w:rFonts w:ascii="Times New Roman" w:hAnsi="Times New Roman" w:eastAsia="Times New Roman"/>
      <w:sz w:val="24"/>
      <w:szCs w:val="24"/>
    </w:rPr>
  </w:style>
  <w:style w:type="character" w:styleId="910" w:customStyle="1">
    <w:name w:val="Основной текст с отступом Знак"/>
    <w:link w:val="909"/>
    <w:rPr>
      <w:rFonts w:ascii="Times New Roman" w:hAnsi="Times New Roman" w:eastAsia="Times New Roman" w:cs="Times New Roman"/>
      <w:sz w:val="24"/>
      <w:szCs w:val="24"/>
    </w:rPr>
  </w:style>
  <w:style w:type="character" w:styleId="911" w:customStyle="1">
    <w:name w:val="Заголовок 1 Знак"/>
    <w:link w:val="686"/>
    <w:uiPriority w:val="9"/>
    <w:rPr>
      <w:rFonts w:ascii="Times New Roman" w:hAnsi="Times New Roman" w:eastAsia="Times New Roman" w:cs="Times New Roman"/>
      <w:b/>
      <w:bCs/>
      <w:sz w:val="48"/>
      <w:szCs w:val="48"/>
      <w:lang w:eastAsia="ru-RU"/>
    </w:rPr>
  </w:style>
  <w:style w:type="character" w:styleId="912" w:customStyle="1">
    <w:name w:val="Заголовок 2 Знак"/>
    <w:link w:val="687"/>
    <w:rPr>
      <w:rFonts w:ascii="Cambria" w:hAnsi="Cambria" w:eastAsia="Times New Roman" w:cs="Times New Roman"/>
      <w:b/>
      <w:bCs/>
      <w:i/>
      <w:iCs/>
      <w:sz w:val="28"/>
      <w:szCs w:val="28"/>
      <w:lang w:eastAsia="ru-RU"/>
    </w:rPr>
  </w:style>
  <w:style w:type="character" w:styleId="913" w:customStyle="1">
    <w:name w:val="Заголовок 3 Знак"/>
    <w:link w:val="688"/>
    <w:rPr>
      <w:rFonts w:ascii="Cambria" w:hAnsi="Cambria" w:eastAsia="Times New Roman" w:cs="Times New Roman"/>
      <w:b/>
      <w:bCs/>
      <w:sz w:val="26"/>
      <w:szCs w:val="26"/>
      <w:lang w:eastAsia="ru-RU"/>
    </w:rPr>
  </w:style>
  <w:style w:type="table" w:styleId="914">
    <w:name w:val="Table Grid"/>
    <w:basedOn w:val="696"/>
    <w:uiPriority w:val="99"/>
    <w:rPr>
      <w:rFonts w:ascii="Times New Roman" w:hAnsi="Times New Roman" w:eastAsia="Times New Roman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915">
    <w:name w:val="Balloon Text"/>
    <w:basedOn w:val="685"/>
    <w:link w:val="916"/>
    <w:pPr>
      <w:spacing w:after="0" w:line="240" w:lineRule="auto"/>
    </w:pPr>
    <w:rPr>
      <w:rFonts w:ascii="Tahoma" w:hAnsi="Tahoma" w:eastAsia="Times New Roman" w:cs="Tahoma"/>
      <w:sz w:val="16"/>
      <w:szCs w:val="16"/>
      <w:lang w:eastAsia="ru-RU"/>
    </w:rPr>
  </w:style>
  <w:style w:type="character" w:styleId="916" w:customStyle="1">
    <w:name w:val="Текст выноски Знак"/>
    <w:link w:val="915"/>
    <w:rPr>
      <w:rFonts w:ascii="Tahoma" w:hAnsi="Tahoma" w:eastAsia="Times New Roman" w:cs="Tahoma"/>
      <w:sz w:val="16"/>
      <w:szCs w:val="16"/>
      <w:lang w:eastAsia="ru-RU"/>
    </w:rPr>
  </w:style>
  <w:style w:type="paragraph" w:styleId="917">
    <w:name w:val="Header"/>
    <w:basedOn w:val="685"/>
    <w:link w:val="918"/>
    <w:uiPriority w:val="99"/>
    <w:pPr>
      <w:spacing w:after="0" w:line="240" w:lineRule="auto"/>
      <w:tabs>
        <w:tab w:val="center" w:pos="4677" w:leader="none"/>
        <w:tab w:val="right" w:pos="9355" w:leader="none"/>
      </w:tabs>
    </w:pPr>
    <w:rPr>
      <w:rFonts w:ascii="Times New Roman" w:hAnsi="Times New Roman" w:eastAsia="Times New Roman"/>
      <w:sz w:val="24"/>
      <w:szCs w:val="24"/>
      <w:lang w:eastAsia="ru-RU"/>
    </w:rPr>
  </w:style>
  <w:style w:type="character" w:styleId="918" w:customStyle="1">
    <w:name w:val="Верхний колонтитул Знак"/>
    <w:link w:val="917"/>
    <w:uiPriority w:val="99"/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919">
    <w:name w:val="Emphasis"/>
    <w:qFormat/>
    <w:rPr>
      <w:i/>
      <w:iCs/>
    </w:rPr>
  </w:style>
  <w:style w:type="paragraph" w:styleId="920" w:customStyle="1">
    <w:name w:val="Содержимое таблицы"/>
    <w:basedOn w:val="685"/>
    <w:pPr>
      <w:spacing w:after="0" w:line="240" w:lineRule="auto"/>
      <w:widowControl w:val="off"/>
      <w:suppressLineNumbers/>
    </w:pPr>
    <w:rPr>
      <w:rFonts w:ascii="Times New Roman" w:hAnsi="Times New Roman"/>
      <w:sz w:val="24"/>
      <w:szCs w:val="24"/>
      <w:lang w:eastAsia="ar-SA"/>
    </w:rPr>
  </w:style>
  <w:style w:type="paragraph" w:styleId="921" w:customStyle="1">
    <w:name w:val="consplusnormal"/>
    <w:basedOn w:val="685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paragraph" w:styleId="922" w:customStyle="1">
    <w:name w:val="a2"/>
    <w:basedOn w:val="685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paragraph" w:styleId="923" w:customStyle="1">
    <w:name w:val="15"/>
    <w:basedOn w:val="685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character" w:styleId="924" w:customStyle="1">
    <w:name w:val="Знак Знак5"/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925" w:customStyle="1">
    <w:name w:val="h1"/>
    <w:basedOn w:val="685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paragraph" w:styleId="926" w:customStyle="1">
    <w:name w:val="msonospacing"/>
    <w:basedOn w:val="685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paragraph" w:styleId="927" w:customStyle="1">
    <w:name w:val="ac"/>
    <w:basedOn w:val="685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paragraph" w:styleId="928">
    <w:name w:val="Body Text 3"/>
    <w:basedOn w:val="685"/>
    <w:link w:val="929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character" w:styleId="929" w:customStyle="1">
    <w:name w:val="Основной текст 3 Знак"/>
    <w:link w:val="928"/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930">
    <w:name w:val="HTML Bottom of Form"/>
    <w:basedOn w:val="685"/>
    <w:next w:val="685"/>
    <w:link w:val="931"/>
    <w:hidden/>
    <w:pPr>
      <w:jc w:val="center"/>
      <w:spacing w:after="0" w:line="240" w:lineRule="auto"/>
      <w:pBdr>
        <w:top w:val="single" w:color="000000" w:sz="6" w:space="1"/>
      </w:pBdr>
    </w:pPr>
    <w:rPr>
      <w:rFonts w:ascii="Arial" w:hAnsi="Arial" w:eastAsia="Times New Roman"/>
      <w:vanish/>
      <w:sz w:val="16"/>
      <w:szCs w:val="16"/>
      <w:lang w:eastAsia="ru-RU"/>
    </w:rPr>
  </w:style>
  <w:style w:type="character" w:styleId="931" w:customStyle="1">
    <w:name w:val="z-Конец формы Знак"/>
    <w:link w:val="930"/>
    <w:rPr>
      <w:rFonts w:ascii="Arial" w:hAnsi="Arial" w:eastAsia="Times New Roman" w:cs="Times New Roman"/>
      <w:vanish/>
      <w:sz w:val="16"/>
      <w:szCs w:val="16"/>
      <w:lang w:eastAsia="ru-RU"/>
    </w:rPr>
  </w:style>
  <w:style w:type="paragraph" w:styleId="932" w:customStyle="1">
    <w:name w:val="Style16"/>
    <w:basedOn w:val="685"/>
    <w:pPr>
      <w:spacing w:after="0" w:line="240" w:lineRule="auto"/>
      <w:widowControl w:val="off"/>
    </w:pPr>
    <w:rPr>
      <w:rFonts w:ascii="Times New Roman" w:hAnsi="Times New Roman" w:eastAsia="Times New Roman"/>
      <w:sz w:val="24"/>
      <w:szCs w:val="24"/>
      <w:lang w:eastAsia="ru-RU"/>
    </w:rPr>
  </w:style>
  <w:style w:type="character" w:styleId="933" w:customStyle="1">
    <w:name w:val="Font Style21"/>
    <w:rPr>
      <w:rFonts w:ascii="Times New Roman" w:hAnsi="Times New Roman" w:cs="Times New Roman"/>
      <w:b/>
      <w:bCs/>
      <w:sz w:val="24"/>
      <w:szCs w:val="24"/>
    </w:rPr>
  </w:style>
  <w:style w:type="paragraph" w:styleId="934">
    <w:name w:val="Caption"/>
    <w:basedOn w:val="685"/>
    <w:next w:val="685"/>
    <w:qFormat/>
    <w:pPr>
      <w:jc w:val="center"/>
      <w:spacing w:after="0" w:line="240" w:lineRule="auto"/>
    </w:pPr>
    <w:rPr>
      <w:rFonts w:ascii="Times New Roman" w:hAnsi="Times New Roman" w:eastAsia="Times New Roman"/>
      <w:b/>
      <w:sz w:val="32"/>
      <w:szCs w:val="20"/>
      <w:lang w:eastAsia="ru-RU"/>
    </w:rPr>
  </w:style>
  <w:style w:type="paragraph" w:styleId="935">
    <w:name w:val="Body Text"/>
    <w:basedOn w:val="685"/>
    <w:link w:val="936"/>
    <w:uiPriority w:val="99"/>
    <w:pPr>
      <w:spacing w:after="120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character" w:styleId="936" w:customStyle="1">
    <w:name w:val="Основной текст Знак"/>
    <w:link w:val="935"/>
    <w:uiPriority w:val="99"/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937">
    <w:name w:val="Body Text Indent 2"/>
    <w:basedOn w:val="685"/>
    <w:link w:val="938"/>
    <w:pPr>
      <w:ind w:left="283"/>
      <w:spacing w:after="120" w:line="480" w:lineRule="auto"/>
    </w:pPr>
    <w:rPr>
      <w:rFonts w:ascii="Times New Roman" w:hAnsi="Times New Roman" w:eastAsia="Times New Roman"/>
      <w:sz w:val="24"/>
      <w:szCs w:val="24"/>
      <w:lang w:eastAsia="ru-RU"/>
    </w:rPr>
  </w:style>
  <w:style w:type="character" w:styleId="938" w:customStyle="1">
    <w:name w:val="Основной текст с отступом 2 Знак"/>
    <w:link w:val="937"/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939" w:customStyle="1">
    <w:name w:val="Заголовок №2_"/>
    <w:link w:val="940"/>
    <w:rPr>
      <w:rFonts w:ascii="Times New Roman" w:hAnsi="Times New Roman" w:eastAsia="Times New Roman" w:cs="Times New Roman"/>
      <w:b/>
      <w:bCs/>
      <w:sz w:val="26"/>
      <w:szCs w:val="26"/>
      <w:shd w:val="clear" w:color="auto" w:fill="ffffff"/>
    </w:rPr>
  </w:style>
  <w:style w:type="paragraph" w:styleId="940" w:customStyle="1">
    <w:name w:val="Заголовок №2"/>
    <w:basedOn w:val="685"/>
    <w:link w:val="939"/>
    <w:pPr>
      <w:ind w:hanging="4760"/>
      <w:spacing w:after="420" w:line="0" w:lineRule="atLeast"/>
      <w:shd w:val="clear" w:color="auto" w:fill="ffffff"/>
      <w:widowControl w:val="off"/>
      <w:outlineLvl w:val="1"/>
    </w:pPr>
    <w:rPr>
      <w:rFonts w:ascii="Times New Roman" w:hAnsi="Times New Roman" w:eastAsia="Times New Roman"/>
      <w:b/>
      <w:bCs/>
      <w:sz w:val="26"/>
      <w:szCs w:val="26"/>
    </w:rPr>
  </w:style>
  <w:style w:type="paragraph" w:styleId="941">
    <w:name w:val="No Spacing"/>
    <w:qFormat/>
    <w:rPr>
      <w:sz w:val="22"/>
      <w:szCs w:val="22"/>
      <w:lang w:eastAsia="en-US"/>
    </w:rPr>
  </w:style>
  <w:style w:type="paragraph" w:styleId="942" w:customStyle="1">
    <w:name w:val="Default"/>
    <w:rPr>
      <w:rFonts w:ascii="Arial" w:hAnsi="Arial" w:cs="Arial"/>
      <w:color w:val="000000"/>
      <w:sz w:val="24"/>
      <w:szCs w:val="24"/>
    </w:rPr>
  </w:style>
  <w:style w:type="paragraph" w:styleId="943" w:customStyle="1">
    <w:name w:val="msonormalcxspmiddle"/>
    <w:basedOn w:val="685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numbering" w:styleId="944" w:customStyle="1">
    <w:name w:val="Нет списка1"/>
    <w:next w:val="697"/>
    <w:semiHidden/>
    <w:unhideWhenUsed/>
  </w:style>
  <w:style w:type="table" w:styleId="945" w:customStyle="1">
    <w:name w:val="Сетка таблицы1"/>
    <w:basedOn w:val="696"/>
    <w:next w:val="914"/>
    <w:rPr>
      <w:rFonts w:ascii="Times New Roman" w:hAnsi="Times New Roman" w:eastAsia="Times New Roman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946" w:customStyle="1">
    <w:name w:val="Абзац списка1"/>
    <w:basedOn w:val="685"/>
    <w:pPr>
      <w:ind w:left="720"/>
      <w:spacing w:after="0" w:line="240" w:lineRule="auto"/>
    </w:pPr>
    <w:rPr>
      <w:rFonts w:ascii="Times New Roman" w:hAnsi="Times New Roman" w:eastAsia="Times New Roman"/>
      <w:sz w:val="20"/>
      <w:szCs w:val="20"/>
      <w:lang w:eastAsia="ru-RU"/>
    </w:rPr>
  </w:style>
  <w:style w:type="paragraph" w:styleId="947" w:customStyle="1">
    <w:name w:val="Знак Знак2"/>
    <w:basedOn w:val="685"/>
    <w:pPr>
      <w:spacing w:after="160" w:line="240" w:lineRule="exact"/>
    </w:pPr>
    <w:rPr>
      <w:rFonts w:ascii="Verdana" w:hAnsi="Verdana" w:eastAsia="Times New Roman" w:cs="Verdana"/>
      <w:sz w:val="20"/>
      <w:szCs w:val="20"/>
      <w:lang w:val="en-US"/>
    </w:rPr>
  </w:style>
  <w:style w:type="paragraph" w:styleId="948" w:customStyle="1">
    <w:name w:val="ConsNonformat"/>
    <w:pPr>
      <w:ind w:right="19772"/>
      <w:widowControl w:val="off"/>
    </w:pPr>
    <w:rPr>
      <w:rFonts w:ascii="Courier New" w:hAnsi="Courier New" w:eastAsia="Times New Roman" w:cs="Courier New"/>
    </w:rPr>
  </w:style>
  <w:style w:type="paragraph" w:styleId="949" w:customStyle="1">
    <w:name w:val="ConsNormal"/>
    <w:pPr>
      <w:ind w:right="19772" w:firstLine="720"/>
      <w:widowControl w:val="off"/>
    </w:pPr>
    <w:rPr>
      <w:rFonts w:ascii="Arial" w:hAnsi="Arial" w:eastAsia="Times New Roman" w:cs="Arial"/>
    </w:rPr>
  </w:style>
  <w:style w:type="paragraph" w:styleId="950" w:customStyle="1">
    <w:name w:val="Обычный (веб)18"/>
    <w:basedOn w:val="685"/>
    <w:pPr>
      <w:jc w:val="both"/>
      <w:spacing w:after="0" w:line="240" w:lineRule="auto"/>
    </w:pPr>
    <w:rPr>
      <w:rFonts w:ascii="Times New Roman" w:hAnsi="Times New Roman" w:eastAsia="Times New Roman"/>
      <w:bCs/>
      <w:color w:val="000000"/>
      <w:sz w:val="28"/>
      <w:szCs w:val="28"/>
      <w:lang w:eastAsia="ar-SA"/>
    </w:rPr>
  </w:style>
  <w:style w:type="paragraph" w:styleId="951" w:customStyle="1">
    <w:name w:val="Знак Знак2"/>
    <w:basedOn w:val="685"/>
    <w:pPr>
      <w:spacing w:after="160" w:line="240" w:lineRule="exact"/>
    </w:pPr>
    <w:rPr>
      <w:rFonts w:ascii="Verdana" w:hAnsi="Verdana" w:eastAsia="Times New Roman" w:cs="Verdana"/>
      <w:sz w:val="20"/>
      <w:szCs w:val="20"/>
      <w:lang w:val="en-US"/>
    </w:rPr>
  </w:style>
  <w:style w:type="paragraph" w:styleId="952" w:customStyle="1">
    <w:name w:val="Знак Знак2"/>
    <w:basedOn w:val="685"/>
    <w:pPr>
      <w:spacing w:after="160" w:line="240" w:lineRule="exact"/>
    </w:pPr>
    <w:rPr>
      <w:rFonts w:ascii="Verdana" w:hAnsi="Verdana" w:eastAsia="Times New Roman" w:cs="Verdana"/>
      <w:sz w:val="20"/>
      <w:szCs w:val="20"/>
      <w:lang w:val="en-US"/>
    </w:rPr>
  </w:style>
  <w:style w:type="paragraph" w:styleId="953" w:customStyle="1">
    <w:name w:val="Знак Знак2 Знак Знак Знак Знак Знак Знак"/>
    <w:basedOn w:val="685"/>
    <w:pPr>
      <w:spacing w:after="160" w:line="240" w:lineRule="exact"/>
    </w:pPr>
    <w:rPr>
      <w:rFonts w:ascii="Verdana" w:hAnsi="Verdana" w:eastAsia="Times New Roman" w:cs="Verdana"/>
      <w:sz w:val="20"/>
      <w:szCs w:val="20"/>
      <w:lang w:val="en-US"/>
    </w:rPr>
  </w:style>
  <w:style w:type="paragraph" w:styleId="954" w:customStyle="1">
    <w:name w:val="Знак Знак2"/>
    <w:basedOn w:val="685"/>
    <w:pPr>
      <w:spacing w:after="160" w:line="240" w:lineRule="exact"/>
    </w:pPr>
    <w:rPr>
      <w:rFonts w:ascii="Verdana" w:hAnsi="Verdana" w:eastAsia="Times New Roman" w:cs="Verdana"/>
      <w:sz w:val="20"/>
      <w:szCs w:val="20"/>
      <w:lang w:val="en-US"/>
    </w:rPr>
  </w:style>
  <w:style w:type="paragraph" w:styleId="955" w:customStyle="1">
    <w:name w:val="Знак Знак2"/>
    <w:basedOn w:val="685"/>
    <w:pPr>
      <w:spacing w:after="160" w:line="240" w:lineRule="exact"/>
    </w:pPr>
    <w:rPr>
      <w:rFonts w:ascii="Verdana" w:hAnsi="Verdana" w:eastAsia="Times New Roman" w:cs="Verdana"/>
      <w:sz w:val="20"/>
      <w:szCs w:val="20"/>
      <w:lang w:val="en-US"/>
    </w:rPr>
  </w:style>
  <w:style w:type="paragraph" w:styleId="956" w:customStyle="1">
    <w:name w:val="Знак Знак2"/>
    <w:basedOn w:val="685"/>
    <w:pPr>
      <w:spacing w:after="160" w:line="240" w:lineRule="exact"/>
    </w:pPr>
    <w:rPr>
      <w:rFonts w:ascii="Verdana" w:hAnsi="Verdana" w:eastAsia="Times New Roman" w:cs="Verdana"/>
      <w:sz w:val="20"/>
      <w:szCs w:val="20"/>
      <w:lang w:val="en-US"/>
    </w:rPr>
  </w:style>
  <w:style w:type="paragraph" w:styleId="957">
    <w:name w:val="Body Text Indent 3"/>
    <w:basedOn w:val="685"/>
    <w:link w:val="958"/>
    <w:uiPriority w:val="99"/>
    <w:semiHidden/>
    <w:unhideWhenUsed/>
    <w:pPr>
      <w:ind w:left="283"/>
      <w:spacing w:after="120"/>
    </w:pPr>
    <w:rPr>
      <w:sz w:val="16"/>
      <w:szCs w:val="16"/>
    </w:rPr>
  </w:style>
  <w:style w:type="character" w:styleId="958" w:customStyle="1">
    <w:name w:val="Основной текст с отступом 3 Знак"/>
    <w:link w:val="957"/>
    <w:uiPriority w:val="99"/>
    <w:semiHidden/>
    <w:rPr>
      <w:sz w:val="16"/>
      <w:szCs w:val="16"/>
    </w:rPr>
  </w:style>
  <w:style w:type="paragraph" w:styleId="959" w:customStyle="1">
    <w:name w:val="1"/>
    <w:basedOn w:val="685"/>
    <w:pPr>
      <w:spacing w:after="160" w:line="240" w:lineRule="exact"/>
    </w:pPr>
    <w:rPr>
      <w:rFonts w:ascii="Verdana" w:hAnsi="Verdana" w:eastAsia="Times New Roman" w:cs="Verdana"/>
      <w:sz w:val="20"/>
      <w:szCs w:val="20"/>
      <w:lang w:val="en-US"/>
    </w:rPr>
  </w:style>
  <w:style w:type="character" w:styleId="960">
    <w:name w:val="Hyperlink"/>
    <w:rPr>
      <w:strike w:val="0"/>
      <w:color w:val="808080"/>
      <w:u w:val="none"/>
    </w:rPr>
  </w:style>
  <w:style w:type="character" w:styleId="961" w:customStyle="1">
    <w:name w:val="blk"/>
  </w:style>
  <w:style w:type="character" w:styleId="962" w:customStyle="1">
    <w:name w:val="Основной текст1"/>
    <w:rPr>
      <w:rFonts w:ascii="Times New Roman" w:hAnsi="Times New Roman" w:eastAsia="Times New Roman" w:cs="Times New Roman"/>
      <w:b w:val="0"/>
      <w:bCs w:val="0"/>
      <w:i w:val="0"/>
      <w:iCs w:val="0"/>
      <w:smallCaps w:val="0"/>
      <w:strike w:val="0"/>
      <w:color w:val="000000"/>
      <w:spacing w:val="0"/>
      <w:position w:val="0"/>
      <w:sz w:val="21"/>
      <w:szCs w:val="21"/>
      <w:u w:val="none"/>
      <w:lang w:val="ru-RU" w:eastAsia="ru-RU" w:bidi="ru-RU"/>
    </w:rPr>
  </w:style>
  <w:style w:type="paragraph" w:styleId="963" w:customStyle="1">
    <w:name w:val="Знак Знак2 Знак Знак Знак Знак Знак Знак Знак Знак Знак Знак Знак Знак Знак Знак Знак Знак"/>
    <w:basedOn w:val="685"/>
    <w:pPr>
      <w:spacing w:after="160" w:line="240" w:lineRule="exact"/>
    </w:pPr>
    <w:rPr>
      <w:rFonts w:ascii="Verdana" w:hAnsi="Verdana" w:eastAsia="Times New Roman" w:cs="Verdana"/>
      <w:sz w:val="20"/>
      <w:szCs w:val="20"/>
      <w:lang w:val="en-US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F63042-7CF6-49AE-8289-A8B7821CE0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АПР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Обадина Анна Владимировна</dc:creator>
  <cp:revision>27</cp:revision>
  <dcterms:created xsi:type="dcterms:W3CDTF">2025-11-12T15:10:00Z</dcterms:created>
  <dcterms:modified xsi:type="dcterms:W3CDTF">2026-05-13T08:08:25Z</dcterms:modified>
</cp:coreProperties>
</file>