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08.04.2026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 № 538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ind w:right="-5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right="-5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Обеспечение социальной стабильности»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на 2026 - 2028 годы, утвержденную постановлением администрации Печенгского муниципального округа от 12.11.2025 № 18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35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</w:t>
      </w:r>
      <w:r>
        <w:rPr>
          <w:rFonts w:ascii="Times New Roman" w:hAnsi="Times New Roman"/>
          <w:sz w:val="24"/>
          <w:szCs w:val="24"/>
        </w:rPr>
        <w:t xml:space="preserve">тного кодекса Российской Федерации, в соответствии с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/>
          <w:sz w:val="24"/>
          <w:szCs w:val="24"/>
        </w:rPr>
        <w:br/>
        <w:t xml:space="preserve">№ 1488, в целях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обеспечения транспортной доступности населенных пунктов Печенгского муниципального округа,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 Муниципальную программу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Обеспечение социальной стабильности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2026 - 2028 годы, утвержденную постановлением администрации Печенгского муниципального округа от 12.11.2025 № 18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(в редакции постановления администрации Печенгского муниципального округа от 23.03.2026 № 395),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изложить в редакции согласно приложению.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</w:t>
      </w:r>
      <w:r>
        <w:rPr>
          <w:rFonts w:ascii="Times New Roman" w:hAnsi="Times New Roman" w:eastAsia="Times New Roman"/>
          <w:sz w:val="24"/>
          <w:szCs w:val="24"/>
        </w:rPr>
        <w:t xml:space="preserve">после его</w:t>
      </w:r>
      <w:r>
        <w:rPr>
          <w:rFonts w:ascii="Times New Roman" w:hAnsi="Times New Roman" w:eastAsia="Times New Roman"/>
          <w:sz w:val="24"/>
          <w:szCs w:val="24"/>
        </w:rPr>
        <w:t xml:space="preserve">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numPr>
          <w:ilvl w:val="0"/>
          <w:numId w:val="18"/>
        </w:numPr>
        <w:contextualSpacing/>
        <w:jc w:val="both"/>
        <w:spacing w:after="0" w:line="240" w:lineRule="auto"/>
        <w:widowControl w:val="off"/>
        <w:tabs>
          <w:tab w:val="left" w:pos="567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А.С. Пеньшин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 51543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от 08.04.2026 № 538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от 12.11.2025 № 18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35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Theme="minorEastAsia"/>
          <w:sz w:val="24"/>
          <w:lang w:eastAsia="ru-RU"/>
        </w:rPr>
      </w:pPr>
      <w:r>
        <w:rPr>
          <w:rFonts w:ascii="Times New Roman" w:hAnsi="Times New Roman" w:eastAsiaTheme="minorEastAsia"/>
          <w:sz w:val="24"/>
          <w:lang w:eastAsia="ru-RU"/>
        </w:rPr>
      </w:r>
      <w:r>
        <w:rPr>
          <w:rFonts w:ascii="Times New Roman" w:hAnsi="Times New Roman" w:eastAsiaTheme="minorEastAsia"/>
          <w:sz w:val="24"/>
          <w:lang w:eastAsia="ru-RU"/>
        </w:rPr>
      </w:r>
      <w:r>
        <w:rPr>
          <w:rFonts w:ascii="Times New Roman" w:hAnsi="Times New Roman" w:eastAsiaTheme="minorEastAsia"/>
          <w:sz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  <w:t xml:space="preserve">МУНИЦИПАЛЬНАЯ ПРОГРАММА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  <w:outlineLvl w:val="1"/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  <w:t xml:space="preserve">«Обеспечение социальной стабильности» 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 реализации: 2026 - 2028 годы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eastAsia="Times New Roman"/>
          <w:sz w:val="26"/>
          <w:szCs w:val="26"/>
          <w:lang w:eastAsia="ru-RU"/>
        </w:rPr>
        <w:t xml:space="preserve">Ответственный исполнитель муниципальной программы – </w:t>
      </w:r>
      <w:r>
        <w:rPr>
          <w:rFonts w:ascii="Times New Roman" w:hAnsi="Times New Roman" w:eastAsia="Times New Roman"/>
          <w:b/>
          <w:sz w:val="26"/>
          <w:szCs w:val="26"/>
          <w:lang w:eastAsia="ru-RU"/>
        </w:rPr>
        <w:t xml:space="preserve">Администрация Печенгского муниципального округа (Управляющий делами администрации)</w:t>
      </w:r>
      <w:r>
        <w:rPr>
          <w:rFonts w:ascii="Times New Roman" w:hAnsi="Times New Roman" w:eastAsia="Times New Roman"/>
          <w:b/>
          <w:bCs/>
          <w:sz w:val="26"/>
          <w:szCs w:val="26"/>
          <w:lang w:eastAsia="ru-RU"/>
        </w:rPr>
      </w:r>
      <w:r>
        <w:rPr>
          <w:rFonts w:ascii="Times New Roman" w:hAnsi="Times New Roman" w:eastAsia="Times New Roman"/>
          <w:b/>
          <w:bCs/>
          <w:sz w:val="26"/>
          <w:szCs w:val="2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  <w:outlineLvl w:val="1"/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/>
      <w:bookmarkStart w:id="0" w:name="P366"/>
      <w:r/>
      <w:bookmarkEnd w:id="0"/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  <w:t xml:space="preserve">ПАСПОРТ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  <w:t xml:space="preserve">«Обеспечение социальной стабильности»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9518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46"/>
        <w:gridCol w:w="7372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pStyle w:val="923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Защита основных социальных прав граждан, предоставление им минимального уровня жизненных благ и поддержка в трудных жизненных ситуациях.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90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1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2026 - 2028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5 999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,00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7 527 790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10 731 8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8 345 416,00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8 450 543,00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 82 252 600,00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27 076 800,00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27 587 900,00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27 587 900,00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  40 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14 869,00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12 48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13 557,00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  3 094 700,00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1 044 500,00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1 025 100,00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1 025 100,00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получения социальной поддержки гражданам, которым назначена социальная поддержка - 100%;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своевременных выплат гражда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нам получающих пенсию за выслугу лет, почетным гражданам г. Заполярный, гражданам, награжденных почетным знаком «За заслуги перед Печенгским округом», граждан, которым присвоено почетное звание «Почетный гражданин «Печенгского муниципального округа» -100%;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Выполнение обязательств, связанных с захоронением погибших в ходе специальной военной операции – 100 % в 2026 году;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размещения приоритетных информации объектах 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циальной инфраструктуры Печенгского округа (далее – ОСИ) в электронном реестр ОСИ Мурманской области, а также размещение на электронной карте доступности интернет-портала «Жить вместе» государственной программы Российской Федерации «Доступная среда» -100%.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исполнения обоснованных заявлений (обращений) по обеспечению доступности в МКД, в которых проживают инвалиды - 100 %;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социальной выплаты на приобретение (строительство) жилья семьям участников Государственной программы,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обратившихся за получением меры социальной  поддержки -100%.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(Управляющий делами администрации) (далее – Управляющий делами администрации)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Управляющий делами администрации;</w:t>
            </w: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дминистрация Печенгского муниципального округа (Специалист по работе с населением) (далее – специалист по работе с населением); муниципальное казенное учреждение «Управление по обеспече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нию деятельности администрации Печенгского муниципального округа» (Отдел работы с населением МКУ «Управление по ОДА») (далее – ОРН); отдел образования администрации Печенгского муниципального округа (далее - отдел образования); отдел культуры, спорта и мол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одежной политики (далее – отдел КСиМП); Комитет по управлению имуществом администрации Печенгского муниципального округа (далее – КУИ); Отдел строительства и ЖКХ Администрации Печенгского муниципального округа (далее - ОС и ЖКХ), администрация Печенгского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муниципального сектор муниципальной службы и кадров  (далее - сектор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 муниципальной службы и кадров); муниципальное казенное учреждение «Управление по обеспечению деятельности администрации Печенгского муниципального округа» (далее – МКУ «Управление по ОДА»)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Российской Федерации «Доступная среда»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Мурманской области «Социальная поддержка»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Мурманской области «Комфортное жилье и городская среда»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pStyle w:val="923"/>
        <w:numPr>
          <w:ilvl w:val="0"/>
          <w:numId w:val="14"/>
        </w:numPr>
        <w:ind w:left="0" w:firstLine="0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Приоритеты и задачи муниципального управления в сфере реализации муниципальной программы «Обеспечение социальных гарантий»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923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</w:rPr>
        <w:t xml:space="preserve">Основные приоритеты развития системы социальной поддержки населения Мурманской области определены с учетом задач, поставленных в </w:t>
      </w:r>
      <w:r>
        <w:rPr>
          <w:rFonts w:ascii="Times New Roman" w:hAnsi="Times New Roman"/>
          <w:sz w:val="24"/>
          <w:szCs w:val="24"/>
        </w:rPr>
        <w:t xml:space="preserve">государственной программе </w:t>
      </w:r>
      <w:r>
        <w:rPr>
          <w:rFonts w:ascii="Times New Roman" w:hAnsi="Times New Roman" w:eastAsiaTheme="minorHAnsi"/>
          <w:sz w:val="24"/>
          <w:szCs w:val="24"/>
        </w:rPr>
        <w:t xml:space="preserve">Российской Федерации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 w:eastAsiaTheme="minorHAnsi"/>
          <w:sz w:val="24"/>
          <w:szCs w:val="24"/>
        </w:rPr>
        <w:t xml:space="preserve">Обеспечение доступным и комфортным жильем и коммунальными услугами граждан Российской Федерации</w:t>
      </w:r>
      <w:r>
        <w:rPr>
          <w:rFonts w:ascii="Times New Roman" w:hAnsi="Times New Roman"/>
          <w:sz w:val="24"/>
          <w:szCs w:val="24"/>
        </w:rPr>
        <w:t xml:space="preserve">», утвержденной постановлением Правительства </w:t>
      </w:r>
      <w:r>
        <w:rPr>
          <w:rFonts w:ascii="Times New Roman" w:hAnsi="Times New Roman" w:eastAsiaTheme="minorHAnsi"/>
          <w:sz w:val="24"/>
          <w:szCs w:val="24"/>
        </w:rPr>
        <w:t xml:space="preserve">Российской Федерации</w:t>
      </w:r>
      <w:r>
        <w:rPr>
          <w:rFonts w:ascii="Times New Roman" w:hAnsi="Times New Roman"/>
          <w:sz w:val="24"/>
          <w:szCs w:val="24"/>
        </w:rPr>
        <w:t xml:space="preserve"> от 30.12.2017 № 1710,</w:t>
      </w:r>
      <w:r>
        <w:rPr>
          <w:rFonts w:ascii="Times New Roman" w:hAnsi="Times New Roman" w:eastAsiaTheme="minorHAnsi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государственной программы Мурманской области «Обеспечение комфортной среды проживания населения региона», утверждённой постановлением Правительства Мурманской области от 30.09.2013 № 571-ПП</w:t>
      </w:r>
      <w:r>
        <w:rPr>
          <w:rFonts w:ascii="Times New Roman" w:hAnsi="Times New Roman" w:eastAsiaTheme="minorHAnsi"/>
          <w:sz w:val="24"/>
          <w:szCs w:val="24"/>
        </w:rPr>
        <w:t xml:space="preserve">, иных нормативных правовых актах Российской Федерации и Мурманской области.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числу основных приоритетов в рамках реализации настоящей муниципальной программы относятся: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своевременное и в полном объеме исполнение социальных обязательств, предусмотренных федеральным и региональным законодательством, правовыми актами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Повышение авторитета муниципальной службы, наличие дополнительных мер социальной поддержки создает условия для притока и закрепления на муниципальной службе наиболее компетентных сотрудников, способствует укреплению кадрового состава.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Поощрение граждан за существенный вклад в социально-экономическое развитие округа, значительные заслуги в производственной, общественной деятельности иных сферах, плодотво</w:t>
      </w:r>
      <w:r>
        <w:rPr>
          <w:rFonts w:ascii="Times New Roman" w:hAnsi="Times New Roman"/>
          <w:sz w:val="24"/>
          <w:szCs w:val="24"/>
        </w:rPr>
        <w:t xml:space="preserve">рный многолетний труд, высокие профессиональные достижения, способствуют вовлечению граждан в решение вопросов местного значения, формированию активной гражданской позиции, стимулирует к достижению более высоких результатов в различных сферах деятельности.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 исполнение постановления Правительства Российской Федерации от 09.07.2016 № 649 «О мерах по приспособлению жилых помещений и о</w:t>
      </w:r>
      <w:r>
        <w:rPr>
          <w:rFonts w:ascii="Times New Roman" w:hAnsi="Times New Roman"/>
          <w:sz w:val="24"/>
          <w:szCs w:val="24"/>
        </w:rPr>
        <w:t xml:space="preserve">бщего имущества в многоквартирном доме с учетом потребностей инвалидов», постановления Правительства Мурманской области от 29.11.2016 № 593-ПП «Об уполномоченном органе», Приказа Министерства энергетики и жилищно-коммунального хозяйства Мурманской области </w:t>
      </w:r>
      <w:r>
        <w:rPr>
          <w:rFonts w:ascii="Times New Roman" w:hAnsi="Times New Roman"/>
          <w:sz w:val="24"/>
          <w:szCs w:val="24"/>
        </w:rPr>
        <w:br/>
        <w:t xml:space="preserve">от 12.01.2017 № 7 «Об утверждении положения о порядке создания и работы региональной межведомственной и муниципальных комиссий по обследованию жилых помещений инвалидов </w:t>
      </w:r>
      <w:r>
        <w:rPr>
          <w:rFonts w:ascii="Times New Roman" w:hAnsi="Times New Roman"/>
          <w:sz w:val="24"/>
          <w:szCs w:val="24"/>
        </w:rPr>
        <w:t xml:space="preserve">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Мурманской области» на территории Печенгского муниципальног</w:t>
      </w:r>
      <w:r>
        <w:rPr>
          <w:rFonts w:ascii="Times New Roman" w:hAnsi="Times New Roman"/>
          <w:sz w:val="24"/>
          <w:szCs w:val="24"/>
        </w:rPr>
        <w:t xml:space="preserve">о округа создана муниципальная комиссия по обследованию жилых помещений инвалидов и общества в многоквартирных домах, в которых проживают инвалиды, входящих в состав муниципального и частного жилищного фонда на территории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Целью создания Комиссии является обследование жилого помещения инвалида и общего имущества в многоквартирном доме, в котором проживает инвал</w:t>
      </w:r>
      <w:r>
        <w:rPr>
          <w:rFonts w:ascii="Times New Roman" w:hAnsi="Times New Roman"/>
          <w:sz w:val="24"/>
          <w:szCs w:val="24"/>
        </w:rPr>
        <w:t xml:space="preserve">ид, в целях оценки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а также оценки возможности их приспособлен</w:t>
      </w:r>
      <w:r>
        <w:rPr>
          <w:rFonts w:ascii="Times New Roman" w:hAnsi="Times New Roman"/>
          <w:sz w:val="24"/>
          <w:szCs w:val="24"/>
        </w:rPr>
        <w:t xml:space="preserve">ия с учетом потребностей инвалида в зависимости от особенностей ограничения жизнедеятельности, обусловленного инвалидностью лица, проживающего в таком помещении (далее именуется - обследование жилого помещения инвалида), в том числе ограничений, вызванных: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стойкими расстройствами двигательной функции, сопряженными с необходимостью использования кресла-коляски, иных вспомогательных средств передвижения;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стойкими расстройствами функции слуха, сопряженными с необходимостью использования вспомогательных средств;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стойкими расстройствами функции зрения, сопряженными с необходимостью использования собаки-проводника, иных вспомогательных средств;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задержками в развитии и другими нарушениями функций организма человека.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Обследование жилых помещений инвалидов проводится на постоянной основе  в соответствии с Планом мероприятий по приспособлению жилых помещ</w:t>
      </w:r>
      <w:r>
        <w:rPr>
          <w:rFonts w:ascii="Times New Roman" w:hAnsi="Times New Roman"/>
          <w:sz w:val="24"/>
          <w:szCs w:val="24"/>
        </w:rPr>
        <w:t xml:space="preserve">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фонда, с учетом потребностей инвалидов и обеспечения условий их доступности для инвалидов.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обследования жилого помещения инвалида оформляются: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решение об экон</w:t>
      </w:r>
      <w:r>
        <w:rPr>
          <w:rFonts w:ascii="Times New Roman" w:hAnsi="Times New Roman"/>
          <w:sz w:val="24"/>
          <w:szCs w:val="24"/>
        </w:rPr>
        <w:t xml:space="preserve">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с учетом потребностей инвалида и обеспечения условий их доступности для инвалида;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заключение о возможности или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Государство реализует ряд мер социальной поддержки для семей мобилизованных, военнослужащих-контрактников и добровольцев, участвующих в СВО. Поддержка осуществляется на федеральном, региональном уровнях и муниципальных уровнях.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решение Совета депутатов Печенгского муниципального округа от 16.04.2021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148 «Об утверждении Порядка определения размера арендной платы, порядка, условия и сроки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</w:t>
      </w:r>
      <w:r>
        <w:rPr>
          <w:rFonts w:ascii="Times New Roman" w:hAnsi="Times New Roman"/>
          <w:sz w:val="24"/>
          <w:szCs w:val="24"/>
        </w:rPr>
        <w:t xml:space="preserve">ость на которые не разграничена, расположенных на территории Печенгского муниципального округа» Ветеранам СВО предоставляется льгота при определении размера арендной платы за пользование земельными участками на территории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решением Совета депутатов Печенгского муниципального округа от 03.03.2023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368 «О предоставлении отсрочки </w:t>
      </w:r>
      <w:r>
        <w:rPr>
          <w:rFonts w:ascii="Times New Roman" w:hAnsi="Times New Roman"/>
          <w:sz w:val="24"/>
          <w:szCs w:val="24"/>
        </w:rPr>
        <w:t xml:space="preserve">арендной платы </w:t>
      </w:r>
      <w:r>
        <w:rPr>
          <w:rFonts w:ascii="Times New Roman" w:hAnsi="Times New Roman"/>
          <w:sz w:val="24"/>
          <w:szCs w:val="24"/>
        </w:rPr>
        <w:t xml:space="preserve">по договора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 аренды имущества, находящегося в собственности Печенгского муниципального округа, в связи с частичной мобилизацией», лицам, призванным на военную службу по мобилизации, либ</w:t>
      </w:r>
      <w:r>
        <w:rPr>
          <w:rFonts w:ascii="Times New Roman" w:hAnsi="Times New Roman"/>
          <w:sz w:val="24"/>
          <w:szCs w:val="24"/>
        </w:rPr>
        <w:t xml:space="preserve">о заключившие контракт о добровольном содействии в  выполнении задач, возложенных на ВС РФ (Ветеранам СВО) предоставляется отсрочка арендной платы по договорам аренды имущества, находящегося в собственности Печенгского МО, в связи с частичной мобилизацией.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поддержки членов семей военнослужащих осуществляется перевозка детей участников СВО, а также предоставляются льготы для участников СВО, в том числе и для их семей (бесплатное посещение учреждений культуры и спорта).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Муниципалитет берет на себя расходы по захоронению участников СВО за счет средств бюджета.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Поддержка молодых семей в улучшении жилищных условий является одним из важнейших направлений жилищной и демографической политики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bCs/>
          <w:sz w:val="24"/>
          <w:szCs w:val="24"/>
        </w:rPr>
        <w:outlineLvl w:val="1"/>
      </w:pPr>
      <w:r>
        <w:rPr>
          <w:rFonts w:ascii="Times New Roman" w:hAnsi="Times New Roman"/>
          <w:bCs/>
          <w:sz w:val="24"/>
          <w:szCs w:val="24"/>
        </w:rPr>
        <w:t xml:space="preserve">Как правило, у молодых семей нет возможности получить доступ на рынок жилья без бюджетной поддержки. Даже имея достаточный уровень дохода для получен</w:t>
      </w:r>
      <w:r>
        <w:rPr>
          <w:rFonts w:ascii="Times New Roman" w:hAnsi="Times New Roman"/>
          <w:bCs/>
          <w:sz w:val="24"/>
          <w:szCs w:val="24"/>
        </w:rPr>
        <w:t xml:space="preserve">ия жилищного, в том числе ипотечного, кредита, они не могут оплатить первоначальный взнос при предоставлении семье кредита. Молодые семьи в основном являются приобретателями первого в жизни жилого помещения, а значит, не имеют в собственности жилого помеще</w:t>
      </w:r>
      <w:r>
        <w:rPr>
          <w:rFonts w:ascii="Times New Roman" w:hAnsi="Times New Roman"/>
          <w:bCs/>
          <w:sz w:val="24"/>
          <w:szCs w:val="24"/>
        </w:rPr>
        <w:t xml:space="preserve">ния, которое можно было бы использовать в качестве обеспечения уплаты первоначального взноса при получении жилищного, в том числе ипотечного, кредита или займа. К тому же, как правило, они еще не имеют возможности накопить на эти цели необходимые средства.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bCs/>
          <w:sz w:val="24"/>
          <w:szCs w:val="24"/>
        </w:rPr>
        <w:outlineLvl w:val="1"/>
      </w:pPr>
      <w:r>
        <w:rPr>
          <w:rFonts w:ascii="Times New Roman" w:hAnsi="Times New Roman"/>
          <w:bCs/>
          <w:sz w:val="24"/>
          <w:szCs w:val="24"/>
        </w:rPr>
        <w:t xml:space="preserve">Однако данная категория населения имеет хорошие перспективы роста за</w:t>
      </w:r>
      <w:r>
        <w:rPr>
          <w:rFonts w:ascii="Times New Roman" w:hAnsi="Times New Roman"/>
          <w:bCs/>
          <w:sz w:val="24"/>
          <w:szCs w:val="24"/>
        </w:rPr>
        <w:t xml:space="preserve">работной платы по мере повышения квалификации, и оказание финансовой поддержки за счёт средств муниципального, областного и федерального бюджетов в приобретении собственного жилья будет являться для них хорошим стимулом дальнейшего профессионального роста.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bCs/>
          <w:sz w:val="24"/>
          <w:szCs w:val="24"/>
        </w:rPr>
        <w:outlineLvl w:val="1"/>
      </w:pPr>
      <w:r>
        <w:rPr>
          <w:rFonts w:ascii="Times New Roman" w:hAnsi="Times New Roman"/>
          <w:bCs/>
          <w:sz w:val="24"/>
          <w:szCs w:val="24"/>
        </w:rPr>
        <w:t xml:space="preserve">Неудовлетворительное жилищное положение, вынужденное проживание с родителями одн</w:t>
      </w:r>
      <w:r>
        <w:rPr>
          <w:rFonts w:ascii="Times New Roman" w:hAnsi="Times New Roman"/>
          <w:bCs/>
          <w:sz w:val="24"/>
          <w:szCs w:val="24"/>
        </w:rPr>
        <w:t xml:space="preserve">ого из супругов снижает уровень рождаемости и увеличивает количество разводов среди молодых семей. Социологические исследования относят жилищные условия и доходы молодой семьи к важнейшим причинам, определяющим мотивацию молодой семьи в вопросах рождения д</w:t>
      </w:r>
      <w:r>
        <w:rPr>
          <w:rFonts w:ascii="Times New Roman" w:hAnsi="Times New Roman"/>
          <w:bCs/>
          <w:sz w:val="24"/>
          <w:szCs w:val="24"/>
        </w:rPr>
        <w:t xml:space="preserve">етей. В связи с этим продуманная и реалистичная политика в отношении семьи, расширение экономической поддержки семьи и, в частности, помощь в приобретении (строительстве) жилья могут наиболее серьёзным образом повлиять на репродуктивное поведение молодежи.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bCs/>
          <w:sz w:val="24"/>
          <w:szCs w:val="24"/>
        </w:rPr>
        <w:outlineLvl w:val="1"/>
      </w:pPr>
      <w:r>
        <w:rPr>
          <w:rFonts w:ascii="Times New Roman" w:hAnsi="Times New Roman"/>
          <w:bCs/>
          <w:sz w:val="24"/>
          <w:szCs w:val="24"/>
        </w:rPr>
        <w:t xml:space="preserve">Поддержка молодых семей при решении жилищной про</w:t>
      </w:r>
      <w:r>
        <w:rPr>
          <w:rFonts w:ascii="Times New Roman" w:hAnsi="Times New Roman"/>
          <w:bCs/>
          <w:sz w:val="24"/>
          <w:szCs w:val="24"/>
        </w:rPr>
        <w:t xml:space="preserve">блемы станет основой стабильных условий жизни для этой наиболее активной части населения, повлияет на улучшение демографической ситуации в Печенгском муниципальном округе. Возможность решения жилищной проблемы, в том числе с привлечением средств жилищного </w:t>
      </w:r>
      <w:r>
        <w:rPr>
          <w:rFonts w:ascii="Times New Roman" w:hAnsi="Times New Roman"/>
          <w:bCs/>
          <w:sz w:val="24"/>
          <w:szCs w:val="24"/>
        </w:rPr>
        <w:t xml:space="preserve">(ипотечного) кредита или займа, создаст для молодежи стимул к повышению качества трудовой деятельности, уровня квалификации в целях роста заработной платы.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bCs/>
          <w:sz w:val="24"/>
          <w:szCs w:val="24"/>
        </w:rPr>
        <w:outlineLvl w:val="1"/>
      </w:pPr>
      <w:r>
        <w:rPr>
          <w:rFonts w:ascii="Times New Roman" w:hAnsi="Times New Roman"/>
          <w:bCs/>
          <w:sz w:val="24"/>
          <w:szCs w:val="24"/>
        </w:rPr>
        <w:t xml:space="preserve">Д</w:t>
      </w:r>
      <w:r>
        <w:rPr>
          <w:rFonts w:ascii="Times New Roman" w:hAnsi="Times New Roman"/>
          <w:bCs/>
          <w:sz w:val="24"/>
          <w:szCs w:val="24"/>
        </w:rPr>
        <w:t xml:space="preserve">ля решения данной проблемы требуются участие и взаимодействие органов местного самоуправления, исполнительных органов государственной власти Мурманской области, кредитных и других организаций, что обусловливает необходимость применения программных методов.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обеспечение адресности, обоснованности и своевременной выплаты мер социальной поддержки отдельным категориям граждан;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обеспечение доступности в МКД в которых проживают инвалиды, с учетом потребностей;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-7797" w:leader="none"/>
        </w:tabs>
        <w:rPr>
          <w:rFonts w:ascii="Times New Roman" w:hAnsi="Times New Roman"/>
          <w:sz w:val="24"/>
          <w:szCs w:val="24"/>
        </w:rPr>
      </w:pPr>
      <w:r>
        <w:rPr>
          <w:bCs/>
          <w:sz w:val="24"/>
          <w:szCs w:val="24"/>
        </w:rPr>
        <w:t xml:space="preserve">- </w:t>
      </w:r>
      <w:r>
        <w:rPr>
          <w:rFonts w:ascii="Times New Roman" w:hAnsi="Times New Roman"/>
          <w:bCs/>
          <w:sz w:val="24"/>
          <w:szCs w:val="24"/>
        </w:rPr>
        <w:t xml:space="preserve">обеспечение жильем молодых семей, проживающих на территории Печенгского муниципального округа, признанных в установленном порядке, нуждающимися в улучшении жилищных условий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  <w:sectPr>
          <w:footnotePr/>
          <w:endnotePr/>
          <w:type w:val="nextPage"/>
          <w:pgSz w:w="11905" w:h="16838" w:orient="portrait"/>
          <w:pgMar w:top="1134" w:right="850" w:bottom="397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1" w:name="P446"/>
      <w:r/>
      <w:bookmarkEnd w:id="1"/>
      <w:r>
        <w:rPr>
          <w:rFonts w:ascii="Times New Roman" w:hAnsi="Times New Roman" w:eastAsia="Times New Roman"/>
          <w:b/>
          <w:sz w:val="24"/>
          <w:lang w:eastAsia="ru-RU"/>
        </w:rPr>
        <w:t xml:space="preserve">2. Перечень показателей муниципальной программы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20"/>
        <w:gridCol w:w="992"/>
        <w:gridCol w:w="992"/>
        <w:gridCol w:w="1134"/>
        <w:gridCol w:w="1134"/>
        <w:gridCol w:w="1134"/>
        <w:gridCol w:w="1134"/>
        <w:gridCol w:w="1134"/>
        <w:gridCol w:w="198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 изм.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Направленность показателя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Значение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Соисполнитель,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достижение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2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2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«Обеспечение социальной стабильности»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 муниципальной программы: Защита основных социальных прав граждан, предоставление им минимального уровня жизненных благ и поддержка в трудных жизненных ситуациях.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граждан, получивших социальную поддержку, от общего числа граждан, которым назначена социальная поддержка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муниципальных служащих своевременно получающих пенсию за выслугу лет от общей численности муниципальных служащих, которым назначена пенсия за выслугу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            сектор муниципальной службы и кадров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2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граждан г. Заполярный, граждан, награжденных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почетным знаком «За заслуги перед Печенгским округом», граждан, которым присвоено почетное звание «Почетный гражданин «Печенгского муниципального округа», своевременно получивших социальную поддержку от общего числа граждан, которым присвоены такие звания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74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2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Выполнение обязательств, связанных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Управляющий делами администрации,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приоритетных объектов социальной инфраструкт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уры (далее – ОСИ) Печенгского муниципального округа занесенных в электронный реестр ОСИ Мурманской области, а также размещенных на электронной карте доступности интернет-портала «Жить вместе» государственной программы Российской Федерации «Доступная среда»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исполненных обоснованных заявлений (обращений) по обеспечению доступности в МКД, в которых проживают инвалиды от общего числа поступивших заявлений (обращений)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Число семей участников Государственной программы получивших социальную выплату на приобретение (строительство) жилья от общего числа семей обратившихся за получением меры социальной  поддержки.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pStyle w:val="933"/>
        <w:jc w:val="both"/>
        <w:spacing w:before="0" w:beforeAutospacing="0" w:after="0" w:afterAutospacing="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</w:r>
      <w:r>
        <w:rPr>
          <w:sz w:val="20"/>
          <w:szCs w:val="20"/>
          <w:vertAlign w:val="superscript"/>
        </w:rPr>
      </w:r>
      <w:r>
        <w:rPr>
          <w:sz w:val="20"/>
          <w:szCs w:val="20"/>
          <w:vertAlign w:val="superscript"/>
        </w:rPr>
      </w:r>
    </w:p>
    <w:p>
      <w:pPr>
        <w:pStyle w:val="933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 xml:space="preserve">Направленность показателя обозначается: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33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1 - направленность на рост;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33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(-1) - направленность на снижение;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33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0 - направленность на достижение конкретного значения.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3. Перечень структурных элементов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5019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3594"/>
        <w:gridCol w:w="1276"/>
        <w:gridCol w:w="2126"/>
        <w:gridCol w:w="751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Направления (подпрограммы), комплексы процессных и (или) проектных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«Создание условий для роста благосостояния граждан – получателей мер социальной поддержки»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Управляющий делами администрации,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сектор муниципальной службы и кадров, специалист по работе с населением, ОРН,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 Доля граждан, получивших социальную поддержку, от общего числа граждан, которым назначена социальная поддержка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 Доля муниципальных служащих, своевременно получающих пенсию за выслугу лет от общей численности муниципальных служащих, которым назначена пенсия за выслугу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 Доля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почетных граждан г. Заполярный, граждан, награжденных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почетным знаком «За заслуги перед Печенгским округом», граждан, которым присвоено почетное звание «Почетный гражданин «Печенгского муниципального округа», своевременно получивших социальную поддержку от общего числа граждан, которым присвоены такие звания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 Выполнение обязательств, связанных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«Создание условий для эффективной интеграции инвалидов в общество»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0.5. Доля приоритетных объектов социальной инфраструкту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ры (далее – ОСИ) Печенгского муниципального округа занесенных в электронный реестр ОСИ Мурманской области, а также размещенных на электронной карте доступности интернет-портала «Жить вместе» государственной программы Российской Федерации «Доступная среда»;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 Доля исполненных обоснованных заявлений (обращений) по обеспечению доступности в МКД, в которых проживают инвалиды от общего числа поступивших заявлений (обращений)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мплекс процессных мероприятий 3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«Создание условий для социальной помощи семьям»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ЖКХ,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0.7. Число семей участников Государственной программы получивших социальную выплату на приобретение (строительство) жилья от общего числа семей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обратившихся за получ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ением меры социальной поддержки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Перечень мер налогового регулирования (налоговых расходов) в сфере реализации муниципальной 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15168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395"/>
        <w:gridCol w:w="1559"/>
        <w:gridCol w:w="1559"/>
        <w:gridCol w:w="1418"/>
        <w:gridCol w:w="2268"/>
        <w:gridCol w:w="326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№ п/п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меры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Объем выпадающих доходов бюджета округа (руб.)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Основание применения меры налогового регулирования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Цель применения меры, связь с показателями муниципальной программы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4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План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План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План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Освобождение от налогообложения земельным налогом Героев Советского Союза, Героев Российской Федерации, полных кавалеров ордена Славы; инвалидов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групп инвал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идности; инвалидов с детства, детей-инвалидов; ветеранов и инвалидов Великой Отечественной войны, а также ветеранов и инвалидов боевых действий, физических лиц, имеющих трех и более детей, в том числе усыновленных детей, в возрасте до 18 лет и (или) до 23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лет, при условии обучения детей, достигших 18 лет, в образовательных организациях по очной форме обучения, а также дети из многодетных семей, в том числе усыновленные дети в возрасте 18 лет и (или) до 23 лет, при условии обучения детей, достигших 18 лет, в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образовательных орган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изациях по очной форме обучения, в отношении земельных участков ,предоставленных в собственность на бесплатной основе в соответствии с Законом Мурманской области от 31.12.2003 № 462-01-ЗМО «Об основах регулирования земельных отношений в Мурманской области»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27 000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27 000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27 000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Подпункты 4.4, 4.5, 4.6, 4.7, 4.10 пункта 4 решения Совета депутатов Печенгского муниципального округа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от 23.10.2020 № 39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«Об установлении земельного налога на территории муниципального образования Печенгский муниципальный округ Мурманской области» (в ред. от 13.02.2026)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</w:rPr>
              <w:t xml:space="preserve">Социальная поддержка отдельных категорий граждан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0.1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граждан, получивших социальную поддержку, от общего числа граждан, которым назначена социальная поддержка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Налоговая льгота в размере подлежащей уплате налогоплательщиком суммы налога на имущество физичес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ких лиц в отношении объекта налогообложение, находящегося в собственности налогоплательщика и не используемого налогоплательщиком в предпринимательской деятельности лицам, имеющие звание «Почетный гражданин города Заполярный»,«Почетный гражданин Печенгског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 района», «Почетный гражданин поселка Печенга»; членам многодетных семей (с тремя и более несовершеннолетними детьми); приемным родителям, опекунам и попечителям, усыновивших (опекающих) третьего и (или) последующего несовершеннолетнего гражданина в семье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104 000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104 000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104 000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Подпункты 5.1-5.4 пункта 5 решения Совета депутатов Печенгского муниципального округа от 23.10.2020 № 40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«Об установлении налога на имущество физических лиц на территории муниципального образования Печенгский муниципальный округ Мурманской области» (ред.от 13.02.2026)</w:t>
            </w:r>
            <w:r/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</w:rPr>
              <w:t xml:space="preserve">Социальная поддержка отдельных категорий граждан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0.1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граждан, получивших социальную поддержку, от общего числа граждан, которым назначена социальная поддержка.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Доля почетных граждан г. Заполярный, граждан, награжденные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почетным знаком «За заслуги перед Печенгским округом», граждан, которым присвоено почетное звание «Почетный гражданин «Печенгского муниципального округа», своевременно получивших социальную поддержку от общего числа граждан, которым присвоены такие звания.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tbl>
      <w:tblPr>
        <w:tblW w:w="15168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1276"/>
        <w:gridCol w:w="992"/>
        <w:gridCol w:w="1418"/>
        <w:gridCol w:w="1417"/>
        <w:gridCol w:w="1560"/>
        <w:gridCol w:w="1559"/>
        <w:gridCol w:w="22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4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strike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</w:p>
        </w:tc>
      </w:tr>
      <w:tr>
        <w:tblPrEx/>
        <w:trPr>
          <w:trHeight w:val="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Муниципальная программа «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социальной поддержки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91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5 999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38 868 000,00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36 970 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899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37 077 100,00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Управляющий делами администрации,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сектор муниципальной службы и кадров, специалист по работе с населением, ОРН,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 КУИ,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27 527 790,00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10 731 831,00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8 345 416,00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8 450 543,00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82 252 600,00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27 076 800,00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27 587 900,00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27 587 900,00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40 9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09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14 869,00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12 48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13 557,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3 094 700,00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1 044 500,00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1 025 100,00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1 025 100,00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37 914 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699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14 177 100,00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11 815 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699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11 921 900,00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27 527 790,00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10 731 831,00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8 345 416,00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8 450 543,00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7 251 300,00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2 385 900,00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2 432 700,00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2 432 700,00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40 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909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14 869,00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12 483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13 557,00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3 094 700,00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1 044 500,00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1 025 100,00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1 025 100,00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Отдел образования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59 036 200,00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19 438 000,00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19 799 100,00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19 799 100,00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59 036 200,00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19 438 000,00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19 799 100,00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19 799 100,00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3 030 000,00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1 010 000,00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1 010 000,00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1 010 000,00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3 030 000,00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1 010 000,00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1 010 000,00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1 010 000,00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12 935 100,00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4 242 900,00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4 346 100,00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4 346 100,00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12 935 100,00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4 242 900,00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4 346 100,00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4 346 100,00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«Создание условий для роста благосостояния граждан – получателей мер социальной поддержки»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101 229 599,00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34 835 373,00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33 197 113,00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33 197 113,00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Управляющий делами администрации,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сектор муниципальной службы и кадров, специалист по работе с населением, ОРН,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МКУ «Управление по ОДА»</w:t>
            </w:r>
            <w:bookmarkStart w:id="2" w:name="_GoBack"/>
            <w:r/>
            <w:bookmarkEnd w:id="2"/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22 006 999,00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8 768 573,00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6 619 213,00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6 619 213,00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79 222 600,00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26 066 800,00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26 577 900,00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26 577 900,00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«Создание условий для эффективной интеграции инвалидов в общество»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1 470 581,00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491 207,00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490 187,00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489 187,00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1 470 581,00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491 207,00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490 187,00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489 187,00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Комплекс процессных мероприятий 3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«Создание условий для социальной помощи семьям»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10 215 8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3 541 420,00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3 283 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599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3 390 800,00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4 050 210,00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1 472 051,00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1 236 016,00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1 342 143,00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3 030 000,00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1 010 000,00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1 010 000,00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1 010 000,00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40 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909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14 869,00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12 48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13 557,00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3 094 700,00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1 044 500,00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1 025 100,00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1 025 100,00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</w:p>
        </w:tc>
      </w:tr>
    </w:tbl>
    <w:p>
      <w:pPr>
        <w:jc w:val="right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right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6. Механизмы управления рисками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0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1731"/>
        <w:gridCol w:w="3626"/>
        <w:gridCol w:w="3533"/>
        <w:gridCol w:w="3447"/>
        <w:gridCol w:w="215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Правовой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Невозможность или нецелесообразность реализации поставленных целей, выполнения каких-либо мероприятий (результатов), обязательств в связи с данными изменениями, что окажет влияние на конечные результаты Программы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Проведение мониторинга планируемых изменений в федеральном, региональном законодательстве.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Оперативное принятие муниципальных нормативных правовых актов с целью приведения нормативно-методической базы муниципальной программы в соответствие с государственной политикой на региональном уровне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Финансовый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Недостижение запланированных значений показателей Программы, невыполнение мероприятий результатов в срок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Сбалансированное распределение финансовых средств по структурным элементам Программы в соответствии с ожидаемыми конечными результатами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Уточнение объемов финансовых средств, предусмотренных на реализацию мероприятий (результатов), корректировка целевых показателей в зависимости от достигнутых результатов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Внешний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Срыв сроков выполнения мероприятий (результатов) либо выполнение их не в полном объеме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textDirection w:val="lrTb"/>
            <w:noWrap w:val="false"/>
          </w:tcPr>
          <w:p>
            <w:pPr>
              <w:pStyle w:val="933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 и сопровождение всех действующих договоров и контрактов в части своевременности исполнения контрагентами своих обязательств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33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Своевременное расторжение контрактов, проведение новых процедур для обеспечения заключения контрактов с иными исполнителями, поставщиками, подрядчиками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Непредвиденный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Снижение бюджетных доходов, необходимость концентрации бюджетных средств на преодоление последствий, связанных с кризисными явлениями в экономике, вызванные природными и техногенными катастрофами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textDirection w:val="lrTb"/>
            <w:noWrap w:val="false"/>
          </w:tcPr>
          <w:p>
            <w:pPr>
              <w:pStyle w:val="933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прогнозирования социально-экономического развития с учетом возможного ухудшения экономической ситуации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33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Определение приоритетов для первоочередного финансирования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993" w:right="851" w:bottom="993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7. Порядок взаимодействия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Ответственного исполнителя, Соисполнителей 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участников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</w:pPr>
      <w:r/>
      <w:bookmarkStart w:id="3" w:name="Par3713"/>
      <w:r/>
      <w:bookmarkEnd w:id="3"/>
      <w:r/>
      <w:r/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и контроль реализации муниципальной программы осуществляется ответственным исполнителем программы – Управляющим делами администрации, который: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об</w:t>
      </w:r>
      <w:r>
        <w:rPr>
          <w:rFonts w:ascii="Times New Roman" w:hAnsi="Times New Roman" w:eastAsia="Times New Roman"/>
          <w:sz w:val="24"/>
          <w:lang w:eastAsia="ru-RU"/>
        </w:rPr>
        <w:t xml:space="preserve">еспечивает совместно с Соисполнителями разработку проекта Программы, проектов постановлений Администрации об утверждении муниципальной программы и (или) о внесении изменений в муниципальную программу и их согласование в соответствии с требованиями Порядка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1488 (далее – Порядок);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осуществляет мониторинг реализации муниципальной программы и подготовку отчетов о ходе реализации муниципальной программы в соответствии с требованиями Порядка.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/>
          <w:strike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Соисполнители муниципальной программы:</w:t>
      </w:r>
      <w:r>
        <w:rPr>
          <w:rFonts w:ascii="Times New Roman" w:hAnsi="Times New Roman" w:eastAsia="Times New Roman"/>
          <w:strike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strike/>
          <w:color w:val="ff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обеспечивают разработку и реализацию комплексов процессных мероприятий муниципальной программы, в отношении которых являются соисполнителями;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несут ответственность за достижение плановых значений показателей муниципальной программы в части, их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формирует предложения по разработке проекта муниципальной программы, внесению изменений в муниципальную программу;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в пределах своей компетенции участвуют в разработке плана реализации муниципальной программы, направляют Управляющему делами администрации соответствующие предложения;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представляют в отдел экономического развития в электронном виде в срок и по формам, установленным Порядком, всю необходимую информацию для проведения мониторинга и оценки эффективности муниципальной программы.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  <w:sectPr>
          <w:footnotePr/>
          <w:endnotePr/>
          <w:type w:val="nextPage"/>
          <w:pgSz w:w="11905" w:h="16838" w:orient="portrait"/>
          <w:pgMar w:top="1135" w:right="993" w:bottom="1701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8. Сведения об источниках и методике расчета значений показателей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459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2990"/>
        <w:gridCol w:w="1121"/>
        <w:gridCol w:w="1559"/>
        <w:gridCol w:w="2693"/>
        <w:gridCol w:w="2410"/>
        <w:gridCol w:w="1276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9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Единица измерения, временная характеристика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Алгоритм расчета (формула)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Базовые показатели (используемые в формуле)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Метод сбора информации,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код формы отчетности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Дата получения фактических значений показателей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92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Муниципальная программа «Обеспечение социальной стабильности»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4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9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граждан, получивших социальную поддержку, от общего числа граждан, которым назначена социальная поддержка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 = (Пмсп/Дмсп)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Пмсп-количество граждан, получивших социальную поддержку,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(годовой отчет ОРН)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декабрь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9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Дмсп – количество граждан, которым назначена социальная поддержка,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9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муниципальных служащих своевременно получающих пенсию за выслугу лет от общей численности муниципальных служащих, которым назначена пенсия за выслугу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 (Чмсн/Чмсп)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Чмсп – численность муниципальных служащих, которые получили пенсию за выслугу лет, человек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(годовой отчет сектора муниципальной службы и кадров)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январь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сектор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/>
            <w:r/>
          </w:p>
        </w:tc>
      </w:tr>
      <w:tr>
        <w:tblPrEx/>
        <w:trPr>
          <w:trHeight w:val="765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9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Чмсн-численность муниципальных служащих, которым назначена пенсия за выслугу лет,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9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 г. Заполярный, граждан, награжденных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почетным знаком «За заслуги перед Печенгским округом», граждан, которым присвоено почетное звание «Почетный гражданин «Печенгского муниципального округа», своевременно получивших социальную поддержку от общего числа граждан, которым присвоены такие звания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Сид=(Пв/Кп)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Пв – количество граждан,  получившие меры социальной поддержки, человек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годовой отчет</w:t>
            </w:r>
            <w:r>
              <w:t xml:space="preserve"> 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9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Кп- количество граждан,  которым присвоены звания,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Выполнение мероприятий, связанных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декабрь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299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приоритетных объектов социальной инфраструкт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уры (далее – ОСИ) Печенгского муниципального округа занесенных в электронный реестр ОСИ Мурманской области, а также размещенных на электронной карте доступности интернет-портала «Жить вместе» государственной программы Российской Федерации «Доступная среда»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12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процент,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Ч= (Чпр/Чпо)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*100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Чпр – численность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приоритетных объектов ОСИ Печенгского округа, размещенных на электронной карте доступности интернет-портала «Жить вместе» государственной программы Российской Федерации «Доступная среда», единиц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Министерства социального развития Мурманской области</w:t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(</w:t>
            </w:r>
            <w:hyperlink r:id="rId11" w:tooltip="https://minsoc.gov-murman.ru/activities/dost_sreda/registryosi/" w:history="1"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https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://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minsoc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.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gov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-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murman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.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ru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/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activities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/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dost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_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sreda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/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registryosi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/</w:t>
              </w:r>
            </w:hyperlink>
            <w:r>
              <w:rPr>
                <w:rFonts w:ascii="Times New Roman" w:hAnsi="Times New Roman"/>
                <w:sz w:val="16"/>
                <w:szCs w:val="16"/>
              </w:rPr>
              <w:t xml:space="preserve">)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(</w:t>
            </w:r>
            <w:hyperlink r:id="rId12" w:tooltip="http://zhit-vmeste.ru/map/" w:history="1"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http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://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zhit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-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vmeste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.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ru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/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  <w:lang w:val="en-US"/>
                </w:rPr>
                <w:t xml:space="preserve">map</w:t>
              </w:r>
              <w:r>
                <w:rPr>
                  <w:rStyle w:val="985"/>
                  <w:rFonts w:ascii="Times New Roman" w:hAnsi="Times New Roman"/>
                  <w:color w:val="auto"/>
                  <w:sz w:val="16"/>
                  <w:szCs w:val="16"/>
                </w:rPr>
                <w:t xml:space="preserve">/</w:t>
              </w:r>
            </w:hyperlink>
            <w:r>
              <w:rPr>
                <w:rFonts w:ascii="Times New Roman" w:hAnsi="Times New Roman"/>
                <w:sz w:val="16"/>
                <w:szCs w:val="16"/>
              </w:rPr>
              <w:t xml:space="preserve">)</w:t>
            </w:r>
            <w:r>
              <w:rPr>
                <w:rFonts w:ascii="Times New Roman" w:hAnsi="Times New Roman" w:eastAsia="Times New Roman"/>
                <w:strike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16"/>
                <w:szCs w:val="16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9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trike/>
                <w:sz w:val="20"/>
                <w:szCs w:val="20"/>
              </w:rPr>
            </w:pPr>
            <w:r>
              <w:rPr>
                <w:rFonts w:ascii="Times New Roman" w:hAnsi="Times New Roman"/>
                <w:strike/>
                <w:sz w:val="20"/>
                <w:szCs w:val="20"/>
              </w:rPr>
            </w:r>
            <w:r>
              <w:rPr>
                <w:rFonts w:ascii="Times New Roman" w:hAnsi="Times New Roman"/>
                <w:strike/>
                <w:sz w:val="20"/>
                <w:szCs w:val="20"/>
              </w:rPr>
            </w:r>
            <w:r>
              <w:rPr>
                <w:rFonts w:ascii="Times New Roman" w:hAnsi="Times New Roman"/>
                <w:strike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Чпо - общая численность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приоритетных объектов ОСИ Печенгского округа,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W w:w="299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исполненных обоснованных  заявлений (обращений) по обеспечению доступности в МКД, в которых проживают инвалиды от общего числа поступивших заявлений (обращений)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W w:w="112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процент,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Д=(Из/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Пз)*100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Из – количество исполненных обоснованных заявлений (обращений) по обеспечению доступности в МКД, в которых проживают инвалиды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(акты комиссионного обследования, заключение муниципальной комиссии)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9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Пз – общее количество  поступивших обоснованных  заявлений (обращений) по обеспечению доступности в МКД,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Число семей участников  Государственной программы  получивших социальную выплату на приобретение (строительство) жилья от общего числа семей обратившихся за получением меры социальной  поддержки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процент,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Д=(Оп/Омс)*100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Оп - число семей, обратившихся за социальной выплатой, семей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Омс - общее количество семей, имеющих право на социальную выплату, семей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(отчет ОС и ЖКХ)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pPr>
      <w:r/>
      <w:bookmarkStart w:id="4" w:name="p124"/>
      <w:r/>
      <w:bookmarkEnd w:id="4"/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r>
    </w:p>
    <w:p>
      <w:pPr>
        <w:contextualSpacing/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4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Ежегодно, нарастающим итогом, убывающим итогом.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5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Указываются методы: статистическая отчетность, социологический опрос, прочие (указать).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».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  <w:sectPr>
          <w:footnotePr/>
          <w:endnotePr/>
          <w:type w:val="nextPage"/>
          <w:pgSz w:w="16838" w:h="11905" w:orient="landscape"/>
          <w:pgMar w:top="993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851" w:right="993" w:bottom="709" w:left="156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4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11" w:hanging="360"/>
        <w:tabs>
          <w:tab w:val="num" w:pos="1211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3"/>
  </w:num>
  <w:num w:numId="3">
    <w:abstractNumId w:val="13"/>
  </w:num>
  <w:num w:numId="4">
    <w:abstractNumId w:val="4"/>
  </w:num>
  <w:num w:numId="5">
    <w:abstractNumId w:val="5"/>
  </w:num>
  <w:num w:numId="6">
    <w:abstractNumId w:val="10"/>
  </w:num>
  <w:num w:numId="7">
    <w:abstractNumId w:val="12"/>
  </w:num>
  <w:num w:numId="8">
    <w:abstractNumId w:val="8"/>
  </w:num>
  <w:num w:numId="9">
    <w:abstractNumId w:val="11"/>
  </w:num>
  <w:num w:numId="10">
    <w:abstractNumId w:val="9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6"/>
  </w:num>
  <w:num w:numId="14">
    <w:abstractNumId w:val="15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1">
    <w:name w:val="Plain Table 1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4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0">
    <w:name w:val="Grid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1">
    <w:name w:val="Grid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2">
    <w:name w:val="Grid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List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5">
    <w:name w:val="List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List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8">
    <w:name w:val="List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9">
    <w:name w:val="List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0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1">
    <w:name w:val="Heading 1"/>
    <w:basedOn w:val="710"/>
    <w:link w:val="936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2">
    <w:name w:val="Heading 2"/>
    <w:basedOn w:val="710"/>
    <w:next w:val="710"/>
    <w:link w:val="937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3">
    <w:name w:val="Heading 3"/>
    <w:basedOn w:val="710"/>
    <w:next w:val="710"/>
    <w:link w:val="938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4">
    <w:name w:val="Heading 4"/>
    <w:basedOn w:val="710"/>
    <w:next w:val="710"/>
    <w:link w:val="75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710"/>
    <w:next w:val="710"/>
    <w:link w:val="75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6">
    <w:name w:val="Heading 6"/>
    <w:basedOn w:val="710"/>
    <w:next w:val="710"/>
    <w:link w:val="75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7">
    <w:name w:val="Heading 7"/>
    <w:basedOn w:val="710"/>
    <w:next w:val="710"/>
    <w:link w:val="76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8">
    <w:name w:val="Heading 8"/>
    <w:basedOn w:val="710"/>
    <w:next w:val="710"/>
    <w:link w:val="76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9">
    <w:name w:val="Heading 9"/>
    <w:basedOn w:val="710"/>
    <w:next w:val="710"/>
    <w:link w:val="76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table" w:styleId="723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3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4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7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0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42" w:customStyle="1">
    <w:name w:val="Heading 4 Char"/>
    <w:basedOn w:val="720"/>
    <w:uiPriority w:val="9"/>
    <w:rPr>
      <w:rFonts w:ascii="Arial" w:hAnsi="Arial" w:eastAsia="Arial" w:cs="Arial"/>
      <w:b/>
      <w:bCs/>
      <w:sz w:val="26"/>
      <w:szCs w:val="26"/>
    </w:rPr>
  </w:style>
  <w:style w:type="character" w:styleId="743" w:customStyle="1">
    <w:name w:val="Heading 5 Char"/>
    <w:basedOn w:val="720"/>
    <w:uiPriority w:val="9"/>
    <w:rPr>
      <w:rFonts w:ascii="Arial" w:hAnsi="Arial" w:eastAsia="Arial" w:cs="Arial"/>
      <w:b/>
      <w:bCs/>
      <w:sz w:val="24"/>
      <w:szCs w:val="24"/>
    </w:rPr>
  </w:style>
  <w:style w:type="character" w:styleId="744" w:customStyle="1">
    <w:name w:val="Heading 6 Char"/>
    <w:basedOn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45" w:customStyle="1">
    <w:name w:val="Heading 7 Char"/>
    <w:basedOn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 w:customStyle="1">
    <w:name w:val="Heading 8 Char"/>
    <w:basedOn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47" w:customStyle="1">
    <w:name w:val="Heading 9 Char"/>
    <w:basedOn w:val="720"/>
    <w:uiPriority w:val="9"/>
    <w:rPr>
      <w:rFonts w:ascii="Arial" w:hAnsi="Arial" w:eastAsia="Arial" w:cs="Arial"/>
      <w:i/>
      <w:iCs/>
      <w:sz w:val="21"/>
      <w:szCs w:val="21"/>
    </w:rPr>
  </w:style>
  <w:style w:type="character" w:styleId="748" w:customStyle="1">
    <w:name w:val="Title Char"/>
    <w:basedOn w:val="720"/>
    <w:uiPriority w:val="10"/>
    <w:rPr>
      <w:sz w:val="48"/>
      <w:szCs w:val="48"/>
    </w:rPr>
  </w:style>
  <w:style w:type="character" w:styleId="749" w:customStyle="1">
    <w:name w:val="Subtitle Char"/>
    <w:basedOn w:val="720"/>
    <w:uiPriority w:val="11"/>
    <w:rPr>
      <w:sz w:val="24"/>
      <w:szCs w:val="24"/>
    </w:rPr>
  </w:style>
  <w:style w:type="character" w:styleId="750" w:customStyle="1">
    <w:name w:val="Quote Char"/>
    <w:uiPriority w:val="29"/>
    <w:rPr>
      <w:i/>
    </w:rPr>
  </w:style>
  <w:style w:type="character" w:styleId="751" w:customStyle="1">
    <w:name w:val="Intense Quote Char"/>
    <w:uiPriority w:val="30"/>
    <w:rPr>
      <w:i/>
    </w:rPr>
  </w:style>
  <w:style w:type="character" w:styleId="752" w:customStyle="1">
    <w:name w:val="Footnote Text Char"/>
    <w:uiPriority w:val="99"/>
    <w:rPr>
      <w:sz w:val="18"/>
    </w:rPr>
  </w:style>
  <w:style w:type="character" w:styleId="753" w:customStyle="1">
    <w:name w:val="Endnote Text Char"/>
    <w:uiPriority w:val="99"/>
    <w:rPr>
      <w:sz w:val="20"/>
    </w:rPr>
  </w:style>
  <w:style w:type="character" w:styleId="754" w:customStyle="1">
    <w:name w:val="Heading 1 Char"/>
    <w:basedOn w:val="720"/>
    <w:uiPriority w:val="9"/>
    <w:rPr>
      <w:rFonts w:ascii="Arial" w:hAnsi="Arial" w:eastAsia="Arial" w:cs="Arial"/>
      <w:sz w:val="40"/>
      <w:szCs w:val="40"/>
    </w:rPr>
  </w:style>
  <w:style w:type="character" w:styleId="755" w:customStyle="1">
    <w:name w:val="Heading 2 Char"/>
    <w:basedOn w:val="720"/>
    <w:uiPriority w:val="9"/>
    <w:rPr>
      <w:rFonts w:ascii="Arial" w:hAnsi="Arial" w:eastAsia="Arial" w:cs="Arial"/>
      <w:sz w:val="34"/>
    </w:rPr>
  </w:style>
  <w:style w:type="character" w:styleId="756" w:customStyle="1">
    <w:name w:val="Heading 3 Char"/>
    <w:basedOn w:val="720"/>
    <w:uiPriority w:val="9"/>
    <w:rPr>
      <w:rFonts w:ascii="Arial" w:hAnsi="Arial" w:eastAsia="Arial" w:cs="Arial"/>
      <w:sz w:val="30"/>
      <w:szCs w:val="30"/>
    </w:rPr>
  </w:style>
  <w:style w:type="character" w:styleId="757" w:customStyle="1">
    <w:name w:val="Заголовок 4 Знак"/>
    <w:basedOn w:val="720"/>
    <w:link w:val="714"/>
    <w:uiPriority w:val="9"/>
    <w:rPr>
      <w:rFonts w:ascii="Arial" w:hAnsi="Arial" w:eastAsia="Arial" w:cs="Arial"/>
      <w:b/>
      <w:bCs/>
      <w:sz w:val="26"/>
      <w:szCs w:val="26"/>
    </w:rPr>
  </w:style>
  <w:style w:type="character" w:styleId="758" w:customStyle="1">
    <w:name w:val="Заголовок 5 Знак"/>
    <w:basedOn w:val="720"/>
    <w:link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Заголовок 6 Знак"/>
    <w:basedOn w:val="720"/>
    <w:link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Заголовок 7 Знак"/>
    <w:basedOn w:val="72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Заголовок 8 Знак"/>
    <w:basedOn w:val="72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Заголовок 9 Знак"/>
    <w:basedOn w:val="72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Title"/>
    <w:basedOn w:val="710"/>
    <w:next w:val="710"/>
    <w:link w:val="764"/>
    <w:uiPriority w:val="10"/>
    <w:qFormat/>
    <w:pPr>
      <w:contextualSpacing/>
      <w:spacing w:before="300"/>
    </w:pPr>
    <w:rPr>
      <w:sz w:val="48"/>
      <w:szCs w:val="48"/>
    </w:rPr>
  </w:style>
  <w:style w:type="character" w:styleId="764" w:customStyle="1">
    <w:name w:val="Заголовок Знак"/>
    <w:basedOn w:val="720"/>
    <w:link w:val="763"/>
    <w:uiPriority w:val="10"/>
    <w:rPr>
      <w:sz w:val="48"/>
      <w:szCs w:val="48"/>
    </w:rPr>
  </w:style>
  <w:style w:type="paragraph" w:styleId="765">
    <w:name w:val="Subtitle"/>
    <w:basedOn w:val="710"/>
    <w:next w:val="710"/>
    <w:link w:val="766"/>
    <w:uiPriority w:val="11"/>
    <w:qFormat/>
    <w:pPr>
      <w:spacing w:before="200"/>
    </w:pPr>
    <w:rPr>
      <w:sz w:val="24"/>
      <w:szCs w:val="24"/>
    </w:rPr>
  </w:style>
  <w:style w:type="character" w:styleId="766" w:customStyle="1">
    <w:name w:val="Подзаголовок Знак"/>
    <w:basedOn w:val="720"/>
    <w:link w:val="765"/>
    <w:uiPriority w:val="11"/>
    <w:rPr>
      <w:sz w:val="24"/>
      <w:szCs w:val="24"/>
    </w:rPr>
  </w:style>
  <w:style w:type="paragraph" w:styleId="767">
    <w:name w:val="Quote"/>
    <w:basedOn w:val="710"/>
    <w:next w:val="710"/>
    <w:link w:val="768"/>
    <w:uiPriority w:val="29"/>
    <w:qFormat/>
    <w:pPr>
      <w:ind w:left="720" w:right="720"/>
    </w:pPr>
    <w:rPr>
      <w:i/>
    </w:rPr>
  </w:style>
  <w:style w:type="character" w:styleId="768" w:customStyle="1">
    <w:name w:val="Цитата 2 Знак"/>
    <w:link w:val="767"/>
    <w:uiPriority w:val="29"/>
    <w:rPr>
      <w:i/>
    </w:rPr>
  </w:style>
  <w:style w:type="paragraph" w:styleId="769">
    <w:name w:val="Intense Quote"/>
    <w:basedOn w:val="710"/>
    <w:next w:val="710"/>
    <w:link w:val="77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0" w:customStyle="1">
    <w:name w:val="Выделенная цитата Знак"/>
    <w:link w:val="769"/>
    <w:uiPriority w:val="30"/>
    <w:rPr>
      <w:i/>
    </w:rPr>
  </w:style>
  <w:style w:type="character" w:styleId="771" w:customStyle="1">
    <w:name w:val="Header Char"/>
    <w:basedOn w:val="720"/>
    <w:uiPriority w:val="99"/>
  </w:style>
  <w:style w:type="character" w:styleId="772" w:customStyle="1">
    <w:name w:val="Footer Char"/>
    <w:basedOn w:val="720"/>
    <w:uiPriority w:val="99"/>
  </w:style>
  <w:style w:type="character" w:styleId="773" w:customStyle="1">
    <w:name w:val="Caption Char"/>
    <w:uiPriority w:val="99"/>
  </w:style>
  <w:style w:type="table" w:styleId="774" w:customStyle="1">
    <w:name w:val="Table Grid Light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2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2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2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2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2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2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2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2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2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2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2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2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2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2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2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2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2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2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2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2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2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2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2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2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2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2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2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2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2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2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2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2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2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2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9">
    <w:name w:val="footnote text"/>
    <w:basedOn w:val="710"/>
    <w:link w:val="900"/>
    <w:uiPriority w:val="99"/>
    <w:semiHidden/>
    <w:unhideWhenUsed/>
    <w:pPr>
      <w:spacing w:after="40" w:line="240" w:lineRule="auto"/>
    </w:pPr>
    <w:rPr>
      <w:sz w:val="18"/>
    </w:rPr>
  </w:style>
  <w:style w:type="character" w:styleId="900" w:customStyle="1">
    <w:name w:val="Текст сноски Знак"/>
    <w:link w:val="899"/>
    <w:uiPriority w:val="99"/>
    <w:rPr>
      <w:sz w:val="18"/>
    </w:rPr>
  </w:style>
  <w:style w:type="character" w:styleId="901">
    <w:name w:val="footnote reference"/>
    <w:basedOn w:val="720"/>
    <w:uiPriority w:val="99"/>
    <w:unhideWhenUsed/>
    <w:rPr>
      <w:vertAlign w:val="superscript"/>
    </w:rPr>
  </w:style>
  <w:style w:type="paragraph" w:styleId="902">
    <w:name w:val="endnote text"/>
    <w:basedOn w:val="710"/>
    <w:link w:val="903"/>
    <w:uiPriority w:val="99"/>
    <w:semiHidden/>
    <w:unhideWhenUsed/>
    <w:pPr>
      <w:spacing w:after="0" w:line="240" w:lineRule="auto"/>
    </w:pPr>
    <w:rPr>
      <w:sz w:val="20"/>
    </w:rPr>
  </w:style>
  <w:style w:type="character" w:styleId="903" w:customStyle="1">
    <w:name w:val="Текст концевой сноски Знак"/>
    <w:link w:val="902"/>
    <w:uiPriority w:val="99"/>
    <w:rPr>
      <w:sz w:val="20"/>
    </w:rPr>
  </w:style>
  <w:style w:type="character" w:styleId="904">
    <w:name w:val="endnote reference"/>
    <w:basedOn w:val="720"/>
    <w:uiPriority w:val="99"/>
    <w:semiHidden/>
    <w:unhideWhenUsed/>
    <w:rPr>
      <w:vertAlign w:val="superscript"/>
    </w:rPr>
  </w:style>
  <w:style w:type="paragraph" w:styleId="905">
    <w:name w:val="toc 1"/>
    <w:basedOn w:val="710"/>
    <w:next w:val="710"/>
    <w:uiPriority w:val="39"/>
    <w:unhideWhenUsed/>
    <w:pPr>
      <w:spacing w:after="57"/>
    </w:pPr>
  </w:style>
  <w:style w:type="paragraph" w:styleId="906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907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908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909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910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911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912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913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710"/>
    <w:next w:val="710"/>
    <w:uiPriority w:val="99"/>
    <w:unhideWhenUsed/>
    <w:pPr>
      <w:spacing w:after="0"/>
    </w:pPr>
  </w:style>
  <w:style w:type="paragraph" w:styleId="916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1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18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19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0" w:customStyle="1">
    <w:name w:val="МОН Знак"/>
    <w:link w:val="921"/>
    <w:rPr>
      <w:sz w:val="24"/>
      <w:szCs w:val="24"/>
    </w:rPr>
  </w:style>
  <w:style w:type="paragraph" w:styleId="921" w:customStyle="1">
    <w:name w:val="МОН"/>
    <w:basedOn w:val="710"/>
    <w:link w:val="920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2">
    <w:name w:val="Strong"/>
    <w:qFormat/>
    <w:rPr>
      <w:b/>
      <w:bCs/>
    </w:rPr>
  </w:style>
  <w:style w:type="paragraph" w:styleId="923">
    <w:name w:val="List Paragraph"/>
    <w:basedOn w:val="710"/>
    <w:link w:val="989"/>
    <w:uiPriority w:val="99"/>
    <w:qFormat/>
    <w:pPr>
      <w:contextualSpacing/>
      <w:ind w:left="720"/>
    </w:pPr>
  </w:style>
  <w:style w:type="character" w:styleId="924" w:customStyle="1">
    <w:name w:val="Основной текст_"/>
    <w:link w:val="925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25" w:customStyle="1">
    <w:name w:val="Основной текст2"/>
    <w:basedOn w:val="710"/>
    <w:link w:val="924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26">
    <w:name w:val="Body Text 2"/>
    <w:basedOn w:val="710"/>
    <w:link w:val="927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27" w:customStyle="1">
    <w:name w:val="Основной текст 2 Знак"/>
    <w:link w:val="926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28">
    <w:name w:val="Footer"/>
    <w:basedOn w:val="710"/>
    <w:link w:val="929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29" w:customStyle="1">
    <w:name w:val="Нижний колонтитул Знак"/>
    <w:link w:val="928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0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1" w:customStyle="1">
    <w:name w:val="3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2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3">
    <w:name w:val="Normal (Web)"/>
    <w:basedOn w:val="710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Indent"/>
    <w:basedOn w:val="710"/>
    <w:link w:val="935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35" w:customStyle="1">
    <w:name w:val="Основной текст с отступом Знак"/>
    <w:link w:val="934"/>
    <w:rPr>
      <w:rFonts w:ascii="Times New Roman" w:hAnsi="Times New Roman" w:eastAsia="Times New Roman" w:cs="Times New Roman"/>
      <w:sz w:val="24"/>
      <w:szCs w:val="24"/>
    </w:rPr>
  </w:style>
  <w:style w:type="character" w:styleId="936" w:customStyle="1">
    <w:name w:val="Заголовок 1 Знак"/>
    <w:link w:val="711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37" w:customStyle="1">
    <w:name w:val="Заголовок 2 Знак"/>
    <w:link w:val="712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38" w:customStyle="1">
    <w:name w:val="Заголовок 3 Знак"/>
    <w:link w:val="713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39">
    <w:name w:val="Table Grid"/>
    <w:basedOn w:val="721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0">
    <w:name w:val="Balloon Text"/>
    <w:basedOn w:val="710"/>
    <w:link w:val="941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1" w:customStyle="1">
    <w:name w:val="Текст выноски Знак"/>
    <w:link w:val="940"/>
    <w:rPr>
      <w:rFonts w:ascii="Tahoma" w:hAnsi="Tahoma" w:eastAsia="Times New Roman" w:cs="Tahoma"/>
      <w:sz w:val="16"/>
      <w:szCs w:val="16"/>
      <w:lang w:eastAsia="ru-RU"/>
    </w:rPr>
  </w:style>
  <w:style w:type="paragraph" w:styleId="942">
    <w:name w:val="Header"/>
    <w:basedOn w:val="710"/>
    <w:link w:val="94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3" w:customStyle="1">
    <w:name w:val="Верхний колонтитул Знак"/>
    <w:link w:val="942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4">
    <w:name w:val="Emphasis"/>
    <w:qFormat/>
    <w:rPr>
      <w:i/>
      <w:iCs/>
    </w:rPr>
  </w:style>
  <w:style w:type="paragraph" w:styleId="945" w:customStyle="1">
    <w:name w:val="Содержимое таблицы"/>
    <w:basedOn w:val="710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46" w:customStyle="1">
    <w:name w:val="consplusnormal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7" w:customStyle="1">
    <w:name w:val="a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8" w:customStyle="1">
    <w:name w:val="15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9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 w:customStyle="1">
    <w:name w:val="h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1" w:customStyle="1">
    <w:name w:val="msonospacing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2" w:customStyle="1">
    <w:name w:val="ac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>
    <w:name w:val="Body Text 3"/>
    <w:basedOn w:val="710"/>
    <w:link w:val="9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4" w:customStyle="1">
    <w:name w:val="Основной текст 3 Знак"/>
    <w:link w:val="95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5">
    <w:name w:val="HTML Bottom of Form"/>
    <w:basedOn w:val="710"/>
    <w:next w:val="710"/>
    <w:link w:val="956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56" w:customStyle="1">
    <w:name w:val="z-Конец формы Знак"/>
    <w:link w:val="955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57" w:customStyle="1">
    <w:name w:val="Style16"/>
    <w:basedOn w:val="710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8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59">
    <w:name w:val="Caption"/>
    <w:basedOn w:val="710"/>
    <w:next w:val="710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0">
    <w:name w:val="Body Text"/>
    <w:basedOn w:val="710"/>
    <w:link w:val="961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1" w:customStyle="1">
    <w:name w:val="Основной текст Знак"/>
    <w:link w:val="96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2">
    <w:name w:val="Body Text Indent 2"/>
    <w:basedOn w:val="710"/>
    <w:link w:val="963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3" w:customStyle="1">
    <w:name w:val="Основной текст с отступом 2 Знак"/>
    <w:link w:val="96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4" w:customStyle="1">
    <w:name w:val="Заголовок №2_"/>
    <w:link w:val="965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65" w:customStyle="1">
    <w:name w:val="Заголовок №2"/>
    <w:basedOn w:val="710"/>
    <w:link w:val="964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66">
    <w:name w:val="No Spacing"/>
    <w:uiPriority w:val="1"/>
    <w:qFormat/>
    <w:rPr>
      <w:sz w:val="22"/>
      <w:szCs w:val="22"/>
      <w:lang w:eastAsia="en-US"/>
    </w:rPr>
  </w:style>
  <w:style w:type="paragraph" w:styleId="967" w:customStyle="1">
    <w:name w:val="Default"/>
    <w:rPr>
      <w:rFonts w:ascii="Arial" w:hAnsi="Arial" w:cs="Arial"/>
      <w:color w:val="000000"/>
      <w:sz w:val="24"/>
      <w:szCs w:val="24"/>
    </w:rPr>
  </w:style>
  <w:style w:type="paragraph" w:styleId="968" w:customStyle="1">
    <w:name w:val="msonormalcxspmiddle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69" w:customStyle="1">
    <w:name w:val="Нет списка1"/>
    <w:next w:val="722"/>
    <w:semiHidden/>
    <w:unhideWhenUsed/>
  </w:style>
  <w:style w:type="table" w:styleId="970" w:customStyle="1">
    <w:name w:val="Сетка таблицы1"/>
    <w:basedOn w:val="721"/>
    <w:next w:val="93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1" w:customStyle="1">
    <w:name w:val="Абзац списка1"/>
    <w:basedOn w:val="710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2" w:customStyle="1">
    <w:name w:val="Знак Знак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3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74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75" w:customStyle="1">
    <w:name w:val="Обычный (веб)18"/>
    <w:basedOn w:val="710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76" w:customStyle="1">
    <w:name w:val="Знак Знак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7" w:customStyle="1">
    <w:name w:val="Знак Знак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8" w:customStyle="1">
    <w:name w:val="Знак Знак2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Знак Знак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0" w:customStyle="1">
    <w:name w:val="Знак Знак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1" w:customStyle="1">
    <w:name w:val="Знак Знак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2">
    <w:name w:val="Body Text Indent 3"/>
    <w:basedOn w:val="710"/>
    <w:link w:val="983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3" w:customStyle="1">
    <w:name w:val="Основной текст с отступом 3 Знак"/>
    <w:link w:val="982"/>
    <w:uiPriority w:val="99"/>
    <w:semiHidden/>
    <w:rPr>
      <w:sz w:val="16"/>
      <w:szCs w:val="16"/>
    </w:rPr>
  </w:style>
  <w:style w:type="paragraph" w:styleId="984" w:customStyle="1">
    <w:name w:val="1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5">
    <w:name w:val="Hyperlink"/>
    <w:rPr>
      <w:strike w:val="0"/>
      <w:color w:val="808080"/>
      <w:u w:val="none"/>
    </w:rPr>
  </w:style>
  <w:style w:type="character" w:styleId="986" w:customStyle="1">
    <w:name w:val="blk"/>
  </w:style>
  <w:style w:type="character" w:styleId="987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8" w:customStyle="1">
    <w:name w:val="Знак Знак2 Знак Знак Знак Знак Знак Знак Знак Знак Знак Знак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9" w:customStyle="1">
    <w:name w:val="Абзац списка Знак"/>
    <w:link w:val="923"/>
    <w:uiPriority w:val="99"/>
    <w:rPr>
      <w:sz w:val="22"/>
      <w:szCs w:val="22"/>
      <w:lang w:eastAsia="en-US"/>
    </w:rPr>
  </w:style>
  <w:style w:type="character" w:styleId="990">
    <w:name w:val="annotation reference"/>
    <w:basedOn w:val="720"/>
    <w:uiPriority w:val="99"/>
    <w:semiHidden/>
    <w:unhideWhenUsed/>
    <w:rPr>
      <w:sz w:val="16"/>
      <w:szCs w:val="16"/>
    </w:rPr>
  </w:style>
  <w:style w:type="paragraph" w:styleId="991">
    <w:name w:val="annotation text"/>
    <w:basedOn w:val="710"/>
    <w:link w:val="992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992" w:customStyle="1">
    <w:name w:val="Текст примечания Знак"/>
    <w:basedOn w:val="720"/>
    <w:link w:val="991"/>
    <w:uiPriority w:val="99"/>
    <w:semiHidden/>
    <w:rPr>
      <w:lang w:eastAsia="en-US"/>
    </w:rPr>
  </w:style>
  <w:style w:type="paragraph" w:styleId="993">
    <w:name w:val="annotation subject"/>
    <w:basedOn w:val="991"/>
    <w:next w:val="991"/>
    <w:link w:val="994"/>
    <w:uiPriority w:val="99"/>
    <w:semiHidden/>
    <w:unhideWhenUsed/>
    <w:rPr>
      <w:b/>
      <w:bCs/>
    </w:rPr>
  </w:style>
  <w:style w:type="character" w:styleId="994" w:customStyle="1">
    <w:name w:val="Тема примечания Знак"/>
    <w:basedOn w:val="992"/>
    <w:link w:val="993"/>
    <w:uiPriority w:val="99"/>
    <w:semiHidden/>
    <w:rPr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minsoc.gov-murman.ru/activities/dost_sreda/registryosi/" TargetMode="External"/><Relationship Id="rId12" Type="http://schemas.openxmlformats.org/officeDocument/2006/relationships/hyperlink" Target="http://zhit-vmeste.ru/map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DBF1C-4980-4B55-A7E4-DE10AD3ED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5</cp:revision>
  <dcterms:created xsi:type="dcterms:W3CDTF">2026-04-30T07:07:00Z</dcterms:created>
  <dcterms:modified xsi:type="dcterms:W3CDTF">2026-05-13T08:08:49Z</dcterms:modified>
</cp:coreProperties>
</file>