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tabs>
          <w:tab w:val="left" w:pos="4253" w:leader="none"/>
        </w:tabs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55880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6.75pt;mso-position-horizontal:absolute;mso-position-vertical-relative:text;margin-top:4.4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08.04.2026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№ 543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0"/>
        <w:jc w:val="center"/>
        <w:tabs>
          <w:tab w:val="left" w:pos="9900" w:leader="none"/>
        </w:tabs>
        <w:rPr>
          <w:b/>
          <w:sz w:val="20"/>
          <w:szCs w:val="20"/>
        </w:rPr>
        <w:suppressLineNumbers w:val="0"/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внесении изменений в</w:t>
      </w:r>
      <w:r>
        <w:rPr>
          <w:b/>
          <w:sz w:val="20"/>
          <w:szCs w:val="20"/>
        </w:rPr>
        <w:t xml:space="preserve"> муниципальн</w:t>
      </w:r>
      <w:r>
        <w:rPr>
          <w:b/>
          <w:sz w:val="20"/>
          <w:szCs w:val="20"/>
        </w:rPr>
        <w:t xml:space="preserve">ую программу</w:t>
      </w:r>
      <w:r>
        <w:rPr>
          <w:b/>
          <w:sz w:val="20"/>
          <w:szCs w:val="20"/>
        </w:rPr>
        <w:t xml:space="preserve"> 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right="0"/>
        <w:jc w:val="center"/>
        <w:tabs>
          <w:tab w:val="left" w:pos="9900" w:leader="none"/>
        </w:tabs>
        <w:rPr>
          <w:b/>
          <w:sz w:val="20"/>
          <w:szCs w:val="20"/>
        </w:rPr>
        <w:suppressLineNumbers w:val="0"/>
      </w:pPr>
      <w:r>
        <w:rPr>
          <w:b/>
          <w:sz w:val="20"/>
          <w:szCs w:val="20"/>
        </w:rPr>
        <w:t xml:space="preserve">«Транспортная система» на 2026 - 2028 годы</w:t>
      </w:r>
      <w:r>
        <w:rPr>
          <w:b/>
          <w:sz w:val="20"/>
          <w:szCs w:val="20"/>
        </w:rPr>
        <w:t xml:space="preserve">, утвержденную постановлением администрации Печенгского муниципального округа от 12.11.2025 № 1847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shd w:val="clear" w:color="auto" w:fill="ffff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</w:pPr>
      <w:r/>
      <w:r/>
    </w:p>
    <w:p>
      <w:pPr>
        <w:ind w:firstLine="709"/>
        <w:jc w:val="both"/>
        <w:tabs>
          <w:tab w:val="left" w:pos="0" w:leader="none"/>
          <w:tab w:val="left" w:pos="284" w:leader="none"/>
          <w:tab w:val="left" w:pos="426" w:leader="none"/>
        </w:tabs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Руководствуясь статьей 179 Бюдже</w:t>
      </w:r>
      <w:r>
        <w:rPr>
          <w:rFonts w:eastAsia="Calibri"/>
          <w:lang w:eastAsia="en-US"/>
        </w:rPr>
        <w:t xml:space="preserve">тного кодекса Российской Федерации, в соответствии с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eastAsia="Calibri"/>
          <w:lang w:eastAsia="en-US"/>
        </w:rPr>
        <w:br/>
        <w:t xml:space="preserve">№ 1488, в целях </w:t>
      </w:r>
      <w:r>
        <w:t xml:space="preserve">обеспечения транспортной доступности населенных пунктов Печенгского муниципального округа, 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right="-5"/>
        <w:jc w:val="both"/>
        <w:widowControl w:val="off"/>
        <w:rPr>
          <w:szCs w:val="18"/>
        </w:rPr>
      </w:pPr>
      <w:r>
        <w:rPr>
          <w:szCs w:val="18"/>
        </w:rPr>
      </w:r>
      <w:r>
        <w:rPr>
          <w:szCs w:val="18"/>
        </w:rPr>
      </w:r>
      <w:r>
        <w:rPr>
          <w:szCs w:val="18"/>
        </w:rPr>
      </w:r>
    </w:p>
    <w:p>
      <w:pPr>
        <w:ind w:firstLine="709"/>
        <w:jc w:val="both"/>
      </w:pPr>
      <w:r>
        <w:t xml:space="preserve">1. </w:t>
      </w:r>
      <w:r>
        <w:t xml:space="preserve">М</w:t>
      </w:r>
      <w:r>
        <w:t xml:space="preserve">униципальную программу Печенгского муниципального округа «Транспортная система» на 2026 - 2028 годы</w:t>
      </w:r>
      <w:r>
        <w:t xml:space="preserve">, утвержденную постановлением администрации Печенгского муниципального округа от 12.11.2025 № 1847 изложить в редакции сог</w:t>
      </w:r>
      <w:r>
        <w:t xml:space="preserve">ласно приложению.</w:t>
      </w:r>
      <w:r/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rFonts w:eastAsia="Calibri"/>
          <w:lang w:eastAsia="en-US"/>
        </w:rPr>
        <w:t xml:space="preserve">2. </w:t>
      </w:r>
      <w:r>
        <w:rPr>
          <w:lang w:eastAsia="en-US"/>
        </w:rPr>
        <w:t xml:space="preserve">Настоящее постановление вступает в силу с </w:t>
      </w:r>
      <w:r>
        <w:rPr>
          <w:lang w:eastAsia="en-US"/>
        </w:rPr>
        <w:t xml:space="preserve">момента подписания.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lang w:eastAsia="en-US"/>
        </w:rPr>
      </w:pPr>
      <w:r>
        <w:rPr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lang w:eastAsia="en-US"/>
        </w:rPr>
      </w:r>
      <w:r>
        <w:rPr>
          <w:lang w:eastAsia="en-US"/>
        </w:rPr>
      </w:r>
    </w:p>
    <w:p>
      <w:pPr>
        <w:pStyle w:val="893"/>
        <w:numPr>
          <w:ilvl w:val="0"/>
          <w:numId w:val="6"/>
        </w:numPr>
        <w:contextualSpacing/>
        <w:jc w:val="both"/>
        <w:widowControl w:val="off"/>
        <w:tabs>
          <w:tab w:val="left" w:pos="567" w:leader="none"/>
          <w:tab w:val="left" w:pos="993" w:leader="none"/>
          <w:tab w:val="left" w:pos="1276" w:leader="none"/>
        </w:tabs>
      </w:pPr>
      <w:r>
        <w:t xml:space="preserve">Контроль за исполнением настоящего постановления оставляю за собой.</w:t>
      </w:r>
      <w:r/>
    </w:p>
    <w:p>
      <w:pPr>
        <w:pStyle w:val="885"/>
        <w:contextualSpacing/>
        <w:ind w:left="709"/>
        <w:jc w:val="both"/>
        <w:spacing w:before="240"/>
        <w:tabs>
          <w:tab w:val="left" w:pos="851" w:leader="none"/>
          <w:tab w:val="left" w:pos="993" w:leader="none"/>
          <w:tab w:val="clear" w:pos="4677" w:leader="none"/>
          <w:tab w:val="right" w:pos="9498" w:leader="none"/>
        </w:tabs>
      </w:pPr>
      <w:r/>
      <w:r/>
    </w:p>
    <w:p>
      <w:pPr>
        <w:jc w:val="both"/>
        <w:tabs>
          <w:tab w:val="right" w:pos="9355" w:leader="none"/>
        </w:tabs>
      </w:pPr>
      <w:r>
        <w:t xml:space="preserve">Глава Печенгского муниципального округа                                                         А.</w:t>
      </w:r>
      <w:r>
        <w:t xml:space="preserve">С. Пеньшин</w:t>
      </w:r>
      <w:r/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tabs>
          <w:tab w:val="right" w:pos="9355" w:leader="none"/>
        </w:tabs>
        <w:rPr>
          <w:highlight w:val="none"/>
        </w:rPr>
      </w:pPr>
      <w:r>
        <w:rPr>
          <w:sz w:val="20"/>
          <w:szCs w:val="20"/>
        </w:rPr>
        <w:t xml:space="preserve">Веверица В.А., 25263</w:t>
      </w:r>
      <w:r>
        <w:rPr>
          <w:sz w:val="20"/>
          <w:szCs w:val="20"/>
        </w:rPr>
        <w:t xml:space="preserve">                                  </w:t>
      </w:r>
      <w:r>
        <w:rPr>
          <w:sz w:val="20"/>
          <w:szCs w:val="20"/>
        </w:rPr>
      </w:r>
      <w:r>
        <w:rPr>
          <w:highlight w:val="none"/>
        </w:rPr>
      </w:r>
    </w:p>
    <w:p>
      <w:pPr>
        <w:jc w:val="both"/>
        <w:tabs>
          <w:tab w:val="right" w:pos="9355" w:leader="none"/>
        </w:tabs>
        <w:rPr>
          <w:sz w:val="20"/>
          <w:szCs w:val="20"/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rPr>
          <w:b/>
        </w:rPr>
      </w:pPr>
      <w:r>
        <w:rPr>
          <w:bCs/>
        </w:rPr>
        <w:t xml:space="preserve">Приложение</w:t>
      </w:r>
      <w:r>
        <w:rPr>
          <w:b/>
        </w:rPr>
      </w:r>
      <w:r>
        <w:rPr>
          <w:b/>
        </w:rPr>
      </w:r>
    </w:p>
    <w:p>
      <w:pPr>
        <w:ind w:left="5529"/>
        <w:jc w:val="both"/>
      </w:pPr>
      <w:r>
        <w:t xml:space="preserve">к постановлению администрации Печенгского муниципального округа от </w:t>
      </w:r>
      <w:r>
        <w:t xml:space="preserve">08.04.2026 № 543</w:t>
      </w:r>
      <w:r/>
    </w:p>
    <w:p>
      <w:pPr>
        <w:ind w:left="5529"/>
        <w:jc w:val="both"/>
      </w:pPr>
      <w:r/>
      <w:r/>
    </w:p>
    <w:p>
      <w:pPr>
        <w:ind w:left="5529"/>
        <w:rPr>
          <w:b/>
        </w:rPr>
      </w:pPr>
      <w:r>
        <w:rPr>
          <w:bCs/>
        </w:rPr>
        <w:t xml:space="preserve">«Приложение</w:t>
      </w:r>
      <w:r>
        <w:rPr>
          <w:b/>
        </w:rPr>
      </w:r>
      <w:r>
        <w:rPr>
          <w:b/>
        </w:rPr>
      </w:r>
    </w:p>
    <w:p>
      <w:pPr>
        <w:ind w:left="5529"/>
        <w:jc w:val="both"/>
      </w:pPr>
      <w:r>
        <w:t xml:space="preserve">к постановлению администрации Печенгского муниципального округа от 12.11.2025 № 1847</w:t>
      </w:r>
      <w:r/>
    </w:p>
    <w:p>
      <w:pPr>
        <w:pStyle w:val="882"/>
        <w:jc w:val="both"/>
      </w:pPr>
      <w:r/>
      <w:r/>
    </w:p>
    <w:p>
      <w:pPr>
        <w:pStyle w:val="882"/>
        <w:jc w:val="both"/>
      </w:pPr>
      <w:r/>
      <w:r/>
    </w:p>
    <w:p>
      <w:pPr>
        <w:pStyle w:val="882"/>
        <w:jc w:val="center"/>
        <w:rPr>
          <w:b/>
          <w:szCs w:val="24"/>
        </w:rPr>
      </w:pPr>
      <w:r/>
      <w:bookmarkStart w:id="0" w:name="P349"/>
      <w:r/>
      <w:bookmarkEnd w:id="0"/>
      <w:r>
        <w:rPr>
          <w:b/>
          <w:szCs w:val="24"/>
        </w:rPr>
        <w:t xml:space="preserve">МУНИЦИПАЛЬНАЯ ПРОГРАММА</w:t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882"/>
        <w:jc w:val="center"/>
        <w:rPr>
          <w:b/>
          <w:szCs w:val="24"/>
        </w:rPr>
      </w:pPr>
      <w:r>
        <w:rPr>
          <w:b/>
          <w:szCs w:val="24"/>
        </w:rPr>
        <w:t xml:space="preserve">Печенгского муниципального округа</w:t>
      </w:r>
      <w:r>
        <w:rPr>
          <w:b/>
          <w:szCs w:val="24"/>
        </w:rPr>
      </w:r>
      <w:r>
        <w:rPr>
          <w:b/>
          <w:szCs w:val="24"/>
        </w:rPr>
      </w:r>
    </w:p>
    <w:p>
      <w:pPr>
        <w:pStyle w:val="8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8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«Транспортная система» 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9014"/>
      </w:tblGrid>
      <w:tr>
        <w:tblPrEx/>
        <w:trPr>
          <w:trHeight w:val="1030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014" w:type="dxa"/>
            <w:textDirection w:val="lrTb"/>
            <w:noWrap w:val="false"/>
          </w:tcPr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>
              <w:t xml:space="preserve">Срок реализации: 2026 – 2028 годы</w:t>
            </w:r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</w:pPr>
            <w:r/>
            <w:r/>
          </w:p>
          <w:p>
            <w:pPr>
              <w:pStyle w:val="882"/>
              <w:jc w:val="both"/>
            </w:pPr>
            <w:r/>
            <w:r/>
          </w:p>
          <w:p>
            <w:pPr>
              <w:pStyle w:val="882"/>
              <w:jc w:val="both"/>
            </w:pPr>
            <w:r/>
            <w:r/>
          </w:p>
          <w:p>
            <w:pPr>
              <w:pStyle w:val="882"/>
              <w:jc w:val="both"/>
            </w:pPr>
            <w:r/>
            <w:r/>
          </w:p>
          <w:p>
            <w:pPr>
              <w:pStyle w:val="882"/>
              <w:jc w:val="both"/>
            </w:pPr>
            <w:r/>
            <w:r/>
          </w:p>
          <w:p>
            <w:pPr>
              <w:pStyle w:val="882"/>
              <w:jc w:val="both"/>
              <w:rPr>
                <w:sz w:val="26"/>
                <w:szCs w:val="26"/>
              </w:rPr>
              <w:outlineLvl w:val="1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82"/>
              <w:jc w:val="both"/>
              <w:rPr>
                <w:sz w:val="26"/>
                <w:szCs w:val="26"/>
              </w:rPr>
              <w:outlineLvl w:val="1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82"/>
              <w:jc w:val="both"/>
              <w:rPr>
                <w:sz w:val="26"/>
                <w:szCs w:val="26"/>
              </w:rPr>
              <w:outlineLvl w:val="1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82"/>
              <w:jc w:val="both"/>
              <w:rPr>
                <w:sz w:val="26"/>
                <w:szCs w:val="26"/>
              </w:rPr>
              <w:outlineLvl w:val="1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82"/>
              <w:jc w:val="both"/>
              <w:rPr>
                <w:sz w:val="26"/>
                <w:szCs w:val="26"/>
              </w:rPr>
              <w:outlineLvl w:val="1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82"/>
              <w:jc w:val="both"/>
              <w:rPr>
                <w:sz w:val="26"/>
                <w:szCs w:val="26"/>
              </w:rPr>
              <w:outlineLvl w:val="1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82"/>
              <w:jc w:val="both"/>
              <w:rPr>
                <w:sz w:val="26"/>
                <w:szCs w:val="26"/>
              </w:rPr>
              <w:outlineLvl w:val="1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  <w:p>
            <w:pPr>
              <w:pStyle w:val="882"/>
              <w:jc w:val="both"/>
              <w:rPr>
                <w:b/>
                <w:bCs/>
                <w:sz w:val="26"/>
                <w:szCs w:val="26"/>
              </w:rPr>
              <w:outlineLvl w:val="1"/>
            </w:pPr>
            <w:r>
              <w:rPr>
                <w:sz w:val="26"/>
                <w:szCs w:val="26"/>
              </w:rPr>
              <w:t xml:space="preserve">Ответственный исполнитель муниципальной программы – </w:t>
            </w:r>
            <w:r>
              <w:rPr>
                <w:b/>
                <w:sz w:val="26"/>
                <w:szCs w:val="26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b/>
                <w:bCs/>
                <w:sz w:val="26"/>
                <w:szCs w:val="26"/>
              </w:rPr>
            </w:r>
            <w:r>
              <w:rPr>
                <w:b/>
                <w:bCs/>
                <w:sz w:val="26"/>
                <w:szCs w:val="26"/>
              </w:rPr>
            </w:r>
          </w:p>
          <w:p>
            <w:pPr>
              <w:pStyle w:val="882"/>
              <w:jc w:val="both"/>
            </w:pPr>
            <w:r/>
            <w:r/>
          </w:p>
          <w:p>
            <w:pPr>
              <w:pStyle w:val="882"/>
              <w:jc w:val="both"/>
            </w:pPr>
            <w:r/>
            <w:r/>
          </w:p>
          <w:p>
            <w:pPr>
              <w:pStyle w:val="882"/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</w:tbl>
    <w:p>
      <w:pPr>
        <w:pStyle w:val="882"/>
        <w:jc w:val="center"/>
        <w:rPr>
          <w:b/>
        </w:rPr>
      </w:pPr>
      <w:r/>
      <w:bookmarkStart w:id="1" w:name="P366"/>
      <w:r/>
      <w:bookmarkEnd w:id="1"/>
      <w:r>
        <w:rPr>
          <w:b/>
        </w:rPr>
      </w:r>
      <w:r>
        <w:rPr>
          <w:b/>
        </w:rPr>
      </w:r>
    </w:p>
    <w:p>
      <w:pPr>
        <w:pStyle w:val="882"/>
        <w:jc w:val="center"/>
        <w:rPr>
          <w:b/>
        </w:rPr>
      </w:pPr>
      <w:r>
        <w:rPr>
          <w:b/>
        </w:rPr>
        <w:t xml:space="preserve">ПАСПОРТ</w:t>
      </w:r>
      <w:r>
        <w:rPr>
          <w:b/>
        </w:rPr>
      </w:r>
      <w:r>
        <w:rPr>
          <w:b/>
        </w:rPr>
      </w:r>
    </w:p>
    <w:p>
      <w:pPr>
        <w:pStyle w:val="882"/>
        <w:jc w:val="center"/>
        <w:rPr>
          <w:b/>
        </w:rPr>
      </w:pPr>
      <w:r>
        <w:rPr>
          <w:b/>
        </w:rPr>
        <w:t xml:space="preserve">муниципальной программы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pStyle w:val="882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2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«Транспортная система»</w:t>
      </w:r>
      <w:r>
        <w:rPr>
          <w:b/>
          <w:sz w:val="26"/>
          <w:szCs w:val="26"/>
          <w:u w:val="single"/>
        </w:rPr>
      </w:r>
      <w:r>
        <w:rPr>
          <w:b/>
          <w:sz w:val="26"/>
          <w:szCs w:val="26"/>
          <w:u w:val="single"/>
        </w:rPr>
      </w:r>
    </w:p>
    <w:p>
      <w:pPr>
        <w:pStyle w:val="882"/>
        <w:jc w:val="center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  <w:r>
        <w:rPr>
          <w:b/>
          <w:u w:val="single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65"/>
        <w:gridCol w:w="6753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82"/>
            </w:pPr>
            <w:r>
              <w:t xml:space="preserve">Цель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82"/>
              <w:jc w:val="both"/>
            </w:pPr>
            <w:r>
              <w:t xml:space="preserve">Обеспечение транспортной доступности населенных пунктов Печенгского муниципального округа, увеличение доли </w:t>
            </w:r>
            <w:r>
              <w:rPr>
                <w:rFonts w:eastAsia="Times New Roman"/>
                <w:szCs w:val="24"/>
              </w:rPr>
              <w:t xml:space="preserve">автомобильных дорог общего пользования местного значения, соответствующих нормативным требованиям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82"/>
            </w:pPr>
            <w:r>
              <w:t xml:space="preserve">Перечень направлений (подпрограмм)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82"/>
            </w:pPr>
            <w:r>
              <w:t xml:space="preserve">Отсутствуют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82"/>
            </w:pPr>
            <w:r>
              <w:t xml:space="preserve">Сроки и этапы реализации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82"/>
            </w:pPr>
            <w:r>
              <w:t xml:space="preserve">2026 - 2028 годы</w:t>
            </w:r>
            <w:r/>
          </w:p>
        </w:tc>
      </w:tr>
      <w:tr>
        <w:tblPrEx>
          <w:tblBorders>
            <w:insideV w:val="none" w:color="auto" w:sz="0" w:space="0"/>
          </w:tblBorders>
        </w:tblPrEx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65" w:type="dxa"/>
            <w:textDirection w:val="lrTb"/>
            <w:noWrap w:val="false"/>
          </w:tcPr>
          <w:p>
            <w:pPr>
              <w:pStyle w:val="882"/>
            </w:pPr>
            <w:r>
              <w:rPr>
                <w:szCs w:val="24"/>
              </w:rPr>
              <w:t xml:space="preserve">Финансовое обеспечение  муниципальной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3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Всего по программе: </w:t>
            </w:r>
            <w:r>
              <w:rPr>
                <w:b/>
              </w:rPr>
              <w:t xml:space="preserve">613 709 847,31</w:t>
            </w:r>
            <w:r>
              <w:t xml:space="preserve"> </w:t>
            </w:r>
            <w:r>
              <w:rPr>
                <w:b/>
              </w:rPr>
              <w:t xml:space="preserve">рублей,</w:t>
            </w:r>
            <w:r>
              <w:t xml:space="preserve"> в том числе:</w:t>
            </w:r>
            <w:r/>
          </w:p>
          <w:p>
            <w:pPr>
              <w:jc w:val="both"/>
              <w:widowControl w:val="off"/>
            </w:pPr>
            <w:r>
              <w:t xml:space="preserve">МБ: 4</w:t>
            </w:r>
            <w:r>
              <w:t xml:space="preserve">20 349 577,00</w:t>
            </w:r>
            <w:r>
              <w:t xml:space="preserve">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1</w:t>
            </w:r>
            <w:r>
              <w:t xml:space="preserve">18 161 037,70</w:t>
            </w:r>
            <w:r>
              <w:t xml:space="preserve">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151 094 269,65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151 094 269,65 рублей;</w:t>
            </w:r>
            <w:r/>
          </w:p>
          <w:p>
            <w:pPr>
              <w:jc w:val="both"/>
              <w:widowControl w:val="off"/>
            </w:pPr>
            <w:r>
              <w:t xml:space="preserve">ОБ: 182 114 770,31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65 107 256,77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58 503 756,77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58 503 756,77 рублей;</w:t>
            </w:r>
            <w:r/>
          </w:p>
          <w:p>
            <w:pPr>
              <w:jc w:val="both"/>
              <w:widowControl w:val="off"/>
            </w:pPr>
            <w:r>
              <w:t xml:space="preserve">ФБ: 11 245 500,00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11 245 500,00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0,00 рублей,</w:t>
            </w:r>
            <w:r/>
          </w:p>
          <w:p>
            <w:pPr>
              <w:jc w:val="both"/>
              <w:widowControl w:val="off"/>
            </w:pPr>
            <w:r>
              <w:t xml:space="preserve">2028 год: 0,00 рублей;</w:t>
            </w:r>
            <w:r/>
          </w:p>
          <w:p>
            <w:pPr>
              <w:jc w:val="both"/>
              <w:widowControl w:val="off"/>
            </w:pPr>
            <w:r>
              <w:t xml:space="preserve">ВБС: 0,00 рублей, из них:</w:t>
            </w:r>
            <w:r/>
          </w:p>
          <w:p>
            <w:pPr>
              <w:jc w:val="both"/>
              <w:widowControl w:val="off"/>
            </w:pPr>
            <w:r>
              <w:t xml:space="preserve">2026 год: 0,00 рублей,</w:t>
            </w:r>
            <w:r/>
          </w:p>
          <w:p>
            <w:pPr>
              <w:jc w:val="both"/>
              <w:widowControl w:val="off"/>
            </w:pPr>
            <w:r>
              <w:t xml:space="preserve">2027 год: 0,00 рублей,</w:t>
            </w:r>
            <w:r/>
          </w:p>
          <w:p>
            <w:pPr>
              <w:pStyle w:val="882"/>
              <w:rPr>
                <w:highlight w:val="cyan"/>
              </w:rPr>
            </w:pPr>
            <w:r>
              <w:rPr>
                <w:szCs w:val="24"/>
              </w:rPr>
              <w:t xml:space="preserve">2028 год: 0,00 рублей.</w:t>
            </w:r>
            <w:r>
              <w:rPr>
                <w:highlight w:val="cyan"/>
              </w:rPr>
            </w:r>
            <w:r>
              <w:rPr>
                <w:highlight w:val="cyan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82"/>
            </w:pPr>
            <w:r>
              <w:t xml:space="preserve">Ожидаемые конечные результаты реализации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82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Ожидаемые результаты к 2029 году:</w:t>
            </w:r>
            <w:r>
              <w:rPr>
                <w:rFonts w:eastAsia="Calibri"/>
                <w:szCs w:val="24"/>
              </w:rPr>
            </w:r>
            <w:r>
              <w:rPr>
                <w:rFonts w:eastAsia="Calibri"/>
                <w:szCs w:val="24"/>
              </w:rPr>
            </w:r>
          </w:p>
          <w:p>
            <w:pPr>
              <w:pStyle w:val="882"/>
              <w:jc w:val="both"/>
              <w:rPr>
                <w:szCs w:val="24"/>
              </w:rPr>
            </w:pPr>
            <w:r>
              <w:rPr>
                <w:sz w:val="22"/>
              </w:rPr>
              <w:t xml:space="preserve"> </w:t>
            </w:r>
            <w:r>
              <w:rPr>
                <w:szCs w:val="24"/>
              </w:rPr>
              <w:t xml:space="preserve">- увеличение доли автомобильных дорог общего пользования местного значения, отвечающих нормативным требованиям – до </w:t>
            </w:r>
            <w:r>
              <w:rPr>
                <w:szCs w:val="24"/>
              </w:rPr>
              <w:t xml:space="preserve">44,95</w:t>
            </w:r>
            <w:r>
              <w:rPr>
                <w:szCs w:val="24"/>
              </w:rPr>
              <w:t xml:space="preserve"> %;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82"/>
              <w:jc w:val="both"/>
              <w:rPr>
                <w:szCs w:val="24"/>
              </w:rPr>
            </w:pPr>
            <w:r>
              <w:rPr>
                <w:rFonts w:eastAsia="Calibri"/>
                <w:szCs w:val="24"/>
              </w:rPr>
              <w:t xml:space="preserve">- обеспечение содержания </w:t>
            </w:r>
            <w:r>
              <w:rPr>
                <w:szCs w:val="24"/>
              </w:rPr>
              <w:t xml:space="preserve">автомобильных дорог общего пользования местного значения общей протяженностью 7</w:t>
            </w:r>
            <w:r>
              <w:rPr>
                <w:szCs w:val="24"/>
              </w:rPr>
              <w:t xml:space="preserve">3,5</w:t>
            </w:r>
            <w:r>
              <w:rPr>
                <w:szCs w:val="24"/>
              </w:rPr>
              <w:t xml:space="preserve"> км;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82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 обеспечение площади</w:t>
            </w:r>
            <w:r>
              <w:rPr>
                <w:sz w:val="22"/>
              </w:rPr>
              <w:t xml:space="preserve"> </w:t>
            </w:r>
            <w:r>
              <w:rPr>
                <w:szCs w:val="24"/>
              </w:rPr>
              <w:t xml:space="preserve">проведенного ямочного ремонта участков автомобильных дорог общего пользования местного значения, на которых отсутствует необходимость замены дорожного покрытия – 600 м</w:t>
            </w:r>
            <w:r>
              <w:rPr>
                <w:szCs w:val="24"/>
                <w:vertAlign w:val="superscript"/>
              </w:rPr>
              <w:t xml:space="preserve">2</w:t>
            </w:r>
            <w:r>
              <w:rPr>
                <w:szCs w:val="24"/>
              </w:rPr>
              <w:t xml:space="preserve"> ежегодно;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82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 протяженность дорожной разметки на автомобильных дорогах общего пользования местного значения – 16,4 км ежегодно;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82"/>
              <w:jc w:val="both"/>
              <w:rPr>
                <w:szCs w:val="24"/>
              </w:rPr>
            </w:pPr>
            <w:r>
              <w:rPr>
                <w:sz w:val="22"/>
              </w:rPr>
              <w:t xml:space="preserve">- </w:t>
            </w:r>
            <w:r>
              <w:rPr>
                <w:szCs w:val="24"/>
              </w:rPr>
              <w:t xml:space="preserve">сохранение обеспеченности улично-дорожной сети Печенгского муниципального округа дорожными знаками на уровне 100 %;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82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 приведение в нормативное состояние автомобильных дорог общего пользования местного значения и (или) их участков: 2026 год – 1,</w:t>
            </w:r>
            <w:r>
              <w:rPr>
                <w:szCs w:val="24"/>
              </w:rPr>
              <w:t xml:space="preserve">09</w:t>
            </w:r>
            <w:r>
              <w:rPr>
                <w:szCs w:val="24"/>
              </w:rPr>
              <w:t xml:space="preserve"> км, 2027 год – </w:t>
            </w:r>
            <w:r>
              <w:rPr>
                <w:szCs w:val="24"/>
              </w:rPr>
              <w:t xml:space="preserve">0,95</w:t>
            </w:r>
            <w:r>
              <w:rPr>
                <w:szCs w:val="24"/>
              </w:rPr>
              <w:t xml:space="preserve"> км, 2028 год – </w:t>
            </w:r>
            <w:r>
              <w:rPr>
                <w:szCs w:val="24"/>
              </w:rPr>
              <w:t xml:space="preserve">0,82</w:t>
            </w:r>
            <w:r>
              <w:rPr>
                <w:szCs w:val="24"/>
              </w:rPr>
              <w:t xml:space="preserve"> км.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82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 наличие разработанного проекта содержания автомобильных дорог и определения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82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 наличие разработанной программы комплексного развития транспортной инфраструктуры Печенгского муниципального округа;</w:t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  <w:p>
            <w:pPr>
              <w:pStyle w:val="882"/>
              <w:jc w:val="both"/>
            </w:pPr>
            <w:r>
              <w:rPr>
                <w:szCs w:val="24"/>
              </w:rPr>
              <w:t xml:space="preserve">- обеспечение выполнения мероприятий по оценке технического состояния автомобильных дорог общего пользования местного значения на уровне 100 % в 2026 году.</w:t>
            </w:r>
            <w:r>
              <w:t xml:space="preserve"> </w:t>
            </w:r>
            <w:r/>
          </w:p>
        </w:tc>
      </w:tr>
      <w:tr>
        <w:tblPrEx/>
        <w:trPr>
          <w:trHeight w:val="13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82"/>
            </w:pPr>
            <w:r>
              <w:t xml:space="preserve">Ответственный исполнитель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82"/>
              <w:jc w:val="both"/>
            </w:pPr>
            <w:r>
              <w:t xml:space="preserve">Комитет по управлению имуществом администрации Пе</w:t>
            </w:r>
            <w:r>
              <w:t xml:space="preserve">ченгского муниципального округа</w:t>
            </w:r>
            <w:bookmarkStart w:id="2" w:name="_GoBack"/>
            <w:r/>
            <w:bookmarkEnd w:id="2"/>
            <w:r>
              <w:t xml:space="preserve"> (далее – КУИ)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82"/>
            </w:pPr>
            <w:r>
              <w:t xml:space="preserve">Соисполнители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82"/>
              <w:jc w:val="both"/>
            </w:pPr>
            <w:r>
              <w:t xml:space="preserve">КУИ, </w:t>
            </w:r>
            <w:r>
              <w:rPr>
                <w:color w:val="000000"/>
                <w:spacing w:val="1"/>
                <w:szCs w:val="24"/>
              </w:rPr>
              <w:t xml:space="preserve">муниципальное бюджетное учреждение «Никельская дорожная служба» (далее - </w:t>
            </w:r>
            <w:r>
              <w:rPr>
                <w:szCs w:val="24"/>
              </w:rPr>
              <w:t xml:space="preserve">МБУ «НДС»), муниципальное бюджетное учреждение «Ремонтно-эксплуатационная служба» (далее – МБУ «РЭС»), м</w:t>
            </w:r>
            <w:r>
              <w:rPr>
                <w:color w:val="000000"/>
                <w:spacing w:val="1"/>
                <w:szCs w:val="24"/>
              </w:rPr>
              <w:t xml:space="preserve">униципальное казенное учреждение «</w:t>
            </w:r>
            <w:r>
              <w:rPr>
                <w:szCs w:val="24"/>
              </w:rPr>
              <w:t xml:space="preserve">Управление благоустройства и развития</w:t>
            </w:r>
            <w:r>
              <w:rPr>
                <w:color w:val="000000"/>
                <w:spacing w:val="1"/>
                <w:szCs w:val="24"/>
              </w:rPr>
              <w:t xml:space="preserve">» (далее - </w:t>
              <w:br/>
            </w:r>
            <w:r>
              <w:rPr>
                <w:szCs w:val="24"/>
              </w:rPr>
              <w:t xml:space="preserve">МКУ «УБиР»)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65" w:type="dxa"/>
            <w:vAlign w:val="center"/>
            <w:textDirection w:val="lrTb"/>
            <w:noWrap w:val="false"/>
          </w:tcPr>
          <w:p>
            <w:pPr>
              <w:pStyle w:val="882"/>
              <w:jc w:val="both"/>
              <w:outlineLvl w:val="2"/>
            </w:pPr>
            <w:r>
              <w:t xml:space="preserve">Связь с национальными, региональными проектами/государственными программами Мурманской области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6753" w:type="dxa"/>
            <w:vAlign w:val="center"/>
            <w:textDirection w:val="lrTb"/>
            <w:noWrap w:val="false"/>
          </w:tcPr>
          <w:p>
            <w:pPr>
              <w:pStyle w:val="882"/>
              <w:jc w:val="both"/>
            </w:pPr>
            <w:r>
              <w:t xml:space="preserve">Государственная программа Мурманской области «Транспортная система»</w:t>
            </w:r>
            <w:r/>
          </w:p>
          <w:p>
            <w:pPr>
              <w:pStyle w:val="882"/>
              <w:jc w:val="both"/>
            </w:pPr>
            <w:r>
              <w:t xml:space="preserve">Государственная программа Мурманской области «Комфортное жилье и городская среда»</w:t>
            </w:r>
            <w:r/>
          </w:p>
          <w:p>
            <w:pPr>
              <w:pStyle w:val="882"/>
              <w:jc w:val="both"/>
            </w:pPr>
            <w:r>
              <w:rPr>
                <w:szCs w:val="24"/>
              </w:rPr>
              <w:t xml:space="preserve">Региональн</w:t>
            </w:r>
            <w:r>
              <w:rPr>
                <w:szCs w:val="24"/>
              </w:rPr>
              <w:t xml:space="preserve">ая программа «План мероприятий по развитию жилищной, энергетической и социальной инфраструктуры закрытых административно территориальных образований и населенных пунктов Мурманской области, в которых дислоцированы воинские формирования на 2024 - 2026 годы»</w:t>
            </w:r>
            <w:r/>
          </w:p>
        </w:tc>
      </w:tr>
    </w:tbl>
    <w:p>
      <w:pPr>
        <w:pStyle w:val="882"/>
        <w:jc w:val="right"/>
        <w:outlineLvl w:val="2"/>
      </w:pPr>
      <w:r/>
      <w:bookmarkStart w:id="3" w:name="P439"/>
      <w:r/>
      <w:bookmarkEnd w:id="3"/>
      <w:r/>
      <w:r/>
    </w:p>
    <w:p>
      <w:pPr>
        <w:pStyle w:val="882"/>
        <w:jc w:val="center"/>
        <w:rPr>
          <w:b/>
        </w:rPr>
        <w:outlineLvl w:val="2"/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2"/>
        <w:jc w:val="center"/>
        <w:rPr>
          <w:b/>
        </w:rPr>
        <w:outlineLvl w:val="2"/>
      </w:pPr>
      <w:r>
        <w:rPr>
          <w:b/>
        </w:rPr>
        <w:t xml:space="preserve">1. Приоритеты и задачи муниципального управления в сфере реализации муниципальной программы</w:t>
      </w:r>
      <w:r>
        <w:rPr>
          <w:b/>
        </w:rPr>
      </w:r>
      <w:r>
        <w:rPr>
          <w:b/>
        </w:rPr>
      </w:r>
    </w:p>
    <w:p>
      <w:pPr>
        <w:pStyle w:val="882"/>
        <w:jc w:val="both"/>
        <w:rPr>
          <w:b/>
        </w:rPr>
        <w:outlineLvl w:val="2"/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8"/>
        <w:jc w:val="both"/>
      </w:pPr>
      <w:r>
        <w:t xml:space="preserve">В соответствии с Федеральным законом от 06.10.2003 № 131-ФЗ «Об общих принципах организации местного са</w:t>
      </w:r>
      <w:r>
        <w:t xml:space="preserve">моуправления в Российской Федерации» к вопросам местного значения муниципального округа относится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них.</w:t>
      </w:r>
      <w:r/>
    </w:p>
    <w:p>
      <w:pPr>
        <w:ind w:firstLine="708"/>
        <w:jc w:val="both"/>
      </w:pPr>
      <w:r>
        <w:t xml:space="preserve">Устойчивое и эффективное развитие дорожно-транспортного комплекса – необходимое условие обеспечения темпов экономического роста и повышения качества жизни населения.</w:t>
      </w:r>
      <w:r/>
    </w:p>
    <w:p>
      <w:pPr>
        <w:ind w:firstLine="708"/>
        <w:jc w:val="both"/>
      </w:pPr>
      <w:r>
        <w:t xml:space="preserve">Несоответствие уровня обустройства дорог и с</w:t>
      </w:r>
      <w:r>
        <w:t xml:space="preserve">ервисного обслуживания современным требованиям, неудовлетворительная работа служб эксплуатации дорог могут привести к снижению безопасности дорожного движения. Снизить уровень аварийности, человеческие и материальные потери возможно лишь при осуществлении </w:t>
      </w:r>
      <w:r>
        <w:t xml:space="preserve">согласованного комплекса законодательных, экономических, организационных технических, воспитательных мероприятий.</w:t>
      </w:r>
      <w:r/>
    </w:p>
    <w:p>
      <w:pPr>
        <w:ind w:firstLine="708"/>
        <w:jc w:val="both"/>
      </w:pPr>
      <w:r>
        <w:t xml:space="preserve">В связи с постоянным ростом уровня автомобилизации, увеличением интенсивности движения, возросло количество участков автомобильных дорог с неудовлетворительным транспортно-эксплуатационным состоянием, на которых требуется проведение ремонта. </w:t>
      </w:r>
      <w:r/>
    </w:p>
    <w:p>
      <w:pPr>
        <w:ind w:firstLine="708"/>
        <w:jc w:val="both"/>
      </w:pPr>
      <w:r>
        <w:t xml:space="preserve">В сложившейся ситуации необходимо обеспечить соответствие параметров улично-дорожной сети потребностям дорожного движения и транспортного обслуживания населения, предприятий, учреждений и орг</w:t>
      </w:r>
      <w:r>
        <w:t xml:space="preserve">анизаций Печенгского муниципального округа, в связи, с чем возникает необходимость реализации комплекса мер, направленных на обеспечение комфортного и безопасного передвижения всех видов транспортных средств на территории Печенгского муниципального округа.</w:t>
      </w:r>
      <w:r/>
    </w:p>
    <w:p>
      <w:pPr>
        <w:ind w:firstLine="708"/>
        <w:jc w:val="both"/>
      </w:pPr>
      <w:r>
        <w:t xml:space="preserve">Мероприятия муниципальной программы позволят решить вопросы по приведению автомобильных дорог общего пользования местного значения в нормативное состояние, повышению безопасности дорожного движения и снижению дорожно-транспортного травматизма.</w:t>
      </w:r>
      <w:r/>
    </w:p>
    <w:p>
      <w:pPr>
        <w:ind w:firstLine="708"/>
        <w:jc w:val="both"/>
      </w:pPr>
      <w:r>
        <w:t xml:space="preserve">Определение приоритетов и обеспечение целевого использования средств обусловит реализацию данной муниципальной программы с максимальной эффективностью. </w:t>
      </w:r>
      <w:r/>
    </w:p>
    <w:p>
      <w:pPr>
        <w:ind w:firstLine="708"/>
        <w:jc w:val="both"/>
      </w:pPr>
      <w:r>
        <w:t xml:space="preserve">Таким образом, приоритетами муниципального управления в сфере реализации муниципальной программы являются: </w:t>
      </w:r>
      <w:r/>
    </w:p>
    <w:p>
      <w:pPr>
        <w:ind w:firstLine="708"/>
        <w:jc w:val="both"/>
      </w:pPr>
      <w:r>
        <w:t xml:space="preserve">- повышение качества транспортной инфраструктуры; </w:t>
      </w:r>
      <w:r/>
    </w:p>
    <w:p>
      <w:pPr>
        <w:ind w:firstLine="708"/>
        <w:jc w:val="both"/>
      </w:pPr>
      <w:r>
        <w:t xml:space="preserve">- совершенствование дорожных условий, предупреждение дорожно-транспортного травматизма; </w:t>
      </w:r>
      <w:r/>
    </w:p>
    <w:p>
      <w:pPr>
        <w:ind w:firstLine="708"/>
        <w:jc w:val="both"/>
      </w:pPr>
      <w:r>
        <w:t xml:space="preserve">- повышение уровня благоустройства, качества и технической оснащенности выполняемых работ по содержанию и ремонту объектов улично-дорожной сети.</w:t>
      </w:r>
      <w:r/>
    </w:p>
    <w:p>
      <w:pPr>
        <w:ind w:firstLine="708"/>
        <w:jc w:val="both"/>
      </w:pPr>
      <w:r>
        <w:t xml:space="preserve">Исходя из указанных приоритетов муниципального управления в сфере реализации муниципальной программы основными задачами программы являются:</w:t>
      </w:r>
      <w:r/>
    </w:p>
    <w:p>
      <w:pPr>
        <w:contextualSpacing/>
        <w:ind w:firstLine="709"/>
        <w:jc w:val="both"/>
        <w:spacing w:line="240" w:lineRule="atLeast"/>
        <w:tabs>
          <w:tab w:val="left" w:pos="459" w:leader="none"/>
        </w:tabs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- содержание автомобильных дорог общего пользования местного значения в соответствии с требованиями стандартов, норм и правил;</w:t>
      </w:r>
      <w:r>
        <w:rPr>
          <w:rFonts w:eastAsia="SimSun"/>
          <w:lang w:eastAsia="zh-CN" w:bidi="hi-IN"/>
        </w:rPr>
      </w:r>
      <w:r>
        <w:rPr>
          <w:rFonts w:eastAsia="SimSun"/>
          <w:lang w:eastAsia="zh-CN" w:bidi="hi-IN"/>
        </w:rPr>
      </w:r>
    </w:p>
    <w:p>
      <w:pPr>
        <w:contextualSpacing/>
        <w:ind w:firstLine="709"/>
        <w:jc w:val="both"/>
        <w:spacing w:line="240" w:lineRule="atLeast"/>
        <w:tabs>
          <w:tab w:val="left" w:pos="459" w:leader="none"/>
        </w:tabs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- обеспечение безопасности дорожного движения</w:t>
      </w:r>
      <w:r>
        <w:rPr>
          <w:rFonts w:eastAsia="SimSun"/>
          <w:lang w:eastAsia="zh-CN" w:bidi="hi-IN"/>
        </w:rPr>
        <w:t xml:space="preserve"> на автомобильных дорогах общего пользования местного значения посредством выполнения работ по ямочному ремонту участков автомобильных дорог, нанесению дорожной разметки, обеспечения улично-дорожной сети Печенгского муниципального округа дорожными знаками;</w:t>
      </w:r>
      <w:r>
        <w:rPr>
          <w:rFonts w:eastAsia="SimSun"/>
          <w:lang w:eastAsia="zh-CN" w:bidi="hi-IN"/>
        </w:rPr>
      </w:r>
      <w:r>
        <w:rPr>
          <w:rFonts w:eastAsia="SimSun"/>
          <w:lang w:eastAsia="zh-CN" w:bidi="hi-IN"/>
        </w:rPr>
      </w:r>
    </w:p>
    <w:p>
      <w:pPr>
        <w:contextualSpacing/>
        <w:ind w:firstLine="709"/>
        <w:jc w:val="both"/>
        <w:spacing w:line="240" w:lineRule="atLeast"/>
        <w:tabs>
          <w:tab w:val="left" w:pos="459" w:leader="none"/>
        </w:tabs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- проведение ремонтов автомобильных дорог общего пользования местного значения.</w:t>
      </w:r>
      <w:r>
        <w:rPr>
          <w:rFonts w:eastAsia="SimSun"/>
          <w:lang w:eastAsia="zh-CN" w:bidi="hi-IN"/>
        </w:rPr>
      </w:r>
      <w:r>
        <w:rPr>
          <w:rFonts w:eastAsia="SimSun"/>
          <w:lang w:eastAsia="zh-CN" w:bidi="hi-IN"/>
        </w:rPr>
      </w:r>
    </w:p>
    <w:p>
      <w:pPr>
        <w:pStyle w:val="882"/>
        <w:sectPr>
          <w:footnotePr/>
          <w:endnotePr/>
          <w:type w:val="nextPage"/>
          <w:pgSz w:w="11906" w:h="16838" w:orient="portrait"/>
          <w:pgMar w:top="1134" w:right="851" w:bottom="0" w:left="1701" w:header="709" w:footer="709" w:gutter="0"/>
          <w:cols w:num="1" w:sep="0" w:space="708" w:equalWidth="1"/>
          <w:docGrid w:linePitch="360"/>
        </w:sectPr>
        <w:outlineLvl w:val="2"/>
      </w:pPr>
      <w:r/>
      <w:r/>
    </w:p>
    <w:p>
      <w:pPr>
        <w:pStyle w:val="882"/>
        <w:jc w:val="center"/>
        <w:rPr>
          <w:b/>
        </w:rPr>
      </w:pPr>
      <w:r/>
      <w:bookmarkStart w:id="4" w:name="P446"/>
      <w:r/>
      <w:bookmarkEnd w:id="4"/>
      <w:r>
        <w:rPr>
          <w:b/>
        </w:rPr>
        <w:t xml:space="preserve">2. Перечень показателей муниципальной программы</w:t>
      </w:r>
      <w:r>
        <w:rPr>
          <w:b/>
        </w:rPr>
      </w:r>
      <w:r>
        <w:rPr>
          <w:b/>
        </w:rPr>
      </w:r>
    </w:p>
    <w:p>
      <w:pPr>
        <w:pStyle w:val="889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6"/>
        <w:gridCol w:w="5543"/>
        <w:gridCol w:w="992"/>
        <w:gridCol w:w="1134"/>
        <w:gridCol w:w="1134"/>
        <w:gridCol w:w="1134"/>
        <w:gridCol w:w="992"/>
        <w:gridCol w:w="1042"/>
        <w:gridCol w:w="1094"/>
        <w:gridCol w:w="155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vAlign w:val="center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направления(подпрограммы), цели, показатели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Направленность показателя</w:t>
            </w:r>
            <w:r>
              <w:rPr>
                <w:sz w:val="22"/>
                <w:szCs w:val="22"/>
                <w:vertAlign w:val="superscript"/>
              </w:rPr>
              <w:t xml:space="preserve"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9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Значение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vMerge w:val="restart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Соисполнитель,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достижение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615" w:type="dxa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Муниципальная программа «Транспортная система»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муниципальной программы: Обеспечение транспортной доступности населенных пунктов Печенгского муниципального округа, увеличение доли автомобильных дорог общего пользования местного значения, соответствующих нормативным требованиям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процент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85,42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41,09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42,5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43,84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44,95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автомобильных дорог общего пользования местного значения, находящихся на содержании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75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73,5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73,5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jc w:val="center"/>
            </w:pPr>
            <w:r>
              <w:t xml:space="preserve">73,5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jc w:val="center"/>
            </w:pPr>
            <w:r>
              <w:t xml:space="preserve">73,5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проведенного ямочного ремонта участков автомобильных дорог общего пользования местного значения, на которых отсутствует необходимость замены дорожного покрытия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кв. 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дорожной разметки на автомобильных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улично-дорожной сети Печенгского муниципального округа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процент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автомобильных дорог общего пользования местного значения и (или) их участков, приведенных в нормативное состояние в результате их ремонта, в том числе в рамках реализации </w:t>
            </w:r>
            <w:r>
              <w:rPr>
                <w:sz w:val="22"/>
                <w:szCs w:val="22"/>
                <w:lang w:eastAsia="en-US"/>
              </w:rPr>
              <w:t xml:space="preserve">мероприятий </w:t>
            </w:r>
            <w:r>
              <w:rPr>
                <w:sz w:val="22"/>
                <w:szCs w:val="22"/>
                <w:shd w:val="clear" w:color="auto" w:fill="ffffff"/>
              </w:rPr>
              <w:t xml:space="preserve">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1,09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0,95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0,82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разработанного проекта содержания автомобильных дорог и определения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разработанной программы комплексного развития транспортной инфраструктуры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</w:t>
            </w:r>
            <w:r>
              <w:rPr>
                <w:sz w:val="22"/>
                <w:szCs w:val="22"/>
              </w:rPr>
              <w:t xml:space="preserve">т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46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43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мероприятий по оценке технического состояния автомобильных дорог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процент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42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9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89"/>
        <w:jc w:val="both"/>
        <w:spacing w:before="0" w:beforeAutospacing="0" w:after="0" w:afterAutospacing="0" w:line="288" w:lineRule="atLeast"/>
        <w:rPr>
          <w:sz w:val="18"/>
          <w:szCs w:val="18"/>
          <w:vertAlign w:val="superscript"/>
        </w:rPr>
      </w:pPr>
      <w:r/>
      <w:bookmarkStart w:id="5" w:name="p125"/>
      <w:r/>
      <w:bookmarkEnd w:id="5"/>
      <w:r>
        <w:rPr>
          <w:sz w:val="18"/>
          <w:szCs w:val="18"/>
          <w:vertAlign w:val="superscript"/>
        </w:rPr>
      </w:r>
      <w:r>
        <w:rPr>
          <w:sz w:val="18"/>
          <w:szCs w:val="18"/>
          <w:vertAlign w:val="superscript"/>
        </w:rPr>
      </w:r>
    </w:p>
    <w:p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 </w:t>
      </w:r>
      <w:r>
        <w:rPr>
          <w:sz w:val="18"/>
          <w:szCs w:val="18"/>
        </w:rPr>
        <w:t xml:space="preserve">Направленность показателя обозначается: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  1 – направленность на рост;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 (-1) – направленность на снижение;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 0 – направленность на достижение конкретного значения.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89"/>
        <w:jc w:val="both"/>
        <w:spacing w:before="0" w:beforeAutospacing="0" w:after="0" w:afterAutospacing="0" w:line="288" w:lineRule="atLeast"/>
        <w:rPr>
          <w:vertAlign w:val="superscript"/>
        </w:rPr>
      </w:pPr>
      <w:r>
        <w:rPr>
          <w:vertAlign w:val="superscript"/>
        </w:rPr>
      </w:r>
      <w:r>
        <w:rPr>
          <w:vertAlign w:val="superscript"/>
        </w:rPr>
      </w:r>
      <w:r>
        <w:rPr>
          <w:vertAlign w:val="superscript"/>
        </w:rPr>
      </w:r>
    </w:p>
    <w:p>
      <w:pPr>
        <w:pStyle w:val="889"/>
        <w:jc w:val="both"/>
        <w:spacing w:before="0" w:beforeAutospacing="0" w:after="0" w:afterAutospacing="0" w:line="288" w:lineRule="atLeast"/>
        <w:rPr>
          <w:vertAlign w:val="superscript"/>
        </w:rPr>
      </w:pPr>
      <w:r>
        <w:rPr>
          <w:vertAlign w:val="superscript"/>
        </w:rPr>
      </w:r>
      <w:r>
        <w:rPr>
          <w:vertAlign w:val="superscript"/>
        </w:rPr>
      </w:r>
      <w:r>
        <w:rPr>
          <w:vertAlign w:val="superscript"/>
        </w:rPr>
      </w:r>
    </w:p>
    <w:p>
      <w:pPr>
        <w:jc w:val="center"/>
        <w:rPr>
          <w:b/>
        </w:rPr>
      </w:pPr>
      <w:r>
        <w:rPr>
          <w:b/>
        </w:rPr>
        <w:t xml:space="preserve">3. Перечень структурных элементов муниципальной программы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161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4497"/>
        <w:gridCol w:w="1417"/>
        <w:gridCol w:w="1843"/>
        <w:gridCol w:w="6946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9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выполнения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94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703" w:type="dxa"/>
            <w:vAlign w:val="center"/>
            <w:textDirection w:val="lrTb"/>
            <w:noWrap w:val="false"/>
          </w:tcPr>
          <w:p>
            <w:pPr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«Транспортная система»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49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Ко</w:t>
            </w:r>
            <w:r>
              <w:rPr>
                <w:sz w:val="22"/>
                <w:szCs w:val="22"/>
                <w:u w:val="single"/>
              </w:rPr>
              <w:t xml:space="preserve">мплекс процессных мероприятий 1</w:t>
            </w:r>
            <w:r>
              <w:rPr>
                <w:sz w:val="22"/>
                <w:szCs w:val="22"/>
              </w:rPr>
              <w:t xml:space="preserve"> 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6946" w:type="dxa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0.1. 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0.2. Протяженность автомобильных дорог общего пользования местного значения, находящихся на содержании.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0.3. Площадь проведенного ямочного ремонта участков автомобильных дорог общего пользования местного значения, на которых отсутствует необходимость замены дорожного покрытия.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0.4. Протяженность дорожной разметки на автомобильных дорогах общего пользования местного значения.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0.5. Обеспечение улично-дорожной сети Печенгского муниципального округа дорожными знаками.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0.6. Площадь отремонтированных автомобильных дорог общего пользования местного значения.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0.7. Наличие разработанного проекта содержания автомобильных дорог и определения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0.8. Наличие разработанной программы комплексного развития транспортной инфраструктуры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0.9. Выполнение мероприятий по оценке технического состояния автомобильных дорог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  <w:spacing w:line="288" w:lineRule="atLeast"/>
      </w:pPr>
      <w:r/>
      <w:r/>
    </w:p>
    <w:p>
      <w:pPr>
        <w:jc w:val="center"/>
        <w:spacing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pacing w:line="288" w:lineRule="atLeast"/>
        <w:rPr>
          <w:b/>
        </w:rPr>
      </w:pPr>
      <w:r>
        <w:rPr>
          <w:b/>
        </w:rPr>
        <w:t xml:space="preserve">4. Перечень мер налогового регулирования (налоговых расходов) в сфере реализации муниципальной программы</w:t>
      </w:r>
      <w:r>
        <w:rPr>
          <w:b/>
        </w:rPr>
      </w:r>
      <w:r>
        <w:rPr>
          <w:b/>
        </w:rPr>
      </w:r>
    </w:p>
    <w:p>
      <w:pPr>
        <w:jc w:val="center"/>
        <w:spacing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686"/>
        <w:gridCol w:w="1275"/>
        <w:gridCol w:w="1276"/>
        <w:gridCol w:w="1560"/>
        <w:gridCol w:w="3402"/>
        <w:gridCol w:w="340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меры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4111" w:type="dxa"/>
            <w:vAlign w:val="center"/>
            <w:textDirection w:val="lrTb"/>
            <w:noWrap w:val="false"/>
          </w:tcPr>
          <w:p>
            <w:pPr>
              <w:ind w:left="1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выпадающих доходов бюджета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округа (руб.)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Основание применения меры налогового регулирования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применения меры, связь с показателями муниципальной программы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14601" w:type="dxa"/>
            <w:vAlign w:val="center"/>
            <w:textDirection w:val="lrTb"/>
            <w:noWrap w:val="false"/>
          </w:tcPr>
          <w:p>
            <w:pPr>
              <w:ind w:left="147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Комплекс процессных мероприятий 1.</w:t>
            </w:r>
            <w:r>
              <w:rPr>
                <w:sz w:val="22"/>
                <w:szCs w:val="22"/>
              </w:rPr>
              <w:t xml:space="preserve"> 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147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Освобождение от уплаты земельного налога муниципальных учреждений, финансируемых из бюджета округа, в отношении земельных участков, предоставленных для непосредственного выполнения возложенных на эти учреждения функций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198 572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198 572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198 572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Подпункт 4.2 пункта 4 решения Совета депутатов Печенгского муниципального округа </w:t>
            </w:r>
            <w:r>
              <w:rPr>
                <w:sz w:val="22"/>
                <w:szCs w:val="22"/>
              </w:rPr>
              <w:br/>
              <w:t xml:space="preserve">от 23.10.2020 № 39 </w:t>
            </w:r>
            <w:r>
              <w:rPr>
                <w:sz w:val="22"/>
                <w:szCs w:val="22"/>
              </w:rPr>
              <w:br/>
              <w:t xml:space="preserve">«Об установлении земельного налога на территории муниципального образования Печенгский муниципальный округ Мурманской области»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(в ред. от </w:t>
            </w:r>
            <w:r>
              <w:rPr>
                <w:sz w:val="22"/>
                <w:szCs w:val="22"/>
              </w:rPr>
              <w:t xml:space="preserve">13.02</w:t>
            </w:r>
            <w:r>
              <w:rPr>
                <w:sz w:val="22"/>
                <w:szCs w:val="22"/>
              </w:rPr>
              <w:t xml:space="preserve">.202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 избежание встречных потоков денежных средств, уменьшения расходов плательщиков, воспользовавшихся льготами, финансовое обеспечение которых осуществляется в полном объеме или частично за счет средств бюджета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 Площадь проведенного ямочного ремонта участков автомобильных дорог общего пользования местного значения, на которых отсутствует необходимость замены дорожного покрытия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  <w:spacing w:line="288" w:lineRule="atLeast"/>
      </w:pPr>
      <w:r/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5. Сведения об объемах финансирования муниципальной программы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  <w:rPr>
          <w:b/>
        </w:rPr>
      </w:pPr>
      <w:r>
        <w:rPr>
          <w:b/>
        </w:rPr>
        <w:t xml:space="preserve">  </w:t>
      </w:r>
      <w:r>
        <w:rPr>
          <w:b/>
        </w:rPr>
      </w:r>
      <w:r>
        <w:rPr>
          <w:b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969"/>
        <w:gridCol w:w="1276"/>
        <w:gridCol w:w="992"/>
        <w:gridCol w:w="1701"/>
        <w:gridCol w:w="1701"/>
        <w:gridCol w:w="1560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№ п/п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программа, ГРБС, направления (подпрограммы)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Период реализации </w:t>
            </w:r>
            <w:r/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Объемы и источники финансирования (рублей)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Соисполнители</w:t>
            </w:r>
            <w:r>
              <w:rPr>
                <w:strike/>
              </w:rP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Год/</w:t>
            </w:r>
            <w:r/>
          </w:p>
          <w:p>
            <w:pPr>
              <w:jc w:val="center"/>
            </w:pPr>
            <w:r>
              <w:t xml:space="preserve">источник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Всего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2026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2027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2028 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>
          <w:trHeight w:val="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Муниципальная программа «Транспортная система»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613 709 847,31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194 513 794,47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420 349 577,00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118 161 037,70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151 094 269,65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182 114 770,31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65 107 256,77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58 503 756,77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11 245 500,00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11 245 500,00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r>
              <w:t xml:space="preserve">Администрация Печенгского муниципального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</w:pPr>
            <w:r>
              <w:t xml:space="preserve">2026 - 2028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609 060 447,31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189 864 394,47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415 700 177,00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113 511 637,70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182 114 770,31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65 107 256,77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11 245 500,00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11 245 500,00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0.2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r>
              <w:t xml:space="preserve">Комитет по управлению имуществом администрации Печенгского муниципального округа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2026-2028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4 649 400,00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4 649 400,00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4 649 400,00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4 649 400,00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Комплекс процессных мероприятий 1</w:t>
            </w:r>
            <w:r>
              <w:rPr>
                <w:sz w:val="22"/>
                <w:szCs w:val="22"/>
              </w:rPr>
              <w:t xml:space="preserve"> «Приведение в нормативное состояние сети автомобильных дорог общего пользования местного значения на территории Печенгского муниципального округа»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2026 - 2028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613 709 847,31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194 513 794,47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209 598 026,42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КУИ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contextualSpacing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«УБиР»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420 349 577,00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118 161 037,70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151 094 269,65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182 114 770,31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65 107 256,77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58 503 756,77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11 245 500,00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11 245 500,00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6. Механизмы управления рисками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161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262"/>
        <w:gridCol w:w="2976"/>
        <w:gridCol w:w="2694"/>
        <w:gridCol w:w="4819"/>
        <w:gridCol w:w="198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последствия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по предотвращению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реагирования при наличии признаков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 мониторинга рисков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Изменение законодательства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Невозможность выполнения работ (оказания услуг) в рамках программных мероприятий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изменений законодательства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Своевременная актуализация плана реализации муниципальной программы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Сокращение предусмотренных объемов финансирования в ходе реализации муниципальной программы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Недостижение запланированных значений показателей муниципальной программы, невыполнение мероприятий в срок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Своевременное уточнение потребности в финансовых ресурсах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Уточнение объемов финансовых средств, предусмотренных при реализации программных мероприятий, корректировка целевых показателей в зависимости от достигнутых результатов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Ежеквартально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Несостоявшийся аукцион на оказание услуг (выполнение работ)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Недостижение запланированных значений показателей муниципальной программы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Мониторинг причины признания аукциона несостоявшимся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Исключение некорректного описания характеристик приобретаем</w:t>
            </w:r>
            <w:r>
              <w:rPr>
                <w:sz w:val="22"/>
                <w:szCs w:val="22"/>
              </w:rPr>
              <w:t xml:space="preserve">ых товаров, работ, услуг и условий закупки. Направление запросов о предоставлении коммерческих предложений более пяти поставщикам (подрядчикам, исполнителям), имеющим опыт поставки такого товара (работы, услуги). Корректная подготовка документации на торги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Неисполнение (ненадлежащее исполнение) условий гражданско- правового договора подрядчиком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Невыполнение мероприятий муниципальной программы в срок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Контроль соблюдения условий исполнения муниципального контракта (гражданско- правового договора)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81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с подрядчиком претензионной и исковой работы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889"/>
        <w:jc w:val="right"/>
        <w:spacing w:before="0" w:beforeAutospacing="0" w:after="0" w:afterAutospacing="0" w:line="288" w:lineRule="atLeast"/>
        <w:sectPr>
          <w:footnotePr/>
          <w:endnotePr/>
          <w:type w:val="nextPage"/>
          <w:pgSz w:w="16838" w:h="11906" w:orient="landscape"/>
          <w:pgMar w:top="851" w:right="851" w:bottom="851" w:left="851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889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7. Порядок взаимодействия Ответственного исполнителя, Соисполнителей и участников муниципальной программы</w:t>
      </w:r>
      <w:r>
        <w:rPr>
          <w:b/>
        </w:rPr>
      </w:r>
      <w:r>
        <w:rPr>
          <w:b/>
        </w:rPr>
      </w:r>
    </w:p>
    <w:p>
      <w:pPr>
        <w:pStyle w:val="889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Механизм реализации муниципальной программы основан на скоординированных по срокам и направлениям действиях исполнителей мероприятий программы по достижению намеченной цели. </w:t>
      </w:r>
      <w:r/>
    </w:p>
    <w:p>
      <w:pPr>
        <w:pStyle w:val="889"/>
        <w:ind w:firstLine="709"/>
        <w:jc w:val="both"/>
        <w:spacing w:before="0" w:beforeAutospacing="0" w:after="0" w:afterAutospacing="0"/>
        <w:rPr>
          <w:color w:val="000000"/>
          <w:spacing w:val="1"/>
        </w:rPr>
      </w:pPr>
      <w:r>
        <w:t xml:space="preserve">Ответственным исполнителем муниципальной программы является </w:t>
      </w:r>
      <w:r>
        <w:t xml:space="preserve">КУИ</w:t>
      </w:r>
      <w:r>
        <w:t xml:space="preserve">, соисполнители мероприятий муниципальной программы: МБУ «НДС», МБУ «РЭС», МКУ «УБиР»</w:t>
      </w:r>
      <w:r>
        <w:rPr>
          <w:color w:val="000000"/>
          <w:spacing w:val="1"/>
        </w:rPr>
        <w:t xml:space="preserve">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889"/>
        <w:ind w:firstLine="709"/>
        <w:jc w:val="both"/>
        <w:spacing w:before="0" w:beforeAutospacing="0" w:after="0" w:afterAutospacing="0"/>
      </w:pPr>
      <w:r>
        <w:t xml:space="preserve">Полномочия ответственного исполнителя и соисполнителей муниципальной программы при реализации муниц</w:t>
      </w:r>
      <w:r>
        <w:t xml:space="preserve">ипальной программы установлены Порядком разработки, реализации и оценки эффективности муниципальных программ Печенгского муниципального округа, утвержден постановлением администрации Печенгского муниципального округа от 18.09.2025 № 1488 (далее – Порядок).</w:t>
      </w:r>
      <w:r/>
    </w:p>
    <w:p>
      <w:pPr>
        <w:pStyle w:val="882"/>
        <w:contextualSpacing/>
        <w:ind w:firstLine="709"/>
        <w:jc w:val="both"/>
      </w:pPr>
      <w:r>
        <w:t xml:space="preserve">Ответственный исполнитель муниципальной программы:</w:t>
      </w:r>
      <w:r/>
    </w:p>
    <w:p>
      <w:pPr>
        <w:pStyle w:val="882"/>
        <w:contextualSpacing/>
        <w:ind w:firstLine="709"/>
        <w:jc w:val="both"/>
      </w:pPr>
      <w:r>
        <w:t xml:space="preserve">- обеспечивает совместно с соисполнителями разработк</w:t>
      </w:r>
      <w:r>
        <w:t xml:space="preserve">у проекта муниципальной программы, проектов постановлений администрации Печенгского муниципального округа об утверждении муниципальной программы и (или) о внесении изменений в муниципальную программу и их согласование в соответствии с требованиями Порядка;</w:t>
      </w:r>
      <w:r/>
    </w:p>
    <w:p>
      <w:pPr>
        <w:pStyle w:val="882"/>
        <w:contextualSpacing/>
        <w:ind w:firstLine="709"/>
        <w:jc w:val="both"/>
      </w:pPr>
      <w:r>
        <w:t xml:space="preserve">-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/>
    </w:p>
    <w:p>
      <w:pPr>
        <w:pStyle w:val="882"/>
        <w:contextualSpacing/>
        <w:ind w:firstLine="709"/>
        <w:jc w:val="both"/>
      </w:pPr>
      <w:r>
        <w:t xml:space="preserve">- запрашивает у соисполнителей муниципальной программы информацию, необходимую для проведения мониторинга и оценки эффективности реализации муниципальной программы;</w:t>
      </w:r>
      <w:r/>
    </w:p>
    <w:p>
      <w:pPr>
        <w:pStyle w:val="882"/>
        <w:contextualSpacing/>
        <w:ind w:firstLine="709"/>
        <w:jc w:val="both"/>
      </w:pPr>
      <w:r>
        <w:t xml:space="preserve">- осуществляет мониторинг реализации муниципальной программы и подготовку отчетов о ходе ее реализации в соответствии с требованиями Порядка.</w:t>
      </w:r>
      <w:r/>
    </w:p>
    <w:p>
      <w:pPr>
        <w:pStyle w:val="882"/>
        <w:contextualSpacing/>
        <w:ind w:firstLine="709"/>
        <w:jc w:val="both"/>
      </w:pPr>
      <w:r>
        <w:t xml:space="preserve">Соисполнители муниципальной программы:</w:t>
      </w:r>
      <w:r/>
    </w:p>
    <w:p>
      <w:pPr>
        <w:pStyle w:val="882"/>
        <w:contextualSpacing/>
        <w:ind w:firstLine="709"/>
        <w:jc w:val="both"/>
      </w:pPr>
      <w:r>
        <w:t xml:space="preserve">- обеспечивают разработку и реализацию комплексов процессных и(или) проектных мероприятий муниципальной программы, в отношении которых являются соисполнителями;</w:t>
      </w:r>
      <w:r/>
    </w:p>
    <w:p>
      <w:pPr>
        <w:pStyle w:val="882"/>
        <w:contextualSpacing/>
        <w:ind w:firstLine="709"/>
        <w:jc w:val="both"/>
      </w:pPr>
      <w:r>
        <w:t xml:space="preserve">- несут ответственность за достижение плановых значений показателей муниципальной программы в части, их касающейся;</w:t>
      </w:r>
      <w:r/>
    </w:p>
    <w:p>
      <w:pPr>
        <w:pStyle w:val="882"/>
        <w:contextualSpacing/>
        <w:ind w:firstLine="709"/>
        <w:jc w:val="both"/>
      </w:pPr>
      <w:r>
        <w:t xml:space="preserve">- формируют предложения по разработке проекта муниципальной программы, а также по внесению в нее изменений;</w:t>
      </w:r>
      <w:r/>
    </w:p>
    <w:p>
      <w:pPr>
        <w:pStyle w:val="882"/>
        <w:contextualSpacing/>
        <w:ind w:firstLine="709"/>
        <w:jc w:val="both"/>
      </w:pPr>
      <w:r>
        <w:t xml:space="preserve">- в пределах своей компетенции участвуют в разработке плана реализации муниципальной программы, направляют ответственному исполнителю соответствующие предложения;</w:t>
      </w:r>
      <w:r/>
    </w:p>
    <w:p>
      <w:pPr>
        <w:pStyle w:val="882"/>
        <w:contextualSpacing/>
        <w:ind w:firstLine="709"/>
        <w:jc w:val="both"/>
      </w:pPr>
      <w:r>
        <w:t xml:space="preserve">- представляют в установленный срок ответственному исполнителю муниципальной программы необходимую информацию для проведения мониторинга и оценки эффективности муниципальной программы.</w:t>
      </w:r>
      <w:r/>
    </w:p>
    <w:p>
      <w:pPr>
        <w:pStyle w:val="882"/>
        <w:contextualSpacing/>
        <w:ind w:firstLine="709"/>
        <w:jc w:val="both"/>
      </w:pPr>
      <w:r>
        <w:t xml:space="preserve">В целях обеспечения проведения контроля реализации муниципальной программы ответственным исполнителем муниципальной программы совместно с соиспо</w:t>
      </w:r>
      <w:r>
        <w:t xml:space="preserve">лнителями (в части их касающейся), а также отделом экономического развития администрации Печенгского муниципального округа, финансовым управлением администрации Печенгского муниципального округа осуществляется мониторинг реализации муниципальной программы.</w:t>
      </w:r>
      <w:r/>
    </w:p>
    <w:p>
      <w:pPr>
        <w:pStyle w:val="882"/>
        <w:contextualSpacing/>
        <w:ind w:firstLine="709"/>
        <w:jc w:val="both"/>
      </w:pPr>
      <w:r>
        <w:t xml:space="preserve">Мониторинг реализации муниципальной программы ориентирован на раннее предупреждение возникновения проблем и отклонений хода реализации муниципальной программы от запланированного. Р</w:t>
      </w:r>
      <w:r>
        <w:t xml:space="preserve">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муниципальной программы в соответствии с Порядком.</w:t>
      </w:r>
      <w:r/>
    </w:p>
    <w:p>
      <w:pPr>
        <w:pStyle w:val="889"/>
        <w:jc w:val="right"/>
        <w:spacing w:before="0" w:beforeAutospacing="0" w:after="0" w:afterAutospacing="0" w:line="288" w:lineRule="atLeast"/>
        <w:sectPr>
          <w:footnotePr/>
          <w:endnotePr/>
          <w:type w:val="nextPage"/>
          <w:pgSz w:w="11906" w:h="16838" w:orient="portrait"/>
          <w:pgMar w:top="1134" w:right="851" w:bottom="851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889"/>
        <w:jc w:val="center"/>
        <w:spacing w:before="0" w:beforeAutospacing="0" w:after="0" w:afterAutospacing="0" w:line="288" w:lineRule="atLeast"/>
        <w:rPr>
          <w:b/>
        </w:rPr>
      </w:pPr>
      <w:r>
        <w:rPr>
          <w:b/>
        </w:rPr>
        <w:t xml:space="preserve">8. Сведения об источниках и методике расчета значений показателей муниципальной программы </w:t>
      </w:r>
      <w:r>
        <w:rPr>
          <w:b/>
        </w:rPr>
      </w:r>
      <w:r>
        <w:rPr>
          <w:b/>
        </w:rPr>
      </w:r>
    </w:p>
    <w:p>
      <w:pPr>
        <w:pStyle w:val="889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5302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544"/>
        <w:gridCol w:w="1701"/>
        <w:gridCol w:w="1418"/>
        <w:gridCol w:w="1984"/>
        <w:gridCol w:w="2410"/>
        <w:gridCol w:w="1984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Единица измерения, временная характеристика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Алгоритм расчета (формула)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Базовые показатели (используемые в формуле)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 сбора информации,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код формы отчетности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получения фактических значений показателей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742" w:type="dxa"/>
            <w:vAlign w:val="center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 «Транспортная система»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9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ежегодно, нарастающим итогом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  <w:vertAlign w:val="subscript"/>
              </w:rPr>
              <w:t xml:space="preserve">АДо</w:t>
            </w:r>
            <w:r>
              <w:rPr>
                <w:sz w:val="20"/>
                <w:szCs w:val="20"/>
              </w:rPr>
              <w:t xml:space="preserve">=(Д</w:t>
            </w:r>
            <w:r>
              <w:rPr>
                <w:sz w:val="20"/>
                <w:szCs w:val="20"/>
                <w:vertAlign w:val="subscript"/>
              </w:rPr>
              <w:t xml:space="preserve">КМ </w:t>
            </w:r>
            <w:r>
              <w:rPr>
                <w:sz w:val="20"/>
                <w:szCs w:val="20"/>
              </w:rPr>
              <w:t xml:space="preserve">– Д</w:t>
            </w:r>
            <w:r>
              <w:rPr>
                <w:sz w:val="20"/>
                <w:szCs w:val="20"/>
                <w:vertAlign w:val="subscript"/>
              </w:rPr>
              <w:t xml:space="preserve">КМн</w:t>
            </w:r>
            <w:r>
              <w:rPr>
                <w:sz w:val="20"/>
                <w:szCs w:val="20"/>
              </w:rPr>
              <w:t xml:space="preserve">)/Д</w:t>
            </w:r>
            <w:r>
              <w:rPr>
                <w:sz w:val="20"/>
                <w:szCs w:val="20"/>
                <w:vertAlign w:val="subscript"/>
              </w:rPr>
              <w:t xml:space="preserve">КМ</w:t>
            </w:r>
            <w:r>
              <w:rPr>
                <w:sz w:val="20"/>
                <w:szCs w:val="20"/>
              </w:rPr>
              <w:t xml:space="preserve">*100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  <w:vertAlign w:val="subscript"/>
              </w:rPr>
              <w:t xml:space="preserve">АДо </w:t>
            </w:r>
            <w:r>
              <w:rPr>
                <w:sz w:val="20"/>
                <w:szCs w:val="20"/>
              </w:rPr>
              <w:t xml:space="preserve">- Доля протяженности автомобильных дорог общего пользования местного значения, отвечающих нормативным требованиям, в общей протяженности автомобильных дорог общего пользования местного значения;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  <w:vertAlign w:val="subscript"/>
              </w:rPr>
              <w:t xml:space="preserve">КМ</w:t>
            </w:r>
            <w:r>
              <w:rPr>
                <w:sz w:val="20"/>
                <w:szCs w:val="20"/>
              </w:rPr>
              <w:t xml:space="preserve"> – общая протяженность автомобильных дорог общего пользования местного значения (стр.101, гр.5 формы № 3-ДГ (мо);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  <w:vertAlign w:val="subscript"/>
              </w:rPr>
              <w:t xml:space="preserve">КМн</w:t>
            </w:r>
            <w:r>
              <w:rPr>
                <w:sz w:val="20"/>
                <w:szCs w:val="20"/>
              </w:rPr>
              <w:t xml:space="preserve"> – протяженность автомобильных дорог общего пользования местного значения, не отвечающих нормативным требованиям (стр.106, гр.5 формы № 3-ДГ (мо)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Статистическая отчетность по форме № 3-ДГ (мо) «Сведения об автомобильных дорогах общего пользования местного значения и искусственных сооружениях на них»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 февраля года, следующего за отчетным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Протяженность автомобильных дорог общего пользования местного значения, находящихся на содержании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км,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об исполнении муниципального задания соисполнителей)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«НДС»,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0.3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Площадь проведенного ямочного ремонта участков автомобильных дорог общего пользования местного значения, </w:t>
            </w:r>
            <w:r>
              <w:rPr>
                <w:sz w:val="20"/>
                <w:szCs w:val="20"/>
              </w:rPr>
              <w:t xml:space="preserve">на которых отсутствует необходимость замены дорожного покрытия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кв. м,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соисполнителей)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</w:t>
            </w:r>
            <w:r>
              <w:rPr>
                <w:sz w:val="20"/>
                <w:szCs w:val="20"/>
              </w:rPr>
              <w:t xml:space="preserve">отчетным кварталом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«НДС»,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Протяженность дорожной разметки на автомобильных дорогах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км,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соисполнителей)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«НДС»,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улично-дорожной системы Печенгского муниципального округа дорожными знаками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соисполнителей)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«НДС»,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Протяженность автомобильных дорог общего пользования местного значения и (или) их участков, приведенных в нормативное состояние в результате их ремонта, в том числе в рамках реализации </w:t>
            </w:r>
            <w:r>
              <w:rPr>
                <w:sz w:val="20"/>
                <w:szCs w:val="20"/>
                <w:lang w:eastAsia="en-US"/>
              </w:rPr>
              <w:t xml:space="preserve">мероприятий </w:t>
            </w:r>
            <w:r>
              <w:rPr>
                <w:sz w:val="20"/>
                <w:szCs w:val="20"/>
                <w:shd w:val="clear" w:color="auto" w:fill="ffffff"/>
              </w:rPr>
              <w:t xml:space="preserve">планов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км,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(Отчет соисполнителей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(в соответствии с актами выполненных работ)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«УБиР»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разработанного проекта содержания автомобильных дорог и определения нормативов финансовых затрат на содержание, ремонт и капитальный ремонт автомобильных дорог общего пользования местного значения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 ОС и ЖКХ)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разработанной программы комплексного развития транспортной инфраструктуры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 ОС и ЖКХ)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textDirection w:val="lrTb"/>
            <w:noWrap w:val="false"/>
          </w:tcPr>
          <w:p>
            <w:pPr>
              <w:pStyle w:val="889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мероприятий по оценке технического состояния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10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(Отчет ОС и ЖКХ)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 не позднее 20 числа месяца, следующего за отчетным кварталом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contextualSpacing/>
        <w:jc w:val="both"/>
        <w:rPr>
          <w:sz w:val="16"/>
          <w:szCs w:val="16"/>
          <w:vertAlign w:val="superscript"/>
        </w:rPr>
      </w:pPr>
      <w:r/>
      <w:bookmarkStart w:id="6" w:name="p124"/>
      <w:r/>
      <w:bookmarkEnd w:id="6"/>
      <w:r>
        <w:rPr>
          <w:sz w:val="16"/>
          <w:szCs w:val="16"/>
          <w:vertAlign w:val="superscript"/>
        </w:rPr>
      </w:r>
      <w:r>
        <w:rPr>
          <w:sz w:val="16"/>
          <w:szCs w:val="16"/>
          <w:vertAlign w:val="superscript"/>
        </w:rPr>
      </w:r>
    </w:p>
    <w:p>
      <w:pPr>
        <w:contextualSpacing/>
        <w:jc w:val="both"/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4</w:t>
      </w:r>
      <w:r>
        <w:rPr>
          <w:sz w:val="16"/>
          <w:szCs w:val="16"/>
        </w:rPr>
        <w:t xml:space="preserve">Ежегодно, нарастающим итогом, убывающим итогом.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contextualSpacing/>
        <w:jc w:val="both"/>
        <w:spacing w:before="168"/>
        <w:rPr>
          <w:sz w:val="16"/>
          <w:szCs w:val="16"/>
        </w:rPr>
      </w:pPr>
      <w:r>
        <w:rPr>
          <w:sz w:val="16"/>
          <w:szCs w:val="16"/>
          <w:vertAlign w:val="superscript"/>
        </w:rPr>
        <w:t xml:space="preserve">5</w:t>
      </w:r>
      <w:r>
        <w:rPr>
          <w:sz w:val="16"/>
          <w:szCs w:val="16"/>
        </w:rPr>
        <w:t xml:space="preserve">Указываются методы: статистическая отчетность, социологический опрос, прочие (указать).</w:t>
      </w:r>
      <w:r>
        <w:rPr>
          <w:sz w:val="16"/>
          <w:szCs w:val="16"/>
        </w:rPr>
        <w:t xml:space="preserve">».</w:t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contextualSpacing/>
        <w:jc w:val="both"/>
        <w:spacing w:before="168"/>
        <w:rPr>
          <w:b/>
          <w:sz w:val="16"/>
          <w:szCs w:val="16"/>
          <w:highlight w:val="yellow"/>
        </w:rPr>
        <w:sectPr>
          <w:footnotePr/>
          <w:endnotePr/>
          <w:type w:val="nextPage"/>
          <w:pgSz w:w="16838" w:h="11906" w:orient="landscape"/>
          <w:pgMar w:top="1134" w:right="851" w:bottom="567" w:left="851" w:header="709" w:footer="709" w:gutter="0"/>
          <w:cols w:num="1" w:sep="0" w:space="708" w:equalWidth="1"/>
          <w:docGrid w:linePitch="360"/>
        </w:sectPr>
      </w:pPr>
      <w:r>
        <w:rPr>
          <w:b/>
          <w:sz w:val="16"/>
          <w:szCs w:val="16"/>
          <w:highlight w:val="yellow"/>
        </w:rPr>
      </w:r>
      <w:r>
        <w:rPr>
          <w:b/>
          <w:sz w:val="16"/>
          <w:szCs w:val="16"/>
          <w:highlight w:val="yellow"/>
        </w:rPr>
      </w:r>
      <w:r>
        <w:rPr>
          <w:b/>
          <w:sz w:val="16"/>
          <w:szCs w:val="16"/>
          <w:highlight w:val="yellow"/>
        </w:rPr>
      </w:r>
    </w:p>
    <w:p>
      <w:r/>
    </w:p>
    <w:sectPr>
      <w:footnotePr/>
      <w:endnotePr/>
      <w:type w:val="nextPage"/>
      <w:pgSz w:w="11906" w:h="16838" w:orient="portrait"/>
      <w:pgMar w:top="1135" w:right="567" w:bottom="851" w:left="156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strike w:val="0"/>
        <w:color w:val="auto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2164" w:hanging="1455"/>
      </w:pPr>
      <w:rPr>
        <w:rFonts w:hint="default"/>
      </w:rPr>
    </w:lvl>
    <w:lvl w:ilvl="2">
      <w:start w:val="2"/>
      <w:numFmt w:val="decimal"/>
      <w:isLgl/>
      <w:suff w:val="tab"/>
      <w:lvlText w:val="%1.%2.%3."/>
      <w:lvlJc w:val="left"/>
      <w:pPr>
        <w:ind w:left="2164" w:hanging="145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4" w:hanging="145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64" w:hanging="145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64" w:hanging="145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4" w:hanging="145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4" w:hanging="1455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69">
    <w:name w:val="Heading 1"/>
    <w:basedOn w:val="668"/>
    <w:next w:val="668"/>
    <w:link w:val="71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7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4">
    <w:name w:val="Heading 6"/>
    <w:basedOn w:val="668"/>
    <w:next w:val="668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5">
    <w:name w:val="Heading 7"/>
    <w:basedOn w:val="668"/>
    <w:next w:val="668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668"/>
    <w:next w:val="668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668"/>
    <w:next w:val="668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Heading 1 Char"/>
    <w:basedOn w:val="678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Heading 2 Char"/>
    <w:basedOn w:val="678"/>
    <w:uiPriority w:val="9"/>
    <w:rPr>
      <w:rFonts w:ascii="Arial" w:hAnsi="Arial" w:eastAsia="Arial" w:cs="Arial"/>
      <w:sz w:val="34"/>
    </w:rPr>
  </w:style>
  <w:style w:type="character" w:styleId="683" w:customStyle="1">
    <w:name w:val="Heading 3 Char"/>
    <w:basedOn w:val="678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Heading 4 Char"/>
    <w:basedOn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Heading 5 Char"/>
    <w:basedOn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Heading 6 Char"/>
    <w:basedOn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Heading 7 Char"/>
    <w:basedOn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Heading 8 Char"/>
    <w:basedOn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Heading 9 Char"/>
    <w:basedOn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90" w:customStyle="1">
    <w:name w:val="Title Char"/>
    <w:basedOn w:val="678"/>
    <w:uiPriority w:val="10"/>
    <w:rPr>
      <w:sz w:val="48"/>
      <w:szCs w:val="48"/>
    </w:rPr>
  </w:style>
  <w:style w:type="character" w:styleId="691" w:customStyle="1">
    <w:name w:val="Subtitle Char"/>
    <w:basedOn w:val="678"/>
    <w:uiPriority w:val="11"/>
    <w:rPr>
      <w:sz w:val="24"/>
      <w:szCs w:val="24"/>
    </w:rPr>
  </w:style>
  <w:style w:type="character" w:styleId="692" w:customStyle="1">
    <w:name w:val="Quote Char"/>
    <w:uiPriority w:val="29"/>
    <w:rPr>
      <w:i/>
    </w:rPr>
  </w:style>
  <w:style w:type="character" w:styleId="693" w:customStyle="1">
    <w:name w:val="Intense Quote Char"/>
    <w:uiPriority w:val="30"/>
    <w:rPr>
      <w:i/>
    </w:rPr>
  </w:style>
  <w:style w:type="character" w:styleId="694" w:customStyle="1">
    <w:name w:val="Caption Char"/>
    <w:uiPriority w:val="99"/>
  </w:style>
  <w:style w:type="table" w:styleId="695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4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5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6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9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2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3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4" w:customStyle="1">
    <w:name w:val="Footnote Text Char"/>
    <w:uiPriority w:val="99"/>
    <w:rPr>
      <w:sz w:val="18"/>
    </w:rPr>
  </w:style>
  <w:style w:type="character" w:styleId="715" w:customStyle="1">
    <w:name w:val="Endnote Text Char"/>
    <w:uiPriority w:val="99"/>
    <w:rPr>
      <w:sz w:val="20"/>
    </w:rPr>
  </w:style>
  <w:style w:type="character" w:styleId="716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717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718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719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720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721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722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724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No Spacing"/>
    <w:uiPriority w:val="1"/>
    <w:qFormat/>
    <w:pPr>
      <w:spacing w:after="0" w:line="240" w:lineRule="auto"/>
    </w:pPr>
  </w:style>
  <w:style w:type="paragraph" w:styleId="726">
    <w:name w:val="Title"/>
    <w:basedOn w:val="668"/>
    <w:next w:val="668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 w:customStyle="1">
    <w:name w:val="Заголовок Знак"/>
    <w:basedOn w:val="678"/>
    <w:link w:val="726"/>
    <w:uiPriority w:val="10"/>
    <w:rPr>
      <w:sz w:val="48"/>
      <w:szCs w:val="48"/>
    </w:rPr>
  </w:style>
  <w:style w:type="paragraph" w:styleId="728">
    <w:name w:val="Subtitle"/>
    <w:basedOn w:val="668"/>
    <w:next w:val="668"/>
    <w:link w:val="729"/>
    <w:uiPriority w:val="11"/>
    <w:qFormat/>
    <w:pPr>
      <w:spacing w:before="200" w:after="200"/>
    </w:pPr>
  </w:style>
  <w:style w:type="character" w:styleId="729" w:customStyle="1">
    <w:name w:val="Подзаголовок Знак"/>
    <w:basedOn w:val="678"/>
    <w:link w:val="728"/>
    <w:uiPriority w:val="11"/>
    <w:rPr>
      <w:sz w:val="24"/>
      <w:szCs w:val="24"/>
    </w:rPr>
  </w:style>
  <w:style w:type="paragraph" w:styleId="730">
    <w:name w:val="Quote"/>
    <w:basedOn w:val="668"/>
    <w:next w:val="668"/>
    <w:link w:val="731"/>
    <w:uiPriority w:val="29"/>
    <w:qFormat/>
    <w:pPr>
      <w:ind w:left="720" w:right="720"/>
    </w:pPr>
    <w:rPr>
      <w:i/>
    </w:rPr>
  </w:style>
  <w:style w:type="character" w:styleId="731" w:customStyle="1">
    <w:name w:val="Цитата 2 Знак"/>
    <w:link w:val="730"/>
    <w:uiPriority w:val="29"/>
    <w:rPr>
      <w:i/>
    </w:rPr>
  </w:style>
  <w:style w:type="paragraph" w:styleId="732">
    <w:name w:val="Intense Quote"/>
    <w:basedOn w:val="668"/>
    <w:next w:val="668"/>
    <w:link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 w:customStyle="1">
    <w:name w:val="Выделенная цитата Знак"/>
    <w:link w:val="732"/>
    <w:uiPriority w:val="30"/>
    <w:rPr>
      <w:i/>
    </w:rPr>
  </w:style>
  <w:style w:type="character" w:styleId="734" w:customStyle="1">
    <w:name w:val="Header Char"/>
    <w:basedOn w:val="678"/>
    <w:uiPriority w:val="99"/>
  </w:style>
  <w:style w:type="paragraph" w:styleId="735">
    <w:name w:val="Footer"/>
    <w:basedOn w:val="668"/>
    <w:link w:val="73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6" w:customStyle="1">
    <w:name w:val="Footer Char"/>
    <w:basedOn w:val="678"/>
    <w:uiPriority w:val="99"/>
  </w:style>
  <w:style w:type="paragraph" w:styleId="737">
    <w:name w:val="Caption"/>
    <w:basedOn w:val="668"/>
    <w:next w:val="6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 w:customStyle="1">
    <w:name w:val="Нижний колонтитул Знак"/>
    <w:link w:val="735"/>
    <w:uiPriority w:val="99"/>
  </w:style>
  <w:style w:type="table" w:styleId="739">
    <w:name w:val="Table Grid"/>
    <w:basedOn w:val="67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0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1" w:customStyle="1">
    <w:name w:val="Таблица простая 1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Таблица простая 21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3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Таблица простая 4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 простая 5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1 светл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-сетка 2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3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4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Таблица-сетка 5 тем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Таблица-сетка 6 цвет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Таблица-сетка 7 цвет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Список-таблица 1 светлая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Список-таблица 2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Список-таблица 3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Список-таблица 4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5 тем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Список-таблица 6 цвет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Список-таблица 7 цветная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5">
    <w:name w:val="footnote text"/>
    <w:basedOn w:val="668"/>
    <w:link w:val="866"/>
    <w:uiPriority w:val="99"/>
    <w:semiHidden/>
    <w:unhideWhenUsed/>
    <w:pPr>
      <w:spacing w:after="40"/>
    </w:pPr>
    <w:rPr>
      <w:sz w:val="18"/>
    </w:rPr>
  </w:style>
  <w:style w:type="character" w:styleId="866" w:customStyle="1">
    <w:name w:val="Текст сноски Знак"/>
    <w:link w:val="865"/>
    <w:uiPriority w:val="99"/>
    <w:rPr>
      <w:sz w:val="18"/>
    </w:rPr>
  </w:style>
  <w:style w:type="character" w:styleId="867">
    <w:name w:val="footnote reference"/>
    <w:basedOn w:val="678"/>
    <w:uiPriority w:val="99"/>
    <w:unhideWhenUsed/>
    <w:rPr>
      <w:vertAlign w:val="superscript"/>
    </w:rPr>
  </w:style>
  <w:style w:type="paragraph" w:styleId="868">
    <w:name w:val="endnote text"/>
    <w:basedOn w:val="668"/>
    <w:link w:val="869"/>
    <w:uiPriority w:val="99"/>
    <w:semiHidden/>
    <w:unhideWhenUsed/>
    <w:rPr>
      <w:sz w:val="20"/>
    </w:rPr>
  </w:style>
  <w:style w:type="character" w:styleId="869" w:customStyle="1">
    <w:name w:val="Текст концевой сноски Знак"/>
    <w:link w:val="868"/>
    <w:uiPriority w:val="99"/>
    <w:rPr>
      <w:sz w:val="20"/>
    </w:rPr>
  </w:style>
  <w:style w:type="character" w:styleId="870">
    <w:name w:val="endnote reference"/>
    <w:basedOn w:val="678"/>
    <w:uiPriority w:val="99"/>
    <w:semiHidden/>
    <w:unhideWhenUsed/>
    <w:rPr>
      <w:vertAlign w:val="superscript"/>
    </w:rPr>
  </w:style>
  <w:style w:type="paragraph" w:styleId="871">
    <w:name w:val="toc 1"/>
    <w:basedOn w:val="668"/>
    <w:next w:val="668"/>
    <w:uiPriority w:val="39"/>
    <w:unhideWhenUsed/>
    <w:pPr>
      <w:spacing w:after="57"/>
    </w:pPr>
  </w:style>
  <w:style w:type="paragraph" w:styleId="872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73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74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75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76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77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78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79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668"/>
    <w:next w:val="668"/>
    <w:uiPriority w:val="99"/>
    <w:unhideWhenUsed/>
  </w:style>
  <w:style w:type="paragraph" w:styleId="882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83">
    <w:name w:val="Body Text"/>
    <w:basedOn w:val="668"/>
    <w:link w:val="884"/>
    <w:pPr>
      <w:spacing w:after="120"/>
      <w:widowControl w:val="off"/>
    </w:pPr>
    <w:rPr>
      <w:sz w:val="20"/>
      <w:szCs w:val="20"/>
    </w:rPr>
  </w:style>
  <w:style w:type="character" w:styleId="884" w:customStyle="1">
    <w:name w:val="Основной текст Знак"/>
    <w:basedOn w:val="678"/>
    <w:link w:val="88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5">
    <w:name w:val="Header"/>
    <w:basedOn w:val="668"/>
    <w:link w:val="886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86" w:customStyle="1">
    <w:name w:val="Верхний колонтитул Знак"/>
    <w:basedOn w:val="678"/>
    <w:link w:val="88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87">
    <w:name w:val="Hyperlink"/>
    <w:basedOn w:val="678"/>
    <w:uiPriority w:val="99"/>
    <w:unhideWhenUsed/>
    <w:rPr>
      <w:color w:val="0000ff" w:themeColor="hyperlink"/>
      <w:u w:val="single"/>
    </w:rPr>
  </w:style>
  <w:style w:type="paragraph" w:styleId="888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89">
    <w:name w:val="Normal (Web)"/>
    <w:basedOn w:val="668"/>
    <w:uiPriority w:val="99"/>
    <w:unhideWhenUsed/>
    <w:pPr>
      <w:spacing w:before="100" w:beforeAutospacing="1" w:after="100" w:afterAutospacing="1"/>
    </w:pPr>
  </w:style>
  <w:style w:type="paragraph" w:styleId="890">
    <w:name w:val="Balloon Text"/>
    <w:basedOn w:val="668"/>
    <w:link w:val="891"/>
    <w:uiPriority w:val="99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Текст выноски Знак"/>
    <w:basedOn w:val="678"/>
    <w:link w:val="89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92">
    <w:name w:val="Placeholder Text"/>
    <w:basedOn w:val="678"/>
    <w:uiPriority w:val="99"/>
    <w:semiHidden/>
    <w:rPr>
      <w:color w:val="808080"/>
    </w:rPr>
  </w:style>
  <w:style w:type="paragraph" w:styleId="893">
    <w:name w:val="List Paragraph"/>
    <w:basedOn w:val="668"/>
    <w:link w:val="897"/>
    <w:uiPriority w:val="99"/>
    <w:qFormat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94">
    <w:name w:val="Strong"/>
    <w:basedOn w:val="678"/>
    <w:uiPriority w:val="22"/>
    <w:qFormat/>
    <w:rPr>
      <w:b/>
      <w:bCs/>
    </w:rPr>
  </w:style>
  <w:style w:type="paragraph" w:styleId="895">
    <w:name w:val="Body Text Indent 3"/>
    <w:basedOn w:val="668"/>
    <w:link w:val="896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896" w:customStyle="1">
    <w:name w:val="Основной текст с отступом 3 Знак"/>
    <w:basedOn w:val="678"/>
    <w:link w:val="895"/>
    <w:uiPriority w:val="99"/>
    <w:semiHidden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897" w:customStyle="1">
    <w:name w:val="Абзац списка Знак"/>
    <w:link w:val="89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77A8C-CEAB-4120-A694-E56E7D49A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30</cp:revision>
  <dcterms:created xsi:type="dcterms:W3CDTF">2025-11-12T13:01:00Z</dcterms:created>
  <dcterms:modified xsi:type="dcterms:W3CDTF">2026-05-13T08:10:00Z</dcterms:modified>
</cp:coreProperties>
</file>