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10.04.2026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№ 562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внесении изменений в план реализации муниципальной программы Печенгского муниципального округа «Обеспечение социальной стабильности» на 2026 - 2028 годы, утвержденный постановлением администрации Печенгского муниципального округа от 14.11.2025 № 1873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rPr>
          <w:color w:val="auto"/>
          <w:sz w:val="24"/>
          <w:szCs w:val="24"/>
        </w:rPr>
        <w:br/>
        <w:t xml:space="preserve">от 18.09.2025 № 1488, в соответствии с муниципальной программой Печенгского муни</w:t>
      </w:r>
      <w:r>
        <w:rPr>
          <w:color w:val="auto"/>
          <w:sz w:val="24"/>
          <w:szCs w:val="24"/>
        </w:rPr>
        <w:t xml:space="preserve">цип</w:t>
      </w:r>
      <w:r>
        <w:rPr>
          <w:color w:val="auto"/>
          <w:sz w:val="24"/>
          <w:szCs w:val="24"/>
        </w:rPr>
        <w:t xml:space="preserve">ального округа «Обеспечение социальной стабильности» на 2026 - 2028 годы», утвержденной постановлением администрации Печенгского муниципального округа </w:t>
        <w:br/>
        <w:t xml:space="preserve">от 12.11.2025 № 1835, в целях повышения эффективности и результативности расходования бюджетных средств,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right="-5"/>
        <w:jc w:val="both"/>
        <w:widowControl w:val="off"/>
        <w:tabs>
          <w:tab w:val="left" w:pos="7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План реализации муниципальной программы Печенгского муниципального округа «</w:t>
      </w:r>
      <w:r>
        <w:rPr>
          <w:color w:val="auto"/>
          <w:sz w:val="24"/>
          <w:szCs w:val="24"/>
        </w:rPr>
        <w:t xml:space="preserve">Обеспечение социальной стабильности</w:t>
      </w:r>
      <w:r>
        <w:rPr>
          <w:color w:val="auto"/>
          <w:sz w:val="24"/>
          <w:szCs w:val="24"/>
        </w:rPr>
        <w:t xml:space="preserve">» на 2026 - 2028 годы, утвержденный постановлением администрации Печенгского муниципального округа от 14.11.2025 № 1873</w:t>
      </w:r>
      <w:r>
        <w:rPr>
          <w:color w:val="auto"/>
          <w:sz w:val="24"/>
          <w:szCs w:val="24"/>
        </w:rPr>
        <w:t xml:space="preserve"> (в редакции постановления администрации Печенгского муниципального округа </w:t>
        <w:br/>
        <w:t xml:space="preserve">от 26.03.2026 № 426а)</w:t>
      </w:r>
      <w:r>
        <w:rPr>
          <w:color w:val="auto"/>
          <w:sz w:val="24"/>
          <w:szCs w:val="24"/>
        </w:rPr>
        <w:t xml:space="preserve">, изложить в редакции согласно приложению.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5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Настоящее постановление разместить на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spacing w:after="200" w:line="276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spacing w:after="200" w:line="276" w:lineRule="auto"/>
        <w:rPr>
          <w:highlight w:val="none"/>
        </w:rPr>
      </w:pPr>
      <w:r>
        <w:t xml:space="preserve">Рыжкова А.А., 25151</w:t>
      </w:r>
      <w:r>
        <w:rPr>
          <w:highlight w:val="none"/>
        </w:rPr>
      </w:r>
    </w:p>
    <w:p>
      <w:pPr>
        <w:spacing w:after="200" w:line="276" w:lineRule="auto"/>
        <w:sectPr>
          <w:footnotePr/>
          <w:endnotePr/>
          <w:type w:val="nextPage"/>
          <w:pgSz w:w="11906" w:h="16838" w:orient="portrait"/>
          <w:pgMar w:top="720" w:right="720" w:bottom="244" w:left="1701" w:header="709" w:footer="709" w:gutter="0"/>
          <w:rtlGutter/>
          <w:cols w:num="1" w:sep="0" w:space="709" w:equalWidth="1"/>
          <w:docGrid w:linePitch="360"/>
        </w:sectPr>
      </w:pPr>
      <w:r/>
      <w:r/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81"/>
        <w:gridCol w:w="2113"/>
        <w:gridCol w:w="1124"/>
        <w:gridCol w:w="719"/>
        <w:gridCol w:w="1417"/>
        <w:gridCol w:w="1418"/>
        <w:gridCol w:w="1417"/>
        <w:gridCol w:w="1418"/>
        <w:gridCol w:w="3685"/>
        <w:gridCol w:w="1560"/>
      </w:tblGrid>
      <w:tr>
        <w:tblPrEx/>
        <w:trPr>
          <w:trHeight w:val="57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452" w:type="dxa"/>
            <w:vAlign w:val="center"/>
            <w:textDirection w:val="lrTb"/>
            <w:noWrap w:val="false"/>
          </w:tcPr>
          <w:p>
            <w:pPr>
              <w:contextualSpacing/>
              <w:ind w:left="11339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                                                                                                                          к постановлению администрации                            </w:t>
            </w:r>
            <w:r>
              <w:rPr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Печенгского муниципального округа                                                                                                                          от 10.04.2026 № 562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11339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contextualSpacing/>
              <w:ind w:left="11339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Приложение                                                                                                                           к постановлению администрации 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Печенгского муниципального округа                                                                                                                          от 14.11.2025 № 1873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</w:r>
            <w:r>
              <w:rPr>
                <w:b/>
                <w:bCs/>
                <w:color w:val="auto"/>
                <w:sz w:val="26"/>
                <w:szCs w:val="26"/>
              </w:rPr>
            </w:r>
            <w:r>
              <w:rPr>
                <w:b/>
                <w:bCs/>
                <w:color w:val="auto"/>
                <w:sz w:val="26"/>
                <w:szCs w:val="26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реализации муниципальной программы Печенгского муниципального округа «Обеспечение социальной стабильности» 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 на 2026 - 2028 годы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п/п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8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Объемы и источники финансирования (рублей)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Связь комплексов процессных и(или)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7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По годам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«Обеспечение социальной стабильности»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tabs>
                <w:tab w:val="left" w:pos="0" w:leader="none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112</w:t>
            </w:r>
            <w:r>
              <w:rPr>
                <w:b/>
                <w:bCs/>
                <w:sz w:val="16"/>
                <w:szCs w:val="16"/>
              </w:rPr>
              <w:t xml:space="preserve"> </w:t>
            </w:r>
            <w:r>
              <w:rPr>
                <w:b/>
                <w:bCs/>
                <w:sz w:val="16"/>
                <w:szCs w:val="16"/>
              </w:rPr>
              <w:t xml:space="preserve">91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5 999</w:t>
            </w:r>
            <w:r>
              <w:rPr>
                <w:b/>
                <w:bCs/>
                <w:sz w:val="16"/>
                <w:szCs w:val="16"/>
              </w:rPr>
              <w:t xml:space="preserve">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38 868 000,00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36 970 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899</w:t>
            </w:r>
            <w:r>
              <w:rPr>
                <w:b/>
                <w:bCs/>
                <w:sz w:val="16"/>
                <w:szCs w:val="16"/>
              </w:rPr>
              <w:t xml:space="preserve">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37 077 100,00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ind w:right="-31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Управляющий делами администрации; сектор муниципальной службы и кадров; специалист по работе с населением; ОРН; отдел образования; отдел КСиМП; КУИ; ОС и ЖКХ</w:t>
            </w:r>
            <w:r>
              <w:rPr>
                <w:sz w:val="16"/>
                <w:szCs w:val="16"/>
              </w:rPr>
              <w:t xml:space="preserve">; МКУ «Управление по ОДА»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27 527 790,00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10 731 831,00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8 345 416,00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8 450 543,00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82 252 600,00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27 076 800,00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27 587 900,00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27 587 900,00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4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40 9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09</w:t>
            </w:r>
            <w:r>
              <w:rPr>
                <w:b/>
                <w:bCs/>
                <w:sz w:val="16"/>
                <w:szCs w:val="16"/>
              </w:rPr>
              <w:t xml:space="preserve">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14 869,00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12 48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3</w:t>
            </w:r>
            <w:r>
              <w:rPr>
                <w:b/>
                <w:bCs/>
                <w:sz w:val="16"/>
                <w:szCs w:val="16"/>
              </w:rPr>
              <w:t xml:space="preserve">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13 557,00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ВБС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3 094 700,00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1 044 500,00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1 025 100,00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1 025 100,00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«Создание условий для </w:t>
            </w:r>
            <w:r>
              <w:rPr>
                <w:sz w:val="18"/>
                <w:szCs w:val="18"/>
              </w:rPr>
              <w:t xml:space="preserve">роста благосостояния граждан – получателей мер социальной поддержки»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101 229 599,00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34 835 373,00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33 197 113,00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33 197 113,00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0.1. 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color w:val="auto"/>
                <w:sz w:val="16"/>
                <w:szCs w:val="16"/>
              </w:rPr>
              <w:br/>
              <w:t xml:space="preserve">0.2. Доля муниципальных служащих </w:t>
            </w:r>
            <w:r>
              <w:rPr>
                <w:color w:val="auto"/>
                <w:sz w:val="16"/>
                <w:szCs w:val="16"/>
              </w:rPr>
              <w:t xml:space="preserve">своевременно получающих пенсию за выслугу лет от общей численности муниципальных служащих, которым назначена пенсия за выслугу лет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0.3. Доля почетных граждан г. Заполярный, граждан, награжденных почетным </w:t>
            </w:r>
            <w:r>
              <w:rPr>
                <w:color w:val="auto"/>
                <w:sz w:val="16"/>
                <w:szCs w:val="16"/>
              </w:rPr>
              <w:t xml:space="preserve">знаком «За заслуги перед Печенгским округом», граждан, которым присвоено почетное звание «Почетный гражданин «Печенгского муниципального округа», своевременно получивших социальную поддержку от общего числа граждан, которым присвоены такие звания       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0.4. Выполнение обязательств, связанных с захоронением погибших в ходе специальной военной операции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Управляющий делами администрации;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сектор </w:t>
            </w:r>
            <w:r>
              <w:rPr>
                <w:sz w:val="16"/>
                <w:szCs w:val="16"/>
              </w:rPr>
              <w:t xml:space="preserve">муниципальной службы и кадров; специалист по работе с населением;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ОРН;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КСиМП</w:t>
            </w:r>
            <w:r>
              <w:rPr>
                <w:sz w:val="16"/>
                <w:szCs w:val="16"/>
              </w:rPr>
              <w:t xml:space="preserve">; МКУ «Управление по ОДА»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22 006 999,00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8 768 573,00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6 619 213,00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6 619 213,00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79 222 600,00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26 066 800,00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26 577 900,00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26 577 900,00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40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«Выплата пенсий за выслугу лет муниципальным служащим и лицам, замещавшим муниципальные должности в органах местного самоуправления»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20 647 600,00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7 600 000,00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6 523 800,00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6 523 800,00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Ведение реестра муниципальных должностей. Расчет, назначение и выплата пенсии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сектор муниципальной службы и кадров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20 647 6</w:t>
            </w:r>
            <w:r>
              <w:rPr>
                <w:sz w:val="16"/>
                <w:szCs w:val="16"/>
              </w:rPr>
              <w:t xml:space="preserve">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7 600 000,00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6 523 800,00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6 523 800,00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18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9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none" w:color="000000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>
          <w:trHeight w:val="28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72 546 900,00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23 870 300,00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24 338 300,00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24 338 300,00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Расчет, назначение и выплата компенсации расходов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отдел образования, отдел КСиМП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72 546 900,00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23 870 300,00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24 338 300,00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24 338 300,00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Мероприятие «Выплата денежного вознаграждения гражданам, удостоенных звания «Почетный гражданин города Заполярный», «Почетный гражданин Печенгского муниципального округа», награждаемых  почетным знаком «За </w:t>
            </w:r>
            <w:r>
              <w:rPr>
                <w:color w:val="auto"/>
                <w:sz w:val="18"/>
                <w:szCs w:val="18"/>
              </w:rPr>
              <w:t xml:space="preserve">заслуги перед Печенгским округом»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286 239,00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95 413,00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95 413,00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Назначение и выплата вознаграждения гражданам, удостоенных звания «Почетный гражданин города Заполярный», «Почетный гражданин Печенгского муниципального округа», награждаемых почетным знаком «За заслуги перед Печенгским округом»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ОРН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286 239,00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95 413,00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95 413,00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95 413,00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9"/>
                <w:szCs w:val="19"/>
              </w:rPr>
            </w:pP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  <w:r>
              <w:rPr>
                <w:color w:val="auto"/>
                <w:sz w:val="19"/>
                <w:szCs w:val="19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«Исполнение государственных полномочий по предоставлению и организации выплаты вознаграждения опекунам совершеннолетних недееспособных граждан»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6 675 700,00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2 196 500,00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2 239 600,00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2 239 600,00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Рассмотрение документов, назначение, заключение договора выплаты вознаграждения опекунам совершеннолетних недееспособных граждан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специалист по работе с населением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8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6 675 700,00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2 196 500,00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2 239 600,00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2 239 600,00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4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«Проведение мероприятий, связанных с захоронением погибших в ходе специальной военной операции»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1 073 160,00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1 073 160,00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обязательств, связанных с захоронением погибших в ходе специальной военной операции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Управляющий делами администрации</w:t>
            </w:r>
            <w:r>
              <w:rPr>
                <w:color w:val="auto"/>
                <w:sz w:val="18"/>
                <w:szCs w:val="18"/>
              </w:rPr>
              <w:t xml:space="preserve">, МКУ «Управление по ОДА»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1 073 160,00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1 073 160,00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«Создание условий для эффективной интеграции инвалидов в общество»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1 470 </w:t>
            </w:r>
            <w:r>
              <w:rPr>
                <w:b/>
                <w:bCs/>
                <w:sz w:val="16"/>
                <w:szCs w:val="16"/>
              </w:rPr>
              <w:t xml:space="preserve">58</w:t>
            </w:r>
            <w:r>
              <w:rPr>
                <w:b/>
                <w:bCs/>
                <w:sz w:val="16"/>
                <w:szCs w:val="16"/>
              </w:rPr>
              <w:t xml:space="preserve">1,00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        491 20</w:t>
            </w:r>
            <w:r>
              <w:rPr>
                <w:b/>
                <w:bCs/>
                <w:sz w:val="16"/>
                <w:szCs w:val="16"/>
              </w:rPr>
              <w:t xml:space="preserve">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490 187,00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489 187,00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Доля приоритетных объектов социальной и</w:t>
            </w:r>
            <w:r>
              <w:rPr>
                <w:sz w:val="16"/>
                <w:szCs w:val="16"/>
              </w:rPr>
              <w:t xml:space="preserve">нфраструктуры (далее - ОСИ)  Печенгского муниципального округа занесенных в электронный реестр ОСИ Мурманской области, а также размещенных на электронной карте доступности интернет портала "Жить вместе" государственной программы Российской федерации "Досту</w:t>
            </w:r>
            <w:r>
              <w:rPr>
                <w:sz w:val="16"/>
                <w:szCs w:val="16"/>
              </w:rPr>
              <w:t xml:space="preserve">пная среда"                                                                            0.6. Доля исполненных обоснованных заявлений (обращений) по обеспечению доступности в МКД, в которых проживают инвалиды от общего числа поступивших заявлений (обращений)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ОРН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</w:tr>
      <w:tr>
        <w:tblPrEx/>
        <w:trPr>
          <w:trHeight w:val="1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1 470 58</w:t>
            </w:r>
            <w:r>
              <w:rPr>
                <w:sz w:val="16"/>
                <w:szCs w:val="16"/>
              </w:rPr>
              <w:t xml:space="preserve">1,00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491 20</w:t>
            </w:r>
            <w:r>
              <w:rPr>
                <w:sz w:val="16"/>
                <w:szCs w:val="16"/>
              </w:rPr>
              <w:t xml:space="preserve">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490 187,00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489 187,00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1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Мероприятие «Обеспечение доступности в многоквартирных домах»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2026 - 2028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1 470 58</w:t>
            </w:r>
            <w:r>
              <w:rPr>
                <w:b/>
                <w:bCs/>
                <w:color w:val="auto"/>
                <w:sz w:val="16"/>
                <w:szCs w:val="16"/>
              </w:rPr>
              <w:t xml:space="preserve">1,00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 491 20</w:t>
            </w:r>
            <w:r>
              <w:rPr>
                <w:b/>
                <w:bCs/>
                <w:color w:val="auto"/>
                <w:sz w:val="16"/>
                <w:szCs w:val="16"/>
              </w:rPr>
              <w:t xml:space="preserve">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 490 187,00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         489 187,00   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мероприятий по обеспечению доступности в многоквартирных домах (установка поручней, пандусов и т.д.)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ОРН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МБ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</w:t>
            </w:r>
            <w:r>
              <w:rPr>
                <w:color w:val="auto"/>
                <w:sz w:val="16"/>
                <w:szCs w:val="16"/>
              </w:rPr>
              <w:t xml:space="preserve">       1 470 58</w:t>
            </w:r>
            <w:r>
              <w:rPr>
                <w:color w:val="auto"/>
                <w:sz w:val="16"/>
                <w:szCs w:val="16"/>
              </w:rPr>
              <w:t xml:space="preserve">1,00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 491 20</w:t>
            </w:r>
            <w:r>
              <w:rPr>
                <w:color w:val="auto"/>
                <w:sz w:val="16"/>
                <w:szCs w:val="16"/>
              </w:rPr>
              <w:t xml:space="preserve">7,00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 490 187,00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         489 187,00  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ОБ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ФБ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ВБС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«Участие в создании на территории Печенгского муниципального округа инвалидам и маломобильным группам населения условий для беспрепятственного доступа к объектам </w:t>
            </w:r>
            <w:r>
              <w:rPr>
                <w:sz w:val="18"/>
                <w:szCs w:val="18"/>
              </w:rPr>
              <w:t xml:space="preserve">социальной инфраструктуры, </w:t>
            </w:r>
            <w:r>
              <w:rPr>
                <w:sz w:val="18"/>
                <w:szCs w:val="18"/>
              </w:rPr>
              <w:t xml:space="preserve">а также для беспрепятственного пользования средствами связи, информации, транспорта, размещение информации на интернет-портале «Учимся жить вместе», государственной программы «Доступная среда» по паспортам доступности ОСИ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информации на Интернет-портале «Учимся жить вместе» Государственной программы «Доступная среда» по паспортам доступности ОСИ Печенгского муниципального округа»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ОРН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ВБС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«Создание условий для социальной помощи семьям»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10 215 8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19</w:t>
            </w:r>
            <w:r>
              <w:rPr>
                <w:b/>
                <w:bCs/>
                <w:sz w:val="16"/>
                <w:szCs w:val="16"/>
              </w:rPr>
              <w:t xml:space="preserve">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3 541 42</w:t>
            </w:r>
            <w:r>
              <w:rPr>
                <w:b/>
                <w:bCs/>
                <w:sz w:val="16"/>
                <w:szCs w:val="16"/>
              </w:rPr>
              <w:t xml:space="preserve">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3 283 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599</w:t>
            </w:r>
            <w:r>
              <w:rPr>
                <w:b/>
                <w:bCs/>
                <w:sz w:val="16"/>
                <w:szCs w:val="16"/>
              </w:rPr>
              <w:t xml:space="preserve">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3 390 800,00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0.7. Число семей участников Государственной программы получивших социальную выплату на приобретение (строительство) жилья от общего числа семей, обратившихся за получением меры социальной поддержки.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ОС и ЖКХ;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КУИ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 xml:space="preserve">    4 050 21</w:t>
            </w:r>
            <w:r>
              <w:rPr>
                <w:sz w:val="16"/>
                <w:szCs w:val="16"/>
              </w:rPr>
              <w:t xml:space="preserve">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1 472 05</w:t>
            </w:r>
            <w:r>
              <w:rPr>
                <w:sz w:val="16"/>
                <w:szCs w:val="16"/>
              </w:rPr>
              <w:t xml:space="preserve">1,00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1 236 016,00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1 342 143,00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3 030 000,00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40 9</w:t>
            </w:r>
            <w:r>
              <w:rPr>
                <w:sz w:val="16"/>
                <w:szCs w:val="16"/>
                <w:lang w:val="en-US"/>
              </w:rPr>
              <w:t xml:space="preserve">09</w:t>
            </w:r>
            <w:r>
              <w:rPr>
                <w:sz w:val="16"/>
                <w:szCs w:val="16"/>
              </w:rPr>
              <w:t xml:space="preserve">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14 869,00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12 48</w:t>
            </w:r>
            <w:r>
              <w:rPr>
                <w:sz w:val="16"/>
                <w:szCs w:val="16"/>
                <w:lang w:val="en-US"/>
              </w:rPr>
              <w:t xml:space="preserve">3</w:t>
            </w:r>
            <w:r>
              <w:rPr>
                <w:sz w:val="16"/>
                <w:szCs w:val="16"/>
              </w:rPr>
              <w:t xml:space="preserve">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13 557,00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3 094 700,00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1 044 500,00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«Предоставление социальных выплат молодым семьям»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2026-2027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7 185 8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19</w:t>
            </w:r>
            <w:r>
              <w:rPr>
                <w:b/>
                <w:bCs/>
                <w:sz w:val="16"/>
                <w:szCs w:val="16"/>
              </w:rPr>
              <w:t xml:space="preserve">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2 531 42</w:t>
            </w:r>
            <w:r>
              <w:rPr>
                <w:b/>
                <w:bCs/>
                <w:sz w:val="16"/>
                <w:szCs w:val="16"/>
              </w:rPr>
              <w:t xml:space="preserve">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2 273 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599</w:t>
            </w:r>
            <w:r>
              <w:rPr>
                <w:b/>
                <w:bCs/>
                <w:sz w:val="16"/>
                <w:szCs w:val="16"/>
              </w:rPr>
              <w:t xml:space="preserve">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2 380 800,00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рассмотрения предоставленных документов, расчёт, назначение, обеспечение выплат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 и ЖКХ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4 050 21</w:t>
            </w:r>
            <w:r>
              <w:rPr>
                <w:sz w:val="16"/>
                <w:szCs w:val="16"/>
              </w:rPr>
              <w:t xml:space="preserve">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1 472 05</w:t>
            </w:r>
            <w:r>
              <w:rPr>
                <w:sz w:val="16"/>
                <w:szCs w:val="16"/>
              </w:rPr>
              <w:t xml:space="preserve">1,00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1 236 016,00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1 342 143,00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40 9</w:t>
            </w:r>
            <w:r>
              <w:rPr>
                <w:sz w:val="16"/>
                <w:szCs w:val="16"/>
                <w:lang w:val="en-US"/>
              </w:rPr>
              <w:t xml:space="preserve">09</w:t>
            </w:r>
            <w:r>
              <w:rPr>
                <w:sz w:val="16"/>
                <w:szCs w:val="16"/>
              </w:rPr>
              <w:t xml:space="preserve">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14 869,00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12 483</w:t>
            </w:r>
            <w:bookmarkStart w:id="0" w:name="_GoBack"/>
            <w:r/>
            <w:bookmarkEnd w:id="0"/>
            <w:r>
              <w:rPr>
                <w:sz w:val="16"/>
                <w:szCs w:val="16"/>
              </w:rPr>
              <w:t xml:space="preserve">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13 557,00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3 094 700,00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1 044 500,00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1 025 100,00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«Предоставление единовременной денежной выплаты многодетным семьям на улучшение жилищных условий»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3 030 000,00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1 010 000,00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1 010 000,00   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рассмотрения предоставленных документов, своевременное направление на единовременные выплаты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3 030 000,00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1 010 000,00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3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8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19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bottom"/>
            <w:textDirection w:val="lrTb"/>
            <w:noWrap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ind w:left="5529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spacing w:line="276" w:lineRule="auto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Управляющий делами администрации – Администрация Печенгского муниципального округа (Управляющий делами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Печенгского муниципального округа (Специалист по работе с населением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КСиМП – Отдел культуры, спорта и молодежной политики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ОС и ЖКХ – Администрация Печенгского муниципального округа (Отдел строительства и жилищно-коммунального хозяйства администрации Печ</w:t>
      </w:r>
      <w:r>
        <w:rPr>
          <w:color w:val="auto"/>
          <w:sz w:val="18"/>
          <w:szCs w:val="18"/>
        </w:rPr>
        <w:t xml:space="preserve">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МКУ «Управление по ОДА» - муниципальное казенное учреждение «Управление по обеспечению работы администрации</w:t>
      </w:r>
      <w:r>
        <w:rPr>
          <w:color w:val="auto"/>
          <w:sz w:val="18"/>
          <w:szCs w:val="18"/>
        </w:rPr>
        <w:t xml:space="preserve"> Печенгского округа</w:t>
      </w:r>
      <w:r>
        <w:rPr>
          <w:color w:val="auto"/>
          <w:sz w:val="18"/>
          <w:szCs w:val="18"/>
        </w:rPr>
        <w:t xml:space="preserve">».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bCs/>
          <w:sz w:val="16"/>
          <w:szCs w:val="16"/>
        </w:rPr>
      </w:pPr>
      <w:r>
        <w:rPr>
          <w:color w:val="auto"/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color w:val="auto"/>
          <w:sz w:val="18"/>
          <w:szCs w:val="18"/>
        </w:rPr>
        <w:t xml:space="preserve">».</w:t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both"/>
        <w:tabs>
          <w:tab w:val="left" w:pos="927" w:leader="none"/>
        </w:tabs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709" w:right="536" w:bottom="567" w:left="1135" w:header="709" w:footer="709" w:gutter="0"/>
          <w:rtlGutter/>
          <w:cols w:num="1" w:sep="0" w:space="709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0"/>
  </w:num>
  <w:num w:numId="5">
    <w:abstractNumId w:val="10"/>
  </w:num>
  <w:num w:numId="6">
    <w:abstractNumId w:val="6"/>
  </w:num>
  <w:num w:numId="7">
    <w:abstractNumId w:val="9"/>
  </w:num>
  <w:num w:numId="8">
    <w:abstractNumId w:val="7"/>
  </w:num>
  <w:num w:numId="9">
    <w:abstractNumId w:val="3"/>
  </w:num>
  <w:num w:numId="10">
    <w:abstractNumId w:val="4"/>
  </w:num>
  <w:num w:numId="11">
    <w:abstractNumId w:val="13"/>
  </w:num>
  <w:num w:numId="12">
    <w:abstractNumId w:val="11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3">
    <w:name w:val="Heading 1"/>
    <w:basedOn w:val="682"/>
    <w:next w:val="682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717"/>
    <w:qFormat/>
    <w:pPr>
      <w:ind w:firstLine="709"/>
      <w:keepNext/>
      <w:outlineLvl w:val="3"/>
    </w:pPr>
    <w:rPr>
      <w:sz w:val="28"/>
    </w:rPr>
  </w:style>
  <w:style w:type="paragraph" w:styleId="687">
    <w:name w:val="Heading 5"/>
    <w:basedOn w:val="682"/>
    <w:next w:val="682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table" w:styleId="695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5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7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2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3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4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692"/>
    <w:link w:val="68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18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725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692"/>
    <w:uiPriority w:val="10"/>
    <w:rPr>
      <w:sz w:val="48"/>
      <w:szCs w:val="48"/>
    </w:rPr>
  </w:style>
  <w:style w:type="character" w:styleId="732" w:customStyle="1">
    <w:name w:val="Subtitle Char"/>
    <w:basedOn w:val="692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82"/>
    <w:next w:val="682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Заголовок Знак"/>
    <w:basedOn w:val="692"/>
    <w:link w:val="737"/>
    <w:uiPriority w:val="10"/>
    <w:rPr>
      <w:sz w:val="48"/>
      <w:szCs w:val="48"/>
    </w:rPr>
  </w:style>
  <w:style w:type="paragraph" w:styleId="739">
    <w:name w:val="Subtitle"/>
    <w:basedOn w:val="682"/>
    <w:next w:val="682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692"/>
    <w:link w:val="739"/>
    <w:uiPriority w:val="11"/>
    <w:rPr>
      <w:sz w:val="24"/>
      <w:szCs w:val="24"/>
    </w:rPr>
  </w:style>
  <w:style w:type="paragraph" w:styleId="741">
    <w:name w:val="Quote"/>
    <w:basedOn w:val="682"/>
    <w:next w:val="682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82"/>
    <w:next w:val="682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692"/>
    <w:uiPriority w:val="99"/>
  </w:style>
  <w:style w:type="character" w:styleId="746" w:customStyle="1">
    <w:name w:val="Footer Char"/>
    <w:basedOn w:val="692"/>
    <w:uiPriority w:val="99"/>
  </w:style>
  <w:style w:type="paragraph" w:styleId="747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>
    <w:name w:val="toc 1"/>
    <w:basedOn w:val="682"/>
    <w:next w:val="682"/>
    <w:uiPriority w:val="39"/>
    <w:unhideWhenUsed/>
    <w:pPr>
      <w:spacing w:after="57"/>
    </w:pPr>
  </w:style>
  <w:style w:type="paragraph" w:styleId="878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79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80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81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82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83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84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85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682"/>
    <w:next w:val="682"/>
    <w:uiPriority w:val="99"/>
    <w:unhideWhenUsed/>
  </w:style>
  <w:style w:type="paragraph" w:styleId="888">
    <w:name w:val="Body Text 2"/>
    <w:basedOn w:val="682"/>
    <w:link w:val="88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9" w:customStyle="1">
    <w:name w:val="Основной текст 2 Знак"/>
    <w:basedOn w:val="692"/>
    <w:link w:val="88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90">
    <w:name w:val="Balloon Text"/>
    <w:basedOn w:val="682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692"/>
    <w:link w:val="89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2">
    <w:name w:val="List Paragraph"/>
    <w:basedOn w:val="682"/>
    <w:uiPriority w:val="1"/>
    <w:qFormat/>
    <w:pPr>
      <w:contextualSpacing/>
      <w:ind w:left="720"/>
    </w:pPr>
  </w:style>
  <w:style w:type="paragraph" w:styleId="893">
    <w:name w:val="Header"/>
    <w:basedOn w:val="682"/>
    <w:link w:val="89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4" w:customStyle="1">
    <w:name w:val="Верхний колонтитул Знак"/>
    <w:basedOn w:val="692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Footer"/>
    <w:basedOn w:val="682"/>
    <w:link w:val="89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6" w:customStyle="1">
    <w:name w:val="Нижний колонтитул Знак"/>
    <w:basedOn w:val="692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footnote text"/>
    <w:basedOn w:val="682"/>
    <w:link w:val="898"/>
    <w:uiPriority w:val="99"/>
    <w:semiHidden/>
    <w:rPr>
      <w:color w:val="auto"/>
    </w:rPr>
  </w:style>
  <w:style w:type="character" w:styleId="898" w:customStyle="1">
    <w:name w:val="Текст сноски Знак"/>
    <w:basedOn w:val="692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footnote reference"/>
    <w:basedOn w:val="692"/>
    <w:uiPriority w:val="99"/>
    <w:semiHidden/>
    <w:rPr>
      <w:rFonts w:cs="Times New Roman"/>
      <w:vertAlign w:val="superscript"/>
    </w:rPr>
  </w:style>
  <w:style w:type="paragraph" w:styleId="900">
    <w:name w:val="endnote text"/>
    <w:basedOn w:val="682"/>
    <w:link w:val="901"/>
    <w:uiPriority w:val="99"/>
    <w:semiHidden/>
    <w:rPr>
      <w:color w:val="auto"/>
    </w:rPr>
  </w:style>
  <w:style w:type="character" w:styleId="901" w:customStyle="1">
    <w:name w:val="Текст концевой сноски Знак"/>
    <w:basedOn w:val="692"/>
    <w:link w:val="90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endnote reference"/>
    <w:basedOn w:val="692"/>
    <w:uiPriority w:val="99"/>
    <w:semiHidden/>
    <w:rPr>
      <w:rFonts w:cs="Times New Roman"/>
      <w:vertAlign w:val="superscript"/>
    </w:rPr>
  </w:style>
  <w:style w:type="paragraph" w:styleId="90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5" w:customStyle="1">
    <w:name w:val="Сетка таблицы1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Table Grid"/>
    <w:basedOn w:val="69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2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fontstyle01"/>
    <w:basedOn w:val="692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1" w:customStyle="1">
    <w:name w:val="Table Paragraph"/>
    <w:basedOn w:val="682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2" w:customStyle="1">
    <w:name w:val="Прижатый влево"/>
    <w:basedOn w:val="682"/>
    <w:next w:val="682"/>
    <w:rPr>
      <w:rFonts w:ascii="Arial" w:hAnsi="Arial" w:cs="Arial"/>
      <w:color w:val="auto"/>
      <w:lang w:eastAsia="zh-CN"/>
    </w:rPr>
  </w:style>
  <w:style w:type="table" w:styleId="91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4">
    <w:name w:val="Body Text"/>
    <w:basedOn w:val="682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692"/>
    <w:link w:val="91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84F4E-B6EA-45C8-8BEF-68D8C533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30</cp:revision>
  <dcterms:created xsi:type="dcterms:W3CDTF">2025-11-19T14:04:00Z</dcterms:created>
  <dcterms:modified xsi:type="dcterms:W3CDTF">2026-05-13T08:11:30Z</dcterms:modified>
</cp:coreProperties>
</file>