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both"/>
        <w:widowControl w:val="o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44"/>
          <w:szCs w:val="44"/>
        </w:rPr>
      </w:pPr>
      <w:r/>
      <w:bookmarkStart w:id="0" w:name="_Toc309838580"/>
      <w:r/>
      <w:bookmarkStart w:id="1" w:name="_Toc309838695"/>
      <w:r/>
      <w:bookmarkStart w:id="2" w:name="_Toc309840202"/>
      <w:r/>
      <w:bookmarkStart w:id="3" w:name="_Toc309844298"/>
      <w:r/>
      <w:bookmarkStart w:id="4" w:name="_Toc309846980"/>
      <w:r>
        <w:rPr>
          <w:b/>
          <w:sz w:val="44"/>
          <w:szCs w:val="44"/>
        </w:rPr>
        <w:t xml:space="preserve">ПОСТАНОВЛЕНИЕ</w:t>
      </w:r>
      <w:bookmarkEnd w:id="0"/>
      <w:r/>
      <w:bookmarkEnd w:id="1"/>
      <w:r/>
      <w:bookmarkEnd w:id="2"/>
      <w:r/>
      <w:bookmarkEnd w:id="3"/>
      <w:r/>
      <w:bookmarkEnd w:id="4"/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29.04.2026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№ 662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04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>
        <w:rPr>
          <w:b/>
          <w:bCs/>
          <w:sz w:val="20"/>
          <w:szCs w:val="20"/>
        </w:rPr>
        <w:t xml:space="preserve">Положение по оплате труда руководителей муниципальных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1004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бюджетных учреждений, подведомственных отделу образования администрации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1004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Печенгского муниципального округа, </w:t>
      </w:r>
      <w:r>
        <w:rPr>
          <w:b/>
          <w:bCs/>
          <w:sz w:val="20"/>
          <w:szCs w:val="20"/>
        </w:rPr>
        <w:t xml:space="preserve">утвержденное</w:t>
      </w:r>
      <w:r>
        <w:rPr>
          <w:b/>
          <w:bCs/>
          <w:sz w:val="20"/>
          <w:szCs w:val="20"/>
        </w:rPr>
        <w:t xml:space="preserve"> постановлением администрации Печенгского муниципального округа от 10.07.2024 № 1129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540"/>
        <w:jc w:val="both"/>
      </w:pPr>
      <w:r/>
      <w:r/>
    </w:p>
    <w:p>
      <w:pPr>
        <w:ind w:firstLine="709"/>
        <w:jc w:val="both"/>
      </w:pPr>
      <w:r/>
      <w:r/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целях повышения эффективности деятельности руководителей муниципальных бюджетных учреждений, подведомственных отделу образования администрации Печенгского муниципального округа,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04"/>
        <w:ind w:firstLine="70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1004"/>
        <w:ind w:firstLine="709"/>
        <w:jc w:val="both"/>
        <w:rPr>
          <w:bCs/>
        </w:rPr>
      </w:pPr>
      <w:r>
        <w:t xml:space="preserve">1. </w:t>
      </w:r>
      <w:r>
        <w:t xml:space="preserve">Внести в положение по оплате труда руководителей </w:t>
      </w:r>
      <w:r>
        <w:rPr>
          <w:bCs/>
        </w:rPr>
        <w:t xml:space="preserve">м</w:t>
      </w:r>
      <w:r>
        <w:rPr>
          <w:bCs/>
        </w:rPr>
        <w:t xml:space="preserve">униципальных бюджетных учреждений, подведомственных отделу образования администрации Печенгского муниципального округа, утвержденное постановлением администрации Печенгского муниципального округа от 10.07.2024 № 1129 (в редакции постановления администрации</w:t>
      </w:r>
      <w:r>
        <w:rPr>
          <w:bCs/>
        </w:rPr>
        <w:t xml:space="preserve"> Печенгского муниципального округа от 04.09.2024 № 1349, от 24.06.2025 № 1060, </w:t>
      </w:r>
      <w:r>
        <w:rPr>
          <w:bCs/>
        </w:rPr>
        <w:br/>
        <w:t xml:space="preserve">от 30.09.2025 № 1567</w:t>
      </w:r>
      <w:r>
        <w:rPr>
          <w:bCs/>
        </w:rPr>
        <w:t xml:space="preserve">, </w:t>
      </w:r>
      <w:r>
        <w:rPr>
          <w:bCs/>
        </w:rPr>
        <w:t xml:space="preserve">от 30.12.2025 № 2264, </w:t>
      </w:r>
      <w:r>
        <w:rPr>
          <w:bCs/>
        </w:rPr>
        <w:t xml:space="preserve">от 22.01.2026 № 100</w:t>
      </w:r>
      <w:r>
        <w:t xml:space="preserve">)</w:t>
      </w:r>
      <w:r>
        <w:rPr>
          <w:bCs/>
        </w:rPr>
        <w:t xml:space="preserve"> (далее – Положение) следующие изменения:</w:t>
      </w:r>
      <w:r>
        <w:rPr>
          <w:bCs/>
        </w:rPr>
      </w:r>
      <w:r>
        <w:rPr>
          <w:bCs/>
        </w:rPr>
      </w:r>
    </w:p>
    <w:p>
      <w:pPr>
        <w:pStyle w:val="1004"/>
        <w:ind w:firstLine="709"/>
        <w:jc w:val="both"/>
      </w:pPr>
      <w:r>
        <w:rPr>
          <w:bCs/>
        </w:rPr>
        <w:t xml:space="preserve">- </w:t>
      </w:r>
      <w:r>
        <w:t xml:space="preserve">Приложение № </w:t>
      </w:r>
      <w:r>
        <w:t xml:space="preserve">1 к Положению</w:t>
      </w:r>
      <w:r>
        <w:t xml:space="preserve"> изложить в следующей редакции</w:t>
      </w:r>
      <w:r>
        <w:t xml:space="preserve">, согласно Приложению</w:t>
      </w:r>
      <w:r>
        <w:t xml:space="preserve"> №</w:t>
      </w:r>
      <w:r>
        <w:t xml:space="preserve"> 1 к настоящему постановлению;</w:t>
      </w:r>
      <w:r/>
    </w:p>
    <w:p>
      <w:pPr>
        <w:pStyle w:val="1004"/>
        <w:ind w:firstLine="709"/>
        <w:jc w:val="both"/>
      </w:pPr>
      <w:r>
        <w:t xml:space="preserve">- Приложение № </w:t>
      </w:r>
      <w:r>
        <w:t xml:space="preserve">2 Положению изложить в следующей редакции, согласно Приложению </w:t>
      </w:r>
      <w:r>
        <w:t xml:space="preserve">№ </w:t>
      </w:r>
      <w:r>
        <w:t xml:space="preserve">2 к настоящему постановлению;</w:t>
      </w:r>
      <w:r/>
    </w:p>
    <w:p>
      <w:pPr>
        <w:pStyle w:val="1004"/>
        <w:ind w:firstLine="709"/>
        <w:jc w:val="both"/>
      </w:pPr>
      <w:r>
        <w:t xml:space="preserve">- Приложение</w:t>
      </w:r>
      <w:r>
        <w:t xml:space="preserve"> № </w:t>
      </w:r>
      <w:r>
        <w:t xml:space="preserve">3 Положению изложить в следующей редакции, согласно Приложению </w:t>
      </w:r>
      <w:r>
        <w:t xml:space="preserve">№ </w:t>
      </w:r>
      <w:r>
        <w:t xml:space="preserve">3 к настоящему постановлению.</w:t>
      </w:r>
      <w:r/>
    </w:p>
    <w:p>
      <w:pPr>
        <w:ind w:firstLine="709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rFonts w:eastAsiaTheme="minorHAnsi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sz w:val="24"/>
          <w:szCs w:val="24"/>
          <w:lang w:eastAsia="en-US"/>
        </w:rPr>
        <w:t xml:space="preserve">и распространяется на правоотношения, возникшие с 01.0</w:t>
      </w:r>
      <w:r>
        <w:rPr>
          <w:rFonts w:eastAsiaTheme="minorHAnsi"/>
          <w:sz w:val="24"/>
          <w:szCs w:val="24"/>
          <w:lang w:eastAsia="en-US"/>
        </w:rPr>
        <w:t xml:space="preserve">3</w:t>
      </w:r>
      <w:bookmarkStart w:id="5" w:name="_GoBack"/>
      <w:r/>
      <w:bookmarkEnd w:id="5"/>
      <w:r>
        <w:rPr>
          <w:rFonts w:eastAsiaTheme="minorHAnsi"/>
          <w:sz w:val="24"/>
          <w:szCs w:val="24"/>
          <w:lang w:eastAsia="en-US"/>
        </w:rPr>
        <w:t xml:space="preserve">.2026.</w:t>
      </w:r>
      <w:r>
        <w:rPr>
          <w:rFonts w:eastAsiaTheme="minorHAnsi"/>
          <w:sz w:val="24"/>
          <w:szCs w:val="24"/>
        </w:rPr>
      </w:r>
      <w:r>
        <w:rPr>
          <w:rFonts w:eastAsiaTheme="minorHAnsi"/>
          <w:sz w:val="24"/>
          <w:szCs w:val="24"/>
        </w:rPr>
      </w:r>
    </w:p>
    <w:p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04"/>
        <w:ind w:firstLine="709"/>
        <w:jc w:val="both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rPr>
          <w:bCs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bCs/>
        </w:rPr>
      </w:r>
      <w:r>
        <w:rPr>
          <w:bCs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  <w:sz w:val="16"/>
          <w:szCs w:val="16"/>
        </w:rPr>
      </w:pP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  <w:r>
        <w:rPr>
          <w:bCs/>
          <w:color w:val="000000"/>
          <w:sz w:val="16"/>
          <w:szCs w:val="16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Морозова М.Е., 51917</w:t>
      </w:r>
      <w:r>
        <w:rPr>
          <w:bCs/>
          <w:color w:val="000000"/>
        </w:rPr>
      </w:r>
      <w:r>
        <w:rPr>
          <w:bCs/>
          <w:color w:val="000000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29.04.2026 № 662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«Приложение № 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512" w:right="0" w:firstLine="0"/>
        <w:jc w:val="lef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Положению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100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дошкольных образовательных учреждений, подведомственных отделу образования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pPr w:horzAnchor="margin" w:tblpXSpec="center" w:vertAnchor="page" w:tblpY="4559" w:leftFromText="180" w:topFromText="0" w:rightFromText="180" w:bottomFromText="0"/>
        <w:tblW w:w="102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2122"/>
        <w:gridCol w:w="4394"/>
        <w:gridCol w:w="1060"/>
        <w:gridCol w:w="1894"/>
      </w:tblGrid>
      <w:tr>
        <w:tblPrEx/>
        <w:trPr>
          <w:trHeight w:val="561"/>
        </w:trPr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/п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целевого показателя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критерия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баллов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Примечание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сотрудников, имеющих задолженность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доли сотрудников-должников, имеющих совокупную задолженность перед  бюджетами всех уровней по налогам, сборам, пеням штрафам к общей численности сотрудников организаций с численностью более 100 человек (на 5 процентов)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Детализация показателей рейтинга муниципальных образований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Соответствие деятельности  общеобразовательных учреждений (далее-ОУ) требованиям законодательства в сфере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отсутствие предписаний надзорных органов  в отношении организации образовательного процесса, своевременное исполнение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Итоговые документы проверок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Информационная открытость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мониторинга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и обновление информации об ОУ на сайте bus.gov.ru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мониторинга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обобщение и распространение опыта управления на различных уровнях, в том числе, путем публикаций, участия в конкурсах, проектах, грантах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своевременное заполнение, внесение изменений и дополнений в АИС «Электронный детский сад»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мониторинга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Функционирование системы государственно-общественного управления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протоколов заседаний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5.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Реализация программ по сохранению и укреплению здоровья детей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r>
          </w:p>
          <w:p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осуществление мероприятий, направленных на формирование здорового образа жизни у воспитанников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Отчётные данные</w:t>
            </w: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снижение заболеваемости воспитанников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обеспечение безопасности жизнедеятельности участников образовательного процесса (отсутствие травматизма, иных несчастных случаев в учреждении, происшедших по причине нарушений  требований СанПиН, охраны </w:t>
            </w:r>
            <w:r>
              <w:rPr>
                <w:color w:val="000000" w:themeColor="text1"/>
                <w:sz w:val="22"/>
                <w:szCs w:val="22"/>
              </w:rPr>
              <w:t xml:space="preserve">труда, халатного отношения работников учреждения к своим обязанностям)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Кадровое обеспечение образовательного процесса и реализация мероприятий </w:t>
            </w:r>
            <w:r>
              <w:rPr>
                <w:sz w:val="22"/>
                <w:szCs w:val="22"/>
              </w:rPr>
              <w:t xml:space="preserve">по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повышению профессионального мастерства педагогических работников ОУ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укомплектованность ОУ кадрами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Штатное расписание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Штатное расписание, приказы по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педагогических работников ОУ, принимающих участие в конкурсах, проектах различных уровней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Приказы, сертификаты и т.д.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40"/>
        </w:trPr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педагогов, имеющих первую и высшую категорию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50 %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в ОУ наставничества для молодых и малоопытных специалистов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 по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участие ОУ в инновационной, экспериментальной деятельности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Приказы, сертификаты</w:t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Результативность финансово-экономической деятельности и ресурсного обеспечения образовательного  учреждения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 муниципального задания на оказание (выполнение) муниципальных услуг (работ)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vMerge w:val="continue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своевременность заключения договоров, контрактов, соблюдение финансовой дисциплины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Результаты мониторинга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программ, направленных на работу с одаренными детьми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доля воспитанников, принявших участие в  конкурсах, фестивалях, концертах и т.д. различных уровней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30 %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893"/>
        </w:trPr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 дополнительного образования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охват воспитанников дополнительными образовательными услугами в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vAlign w:val="center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 по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75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2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394" w:type="dxa"/>
            <w:textDirection w:val="lrTb"/>
            <w:noWrap w:val="false"/>
          </w:tcPr>
          <w:p>
            <w:pPr>
              <w:pStyle w:val="1007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итого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060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29».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894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r/>
      <w:r/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2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29.04.2026 № 662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«Приложение № 2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372" w:firstLine="708"/>
        <w:jc w:val="center"/>
        <w:widowControl w:val="off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к Положению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муниципальных общеобразовательных учреждений, подведомственных отделу образования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0104" w:type="dxa"/>
        <w:tblInd w:w="-5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2126"/>
        <w:gridCol w:w="4536"/>
        <w:gridCol w:w="1134"/>
        <w:gridCol w:w="1666"/>
      </w:tblGrid>
      <w:tr>
        <w:tblPrEx/>
        <w:trPr>
          <w:trHeight w:val="561"/>
        </w:trPr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/п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целевого показателя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критерия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Количество баллов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Примечание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1.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сотрудников, имеющих задолженность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доли сотрудников-должников, имеющих совокупную задолженность перед  бюджетами всех уровней по налогам, сборам, пеням штрафам к общей численности сотрудников организаций с численностью более 100 человек (на 5 процентов)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Детализация показателей рейтинга муниципальных образований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Соответствие деятельности ОУ требованиям законодательства в сфере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отсутствие предписаний надзорных органов в отношении организации образовательного процесса, своевременное исполнение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Итоговые документы проверок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  <w:p>
            <w:pPr>
              <w:jc w:val="center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Информационная открытость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Результаты мониторинга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размещение и обновление информации об ОУ на сайте bus.gov.ru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Результаты мониторинга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Функционирование системы государственно-общественного управления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  <w:highlight w:val="none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Наличие протоколов заседаний   </w:t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Реализация мероприятий по профилактике правонарушений у несовершеннолетних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реализация комплексов мер (программа, разделы в плане воспитательной работы и т.п.) по профилактике правонарушений и размещение на сайте результатов реализации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Отчётные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доля обучающихся общеобразоват</w:t>
            </w:r>
            <w:r>
              <w:rPr>
                <w:rFonts w:eastAsia="Times New Roman"/>
                <w:sz w:val="22"/>
                <w:szCs w:val="22"/>
              </w:rPr>
              <w:t xml:space="preserve">ельных организаций, принявших участие в социально-психологическом тестировании, направленном на выявление рисков употребления наркотических средств и психотропных веществ, в общей численности обучающихся указанных организаций, подлежащих тестированию – 95%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Отчётные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доля общеобразовательных организаций, обучающиеся которых приняли участие в соц</w:t>
            </w:r>
            <w:r>
              <w:rPr>
                <w:sz w:val="22"/>
                <w:szCs w:val="22"/>
              </w:rPr>
              <w:t xml:space="preserve">иально-психологи</w:t>
            </w:r>
            <w:r>
              <w:rPr>
                <w:rFonts w:eastAsia="Times New Roman"/>
                <w:sz w:val="22"/>
                <w:szCs w:val="22"/>
              </w:rPr>
              <w:t xml:space="preserve">ческом тестировании, направленном на выявление рисков употребления наркотических средств и психотропных веществ, в общем числе общеобразовательных организаций, подлежащих тестированию – 100%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Отчётные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 по сохранению и укреплению здоровья детей, организация физкультурно-оздоровительной и спортивной работы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обеспечение безопа</w:t>
            </w:r>
            <w:r>
              <w:rPr>
                <w:rFonts w:eastAsia="Times New Roman"/>
                <w:sz w:val="22"/>
                <w:szCs w:val="22"/>
              </w:rPr>
              <w:t xml:space="preserve">сности жизнедеятельности участников образовательного процесса (отсутствие травматизма, иных  несчастных случаев в учреждении, происшедших по причине нарушений  требований СанПиН, охраны труда, халатного отношения работников учреждения к своим обязанностям)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  <w:highlight w:val="none"/>
              </w:rPr>
            </w:pP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  <w:highlight w:val="none"/>
              </w:rPr>
            </w:pP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  <w:highlight w:val="none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Отчетные данные</w:t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Кадровое обеспечение образовательного процесса и реализация мероприятий </w:t>
            </w:r>
            <w:r>
              <w:rPr>
                <w:rFonts w:eastAsia="Times New Roman"/>
                <w:sz w:val="22"/>
                <w:szCs w:val="22"/>
              </w:rPr>
              <w:t xml:space="preserve">по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повышению профессионального мастерства педагогических работников ОУ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укомплектованность ОУ кадрами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100 %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Штатное расписание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Штатное расписание, приказы по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доля педагогов, имеющих первую и высшую категорию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50 %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участие ОУ в инновационной, экспериментальной деятельности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Приказы, сертификаты </w:t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2027"/>
        </w:trPr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Результативность финансово-экономической деятельности и ресурсного обеспечения образовательного  учреждения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исполнение  муниципального задания на оказание (выполнение) муниципальных услуг (работ)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  <w:highlight w:val="none"/>
              </w:rPr>
            </w:pP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  <w:highlight w:val="none"/>
              </w:rPr>
            </w:pP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  <w:highlight w:val="none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Отчетные данные</w:t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  <w:r>
              <w:rPr>
                <w:rFonts w:eastAsia="Times New Roman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программ, направленных на работу с одаренными детьми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наличие достижений в конкурсах, олимпиадах, соревнованиях, общественно значимых мероприятиях</w:t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Приказы, сертификаты и т.п.</w:t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 дополнительного образования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охват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обучающихся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дополнительными образовательными услугами в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 по ОУ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социокультурных проектов (школьный театр, музей, научное общество обучающихся и др.)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 и более проектов Отчётные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качества общего образования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результативность освоения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обучающимися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государственных образовательных стандартов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Показатель качества знаний выше среднего по району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положительная динамика результатов государственной итоговой аттестации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создание условий для реализации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обучающимися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индивидуальных учебных планов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10 %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Отчётные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393"/>
        </w:trPr>
        <w:tc>
          <w:tcPr>
            <w:shd w:val="clear" w:color="auto" w:fill="auto"/>
            <w:tcW w:w="64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pStyle w:val="1007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33».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666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3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29.04.2026 № 662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shd w:val="clear" w:color="auto" w:fill="ffffff"/>
        <w:tabs>
          <w:tab w:val="left" w:pos="115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«Приложение № 3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372" w:firstLine="708"/>
        <w:jc w:val="center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к Положению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6372" w:firstLine="708"/>
        <w:jc w:val="center"/>
        <w:widowControl w:val="off"/>
        <w:rPr>
          <w:b/>
          <w:bCs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07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руководителей учреждений дополнительного образования детей, подведомственных отделу образования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100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6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154"/>
        <w:gridCol w:w="4110"/>
        <w:gridCol w:w="991"/>
        <w:gridCol w:w="1735"/>
      </w:tblGrid>
      <w:tr>
        <w:tblPrEx/>
        <w:trPr>
          <w:trHeight w:val="561"/>
        </w:trPr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/п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целевого показателя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критерия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баллов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Примечание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сотрудников, имеющих задолженность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доли сотрудников-должников, имеющих совокупную задолженность перед  бюджетами всех уровней по налогам, сборам, пеням  штрафам к общей численности сотрудников организаций с численностью более 100 человек (на 5 процентов)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Детализация показателей рейтинга муниципальных образований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Соответствие деятельности ОУ требованиям законодательства в сфере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отсутствие предписаний надзорных органов в отношении организации образовательного процесса, своевременное исполнение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Итоговые документы проверок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отсутствие объективных жалоб, обоснованных обращений граждан по вопросам организации образовательного процесса и его результатов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  <w:p>
            <w:pPr>
              <w:jc w:val="center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Информационная открытость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сайте нормативно закрепленного перечня сведений о деятельности ОУ, его регулярное обновление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</w:rPr>
              <w:t xml:space="preserve">Результаты мониторинга</w:t>
            </w: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и обновление информации об ОУ на сайте bus.gov.ru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мониторинга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регулярное освещение в СМИ успешных проектов, реализуемых в ОУ, популяризация достижений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обобщение и распространение опыта управления на различных уровнях, в том числе, путем публикаций, участия в конкурсах, проектах, грантах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Функционирование системы государственно-общественного управления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результаты участия органов общественного управления учреждения в решении актуальных задач функционирования и развития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</w:rPr>
              <w:t xml:space="preserve">наличие протоколов заседаний   </w:t>
            </w: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 по сохранению и укреплению здоровья детей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мероприятий, направленных на формирование здорового образа жизни </w:t>
            </w:r>
            <w:r>
              <w:rPr>
                <w:sz w:val="22"/>
                <w:szCs w:val="22"/>
              </w:rPr>
              <w:t xml:space="preserve">у</w:t>
            </w:r>
            <w:r>
              <w:rPr>
                <w:sz w:val="22"/>
                <w:szCs w:val="22"/>
              </w:rPr>
              <w:t xml:space="preserve"> обучающихся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Отчётные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безопа</w:t>
            </w:r>
            <w:r>
              <w:rPr>
                <w:sz w:val="22"/>
                <w:szCs w:val="22"/>
              </w:rPr>
              <w:t xml:space="preserve">сности жизнедеятельности участников образовательного процесса (отсутствие травматизма, иных  несчастных случаев в учреждении, происшедших по причине нарушений требований СанПиН, охраны труда, халатного отношения работников учреждения к своим обязанностям)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  <w:highlight w:val="none"/>
              </w:rPr>
            </w:r>
          </w:p>
          <w:p>
            <w:pPr>
              <w:jc w:val="center"/>
              <w:rPr>
                <w:sz w:val="22"/>
                <w:szCs w:val="22"/>
                <w:highlight w:val="none"/>
              </w:rPr>
            </w:pPr>
            <w:r>
              <w:rPr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  <w:highlight w:val="none"/>
              </w:rPr>
            </w:r>
            <w:r>
              <w:rPr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Кадровое обеспечение образовательного процесса и реализация мероприятий </w:t>
            </w:r>
            <w:r>
              <w:rPr>
                <w:sz w:val="22"/>
                <w:szCs w:val="22"/>
              </w:rPr>
              <w:t xml:space="preserve">по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повышению профессионального мастерства </w:t>
            </w:r>
            <w:r>
              <w:rPr>
                <w:sz w:val="22"/>
                <w:szCs w:val="22"/>
              </w:rPr>
              <w:t xml:space="preserve">педагогических работников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укомплектованность ОУ кадрами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Штатное расписание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педагогических работников, своевременно прошедших повышение квалификации, профессиональную переподготовку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Штатное расписание, приказы по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педагогов, имеющих первую и высшую категорию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50 %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педагогических работников ОУ, принимающих участие в деятельности инновационных, </w:t>
            </w:r>
            <w:r>
              <w:rPr>
                <w:sz w:val="22"/>
                <w:szCs w:val="22"/>
              </w:rPr>
              <w:t xml:space="preserve">стажировочных</w:t>
            </w:r>
            <w:r>
              <w:rPr>
                <w:sz w:val="22"/>
                <w:szCs w:val="22"/>
              </w:rPr>
              <w:t xml:space="preserve"> площадок, конкурсах, проектах различных уровней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30% и более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Приказы, сертификаты и т.д.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 в ОУ наставничества для молодых и малоопытных специалистов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Приказы по 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Результативность финансово-экономической деятельности и ресурсного обеспечения образовательного  учреждения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исполнение  муниципального задания на оказание (выполнение) муниципальных услуг (работ)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vMerge w:val="continue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215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своевременность заключения договоров, контрактов, соблюдение финансовой дисциплины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Результаты мониторинга</w:t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1074"/>
        </w:trPr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программ, направленных на работу с одаренными детьми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наличие достижений воспитанников в конкурсах, фестивалях, концертах, соревнованиях и т.д. различных уровней</w:t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Приказы, сертификаты и т.п.</w:t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pStyle w:val="10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программ дополнительного образования</w:t>
            </w:r>
            <w:r>
              <w:rPr>
                <w:sz w:val="22"/>
                <w:szCs w:val="22"/>
              </w:rPr>
              <w:br/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контингента детей, охваченных дополнительными образовательными услугами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95% и более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исполнения муниципального задания, статистические данные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Реализация социокультурных проектов 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организация и проведение учреждением проектов, районных мероприятий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 и более проектов Отчётные данные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Реализация мероприятий по профилактике правонарушений у несовершеннолетних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комплексов мер по профилактике правонарушений и размещение на сайте результатов реализации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Отчетные данные</w:t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none"/>
              </w:rPr>
            </w:r>
          </w:p>
          <w:p>
            <w:pPr>
              <w:pStyle w:val="10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6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154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shd w:val="clear" w:color="auto" w:fill="auto"/>
            <w:tcW w:w="4110" w:type="dxa"/>
            <w:textDirection w:val="lrTb"/>
            <w:noWrap w:val="false"/>
          </w:tcPr>
          <w:p>
            <w:pPr>
              <w:pStyle w:val="1007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91" w:type="dxa"/>
            <w:textDirection w:val="lrTb"/>
            <w:noWrap w:val="false"/>
          </w:tcPr>
          <w:p>
            <w:pPr>
              <w:pStyle w:val="100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31».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735" w:type="dxa"/>
            <w:textDirection w:val="lrTb"/>
            <w:noWrap w:val="false"/>
          </w:tcPr>
          <w:p>
            <w:pPr>
              <w:pStyle w:val="100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</w:tbl>
    <w:p>
      <w:pPr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Cs/>
          <w:color w:val="000000"/>
        </w:rPr>
      </w:pPr>
      <w:r>
        <w:rPr>
          <w:bCs/>
          <w:color w:val="000000"/>
        </w:rPr>
      </w:r>
      <w:r>
        <w:rPr>
          <w:bCs/>
          <w:color w:val="000000"/>
        </w:rPr>
      </w:r>
      <w:r>
        <w:rPr>
          <w:bCs/>
          <w:color w:val="000000"/>
        </w:rPr>
      </w:r>
    </w:p>
    <w:sectPr>
      <w:footnotePr/>
      <w:endnotePr/>
      <w:type w:val="nextPage"/>
      <w:pgSz w:w="11909" w:h="16834" w:orient="portrait"/>
      <w:pgMar w:top="851" w:right="850" w:bottom="676" w:left="1701" w:header="720" w:footer="72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egacy w:legacy="1" w:legacyIndent="37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6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3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0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7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4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2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9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647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3.4.%1."/>
      <w:legacy w:legacy="1" w:legacyIndent="7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  <w:tabs>
          <w:tab w:val="num" w:pos="216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  <w:tabs>
          <w:tab w:val="num" w:pos="288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  <w:tabs>
          <w:tab w:val="num" w:pos="39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  <w:tabs>
          <w:tab w:val="num" w:pos="46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  <w:tabs>
          <w:tab w:val="num" w:pos="57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  <w:tabs>
          <w:tab w:val="num" w:pos="64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  <w:tabs>
          <w:tab w:val="num" w:pos="756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5.%1."/>
      <w:legacy w:legacy="1" w:legacyIndent="46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3.4.%1."/>
      <w:legacy w:legacy="1" w:legacyIndent="691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4.%1."/>
      <w:legacy w:legacy="1" w:legacyIndent="68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0" w:firstLine="0"/>
        <w:tabs>
          <w:tab w:val="num" w:pos="284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3.2.%1."/>
      <w:legacy w:legacy="1" w:legacyIndent="122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240" w:hanging="1440"/>
      </w:pPr>
      <w:rPr>
        <w:rFonts w:hint="default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1">
    <w:multiLevelType w:val="hybridMultilevel"/>
    <w:lvl w:ilvl="0">
      <w:start w:val="2"/>
      <w:numFmt w:val="decimal"/>
      <w:isLgl w:val="false"/>
      <w:suff w:val="tab"/>
      <w:lvlText w:val="3.1.%1."/>
      <w:legacy w:legacy="1" w:legacyIndent="1224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7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  <w:tabs>
          <w:tab w:val="num" w:pos="1759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288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57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830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11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7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660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912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016" w:hanging="1800"/>
      </w:pPr>
      <w:rPr>
        <w:rFonts w:hint="default"/>
      </w:rPr>
    </w:lvl>
  </w:abstractNum>
  <w:abstractNum w:abstractNumId="3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2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21"/>
  </w:num>
  <w:num w:numId="4">
    <w:abstractNumId w:val="11"/>
  </w:num>
  <w:num w:numId="5">
    <w:abstractNumId w:val="6"/>
  </w:num>
  <w:num w:numId="6">
    <w:abstractNumId w:val="2"/>
  </w:num>
  <w:num w:numId="7">
    <w:abstractNumId w:val="8"/>
  </w:num>
  <w:num w:numId="8">
    <w:abstractNumId w:val="4"/>
  </w:num>
  <w:num w:numId="9">
    <w:abstractNumId w:val="9"/>
  </w:num>
  <w:num w:numId="10">
    <w:abstractNumId w:val="26"/>
  </w:num>
  <w:num w:numId="11">
    <w:abstractNumId w:val="1"/>
  </w:num>
  <w:num w:numId="12">
    <w:abstractNumId w:val="5"/>
  </w:num>
  <w:num w:numId="13">
    <w:abstractNumId w:val="14"/>
  </w:num>
  <w:num w:numId="14">
    <w:abstractNumId w:val="31"/>
  </w:num>
  <w:num w:numId="15">
    <w:abstractNumId w:val="29"/>
  </w:num>
  <w:num w:numId="16">
    <w:abstractNumId w:val="17"/>
  </w:num>
  <w:num w:numId="17">
    <w:abstractNumId w:val="19"/>
  </w:num>
  <w:num w:numId="18">
    <w:abstractNumId w:val="28"/>
  </w:num>
  <w:num w:numId="19">
    <w:abstractNumId w:val="25"/>
  </w:num>
  <w:num w:numId="20">
    <w:abstractNumId w:val="33"/>
  </w:num>
  <w:num w:numId="21">
    <w:abstractNumId w:val="10"/>
  </w:num>
  <w:num w:numId="22">
    <w:abstractNumId w:val="12"/>
  </w:num>
  <w:num w:numId="23">
    <w:abstractNumId w:val="23"/>
  </w:num>
  <w:num w:numId="24">
    <w:abstractNumId w:val="30"/>
  </w:num>
  <w:num w:numId="25">
    <w:abstractNumId w:val="3"/>
  </w:num>
  <w:num w:numId="26">
    <w:abstractNumId w:val="24"/>
  </w:num>
  <w:num w:numId="27">
    <w:abstractNumId w:val="16"/>
  </w:num>
  <w:num w:numId="28">
    <w:abstractNumId w:val="32"/>
  </w:num>
  <w:num w:numId="29">
    <w:abstractNumId w:val="18"/>
  </w:num>
  <w:num w:numId="30">
    <w:abstractNumId w:val="27"/>
  </w:num>
  <w:num w:numId="31">
    <w:abstractNumId w:val="15"/>
  </w:num>
  <w:num w:numId="32">
    <w:abstractNumId w:val="34"/>
  </w:num>
  <w:num w:numId="33">
    <w:abstractNumId w:val="13"/>
  </w:num>
  <w:num w:numId="34">
    <w:abstractNumId w:val="7"/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5">
    <w:name w:val="Plain Table 1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7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2">
    <w:name w:val="List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3">
    <w:name w:val="List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4" w:default="1">
    <w:name w:val="Normal"/>
    <w:qFormat/>
    <w:rPr>
      <w:rFonts w:eastAsia="Calibri"/>
    </w:rPr>
  </w:style>
  <w:style w:type="paragraph" w:styleId="745">
    <w:name w:val="Heading 1"/>
    <w:basedOn w:val="744"/>
    <w:next w:val="744"/>
    <w:link w:val="82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6">
    <w:name w:val="Heading 2"/>
    <w:basedOn w:val="744"/>
    <w:next w:val="744"/>
    <w:link w:val="83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7">
    <w:name w:val="Heading 3"/>
    <w:basedOn w:val="744"/>
    <w:next w:val="744"/>
    <w:link w:val="83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8">
    <w:name w:val="Heading 4"/>
    <w:basedOn w:val="744"/>
    <w:next w:val="744"/>
    <w:link w:val="995"/>
    <w:qFormat/>
    <w:pPr>
      <w:ind w:firstLine="709"/>
      <w:keepNext/>
      <w:outlineLvl w:val="3"/>
    </w:pPr>
    <w:rPr>
      <w:sz w:val="28"/>
    </w:rPr>
  </w:style>
  <w:style w:type="paragraph" w:styleId="749">
    <w:name w:val="Heading 5"/>
    <w:basedOn w:val="744"/>
    <w:next w:val="744"/>
    <w:link w:val="83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8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8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83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8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table" w:styleId="757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0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8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1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4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75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9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4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6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9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4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815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816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817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818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819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0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821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822" w:customStyle="1">
    <w:name w:val="Title Char"/>
    <w:basedOn w:val="754"/>
    <w:uiPriority w:val="10"/>
    <w:rPr>
      <w:sz w:val="48"/>
      <w:szCs w:val="48"/>
    </w:rPr>
  </w:style>
  <w:style w:type="character" w:styleId="823" w:customStyle="1">
    <w:name w:val="Subtitle Char"/>
    <w:basedOn w:val="754"/>
    <w:uiPriority w:val="11"/>
    <w:rPr>
      <w:sz w:val="24"/>
      <w:szCs w:val="24"/>
    </w:rPr>
  </w:style>
  <w:style w:type="character" w:styleId="824" w:customStyle="1">
    <w:name w:val="Quote Char"/>
    <w:uiPriority w:val="29"/>
    <w:rPr>
      <w:i/>
    </w:rPr>
  </w:style>
  <w:style w:type="character" w:styleId="825" w:customStyle="1">
    <w:name w:val="Intense Quote Char"/>
    <w:uiPriority w:val="30"/>
    <w:rPr>
      <w:i/>
    </w:rPr>
  </w:style>
  <w:style w:type="character" w:styleId="826" w:customStyle="1">
    <w:name w:val="Caption Char"/>
    <w:uiPriority w:val="99"/>
  </w:style>
  <w:style w:type="character" w:styleId="827" w:customStyle="1">
    <w:name w:val="Footnote Text Char"/>
    <w:uiPriority w:val="99"/>
    <w:rPr>
      <w:sz w:val="18"/>
    </w:rPr>
  </w:style>
  <w:style w:type="character" w:styleId="828" w:customStyle="1">
    <w:name w:val="Endnote Text Char"/>
    <w:uiPriority w:val="99"/>
    <w:rPr>
      <w:sz w:val="20"/>
    </w:rPr>
  </w:style>
  <w:style w:type="character" w:styleId="829" w:customStyle="1">
    <w:name w:val="Заголовок 1 Знак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830" w:customStyle="1">
    <w:name w:val="Заголовок 2 Знак"/>
    <w:basedOn w:val="754"/>
    <w:link w:val="746"/>
    <w:uiPriority w:val="9"/>
    <w:rPr>
      <w:rFonts w:ascii="Arial" w:hAnsi="Arial" w:eastAsia="Arial" w:cs="Arial"/>
      <w:sz w:val="34"/>
    </w:rPr>
  </w:style>
  <w:style w:type="character" w:styleId="831" w:customStyle="1">
    <w:name w:val="Заголовок 3 Знак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832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833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834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835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36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837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838">
    <w:name w:val="No Spacing"/>
    <w:uiPriority w:val="1"/>
    <w:qFormat/>
  </w:style>
  <w:style w:type="paragraph" w:styleId="839">
    <w:name w:val="Title"/>
    <w:basedOn w:val="744"/>
    <w:next w:val="744"/>
    <w:link w:val="8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40" w:customStyle="1">
    <w:name w:val="Название Знак"/>
    <w:basedOn w:val="754"/>
    <w:link w:val="839"/>
    <w:uiPriority w:val="10"/>
    <w:rPr>
      <w:sz w:val="48"/>
      <w:szCs w:val="48"/>
    </w:rPr>
  </w:style>
  <w:style w:type="paragraph" w:styleId="841">
    <w:name w:val="Subtitle"/>
    <w:basedOn w:val="744"/>
    <w:next w:val="744"/>
    <w:link w:val="842"/>
    <w:uiPriority w:val="11"/>
    <w:qFormat/>
    <w:pPr>
      <w:spacing w:before="200" w:after="200"/>
    </w:pPr>
    <w:rPr>
      <w:sz w:val="24"/>
      <w:szCs w:val="24"/>
    </w:rPr>
  </w:style>
  <w:style w:type="character" w:styleId="842" w:customStyle="1">
    <w:name w:val="Подзаголовок Знак"/>
    <w:basedOn w:val="754"/>
    <w:link w:val="841"/>
    <w:uiPriority w:val="11"/>
    <w:rPr>
      <w:sz w:val="24"/>
      <w:szCs w:val="24"/>
    </w:rPr>
  </w:style>
  <w:style w:type="paragraph" w:styleId="843">
    <w:name w:val="Quote"/>
    <w:basedOn w:val="744"/>
    <w:next w:val="744"/>
    <w:link w:val="844"/>
    <w:uiPriority w:val="29"/>
    <w:qFormat/>
    <w:pPr>
      <w:ind w:left="720" w:right="720"/>
    </w:pPr>
    <w:rPr>
      <w:i/>
    </w:rPr>
  </w:style>
  <w:style w:type="character" w:styleId="844" w:customStyle="1">
    <w:name w:val="Цитата 2 Знак"/>
    <w:link w:val="843"/>
    <w:uiPriority w:val="29"/>
    <w:rPr>
      <w:i/>
    </w:rPr>
  </w:style>
  <w:style w:type="paragraph" w:styleId="845">
    <w:name w:val="Intense Quote"/>
    <w:basedOn w:val="744"/>
    <w:next w:val="744"/>
    <w:link w:val="84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6" w:customStyle="1">
    <w:name w:val="Выделенная цитата Знак"/>
    <w:link w:val="845"/>
    <w:uiPriority w:val="30"/>
    <w:rPr>
      <w:i/>
    </w:rPr>
  </w:style>
  <w:style w:type="paragraph" w:styleId="847">
    <w:name w:val="Footer"/>
    <w:basedOn w:val="744"/>
    <w:link w:val="85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48" w:customStyle="1">
    <w:name w:val="Footer Char"/>
    <w:basedOn w:val="754"/>
    <w:uiPriority w:val="99"/>
  </w:style>
  <w:style w:type="paragraph" w:styleId="849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50" w:customStyle="1">
    <w:name w:val="Нижний колонтитул Знак"/>
    <w:link w:val="847"/>
    <w:uiPriority w:val="99"/>
  </w:style>
  <w:style w:type="table" w:styleId="851">
    <w:name w:val="Table Grid"/>
    <w:basedOn w:val="75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53" w:customStyle="1">
    <w:name w:val="Таблица простая 1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4" w:customStyle="1">
    <w:name w:val="Таблица простая 21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5" w:customStyle="1">
    <w:name w:val="Таблица простая 3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6" w:customStyle="1">
    <w:name w:val="Таблица простая 4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Таблица простая 51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8" w:customStyle="1">
    <w:name w:val="Таблица-сетка 1 светлая1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Таблица-сетка 2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Таблица-сетка 31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Таблица-сетка 41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0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81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83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85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86" w:customStyle="1">
    <w:name w:val="Таблица-сетка 5 темная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87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88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89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90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91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92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93" w:customStyle="1">
    <w:name w:val="Таблица-сетк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94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95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96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97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98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99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00" w:customStyle="1">
    <w:name w:val="Таблица-сетка 7 цветная1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2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3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4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5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6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7" w:customStyle="1">
    <w:name w:val="Список-таблица 1 светлая1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Список-таблица 21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15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16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17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18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19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20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21" w:customStyle="1">
    <w:name w:val="Список-таблица 3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Список-таблица 41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Список-таблица 5 темная1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6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7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8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9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0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1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2" w:customStyle="1">
    <w:name w:val="Список-таблица 6 цветная1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43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44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45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46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47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48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49" w:customStyle="1">
    <w:name w:val="Список-таблица 7 цветная1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0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1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2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3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4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5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6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57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58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59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0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1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2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63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4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65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66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7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8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9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70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71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72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73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74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75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76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77">
    <w:name w:val="Hyperlink"/>
    <w:uiPriority w:val="99"/>
    <w:unhideWhenUsed/>
    <w:rPr>
      <w:color w:val="0000ff" w:themeColor="hyperlink"/>
      <w:u w:val="single"/>
    </w:rPr>
  </w:style>
  <w:style w:type="paragraph" w:styleId="978">
    <w:name w:val="footnote text"/>
    <w:basedOn w:val="744"/>
    <w:link w:val="979"/>
    <w:uiPriority w:val="99"/>
    <w:semiHidden/>
    <w:unhideWhenUsed/>
    <w:pPr>
      <w:spacing w:after="40"/>
    </w:pPr>
    <w:rPr>
      <w:sz w:val="18"/>
    </w:rPr>
  </w:style>
  <w:style w:type="character" w:styleId="979" w:customStyle="1">
    <w:name w:val="Текст сноски Знак"/>
    <w:link w:val="978"/>
    <w:uiPriority w:val="99"/>
    <w:rPr>
      <w:sz w:val="18"/>
    </w:rPr>
  </w:style>
  <w:style w:type="character" w:styleId="980">
    <w:name w:val="footnote reference"/>
    <w:basedOn w:val="754"/>
    <w:uiPriority w:val="99"/>
    <w:unhideWhenUsed/>
    <w:rPr>
      <w:vertAlign w:val="superscript"/>
    </w:rPr>
  </w:style>
  <w:style w:type="paragraph" w:styleId="981">
    <w:name w:val="endnote text"/>
    <w:basedOn w:val="744"/>
    <w:link w:val="982"/>
    <w:uiPriority w:val="99"/>
    <w:semiHidden/>
    <w:unhideWhenUsed/>
  </w:style>
  <w:style w:type="character" w:styleId="982" w:customStyle="1">
    <w:name w:val="Текст концевой сноски Знак"/>
    <w:link w:val="981"/>
    <w:uiPriority w:val="99"/>
    <w:rPr>
      <w:sz w:val="20"/>
    </w:rPr>
  </w:style>
  <w:style w:type="character" w:styleId="983">
    <w:name w:val="endnote reference"/>
    <w:basedOn w:val="754"/>
    <w:uiPriority w:val="99"/>
    <w:semiHidden/>
    <w:unhideWhenUsed/>
    <w:rPr>
      <w:vertAlign w:val="superscript"/>
    </w:rPr>
  </w:style>
  <w:style w:type="paragraph" w:styleId="984">
    <w:name w:val="toc 1"/>
    <w:basedOn w:val="744"/>
    <w:next w:val="744"/>
    <w:uiPriority w:val="39"/>
    <w:unhideWhenUsed/>
    <w:pPr>
      <w:spacing w:after="57"/>
    </w:pPr>
  </w:style>
  <w:style w:type="paragraph" w:styleId="985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86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87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88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89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90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91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92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93">
    <w:name w:val="TOC Heading"/>
    <w:uiPriority w:val="39"/>
    <w:unhideWhenUsed/>
  </w:style>
  <w:style w:type="paragraph" w:styleId="994">
    <w:name w:val="table of figures"/>
    <w:basedOn w:val="744"/>
    <w:next w:val="744"/>
    <w:uiPriority w:val="99"/>
    <w:unhideWhenUsed/>
  </w:style>
  <w:style w:type="character" w:styleId="995" w:customStyle="1">
    <w:name w:val="Заголовок 4 Знак"/>
    <w:link w:val="748"/>
    <w:rPr>
      <w:rFonts w:eastAsia="Calibri"/>
      <w:sz w:val="28"/>
      <w:lang w:val="ru-RU" w:eastAsia="ru-RU" w:bidi="ar-SA"/>
    </w:rPr>
  </w:style>
  <w:style w:type="paragraph" w:styleId="996" w:customStyle="1">
    <w:name w:val="Абзац списка1"/>
    <w:basedOn w:val="744"/>
    <w:pPr>
      <w:contextualSpacing/>
      <w:ind w:left="720"/>
    </w:pPr>
  </w:style>
  <w:style w:type="paragraph" w:styleId="997">
    <w:name w:val="Body Text"/>
    <w:basedOn w:val="744"/>
    <w:link w:val="998"/>
    <w:pPr>
      <w:jc w:val="both"/>
    </w:pPr>
    <w:rPr>
      <w:sz w:val="24"/>
    </w:rPr>
  </w:style>
  <w:style w:type="character" w:styleId="998" w:customStyle="1">
    <w:name w:val="Основной текст Знак"/>
    <w:link w:val="997"/>
    <w:rPr>
      <w:rFonts w:eastAsia="Calibri"/>
      <w:sz w:val="24"/>
      <w:lang w:val="ru-RU" w:eastAsia="ru-RU" w:bidi="ar-SA"/>
    </w:rPr>
  </w:style>
  <w:style w:type="paragraph" w:styleId="999">
    <w:name w:val="Body Text Indent"/>
    <w:basedOn w:val="744"/>
    <w:link w:val="1000"/>
    <w:semiHidden/>
    <w:pPr>
      <w:ind w:right="76" w:firstLine="900"/>
      <w:jc w:val="both"/>
    </w:pPr>
    <w:rPr>
      <w:sz w:val="24"/>
    </w:rPr>
  </w:style>
  <w:style w:type="character" w:styleId="1000" w:customStyle="1">
    <w:name w:val="Основной текст с отступом Знак"/>
    <w:link w:val="999"/>
    <w:semiHidden/>
    <w:rPr>
      <w:rFonts w:eastAsia="Calibri"/>
      <w:sz w:val="24"/>
      <w:lang w:val="ru-RU" w:eastAsia="ru-RU" w:bidi="ar-SA"/>
    </w:rPr>
  </w:style>
  <w:style w:type="paragraph" w:styleId="1001">
    <w:name w:val="Body Text Indent 2"/>
    <w:basedOn w:val="744"/>
    <w:link w:val="1002"/>
    <w:pPr>
      <w:ind w:left="283"/>
      <w:spacing w:after="120" w:line="480" w:lineRule="auto"/>
    </w:pPr>
  </w:style>
  <w:style w:type="character" w:styleId="1002" w:customStyle="1">
    <w:name w:val="Основной текст с отступом 2 Знак"/>
    <w:link w:val="1001"/>
    <w:rPr>
      <w:rFonts w:eastAsia="Calibri"/>
      <w:lang w:val="ru-RU" w:eastAsia="ru-RU" w:bidi="ar-SA"/>
    </w:rPr>
  </w:style>
  <w:style w:type="paragraph" w:styleId="1003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1004" w:customStyle="1">
    <w:name w:val="Default"/>
    <w:rPr>
      <w:color w:val="000000"/>
      <w:sz w:val="24"/>
      <w:szCs w:val="24"/>
    </w:rPr>
  </w:style>
  <w:style w:type="paragraph" w:styleId="1005">
    <w:name w:val="Balloon Text"/>
    <w:basedOn w:val="744"/>
    <w:link w:val="1006"/>
    <w:rPr>
      <w:rFonts w:ascii="Tahoma" w:hAnsi="Tahoma" w:cs="Tahoma"/>
      <w:sz w:val="16"/>
      <w:szCs w:val="16"/>
    </w:rPr>
  </w:style>
  <w:style w:type="character" w:styleId="1006" w:customStyle="1">
    <w:name w:val="Текст выноски Знак"/>
    <w:link w:val="1005"/>
    <w:rPr>
      <w:rFonts w:ascii="Tahoma" w:hAnsi="Tahoma" w:eastAsia="Calibri" w:cs="Tahoma"/>
      <w:sz w:val="16"/>
      <w:szCs w:val="16"/>
      <w:lang w:val="ru-RU" w:eastAsia="ru-RU" w:bidi="ar-SA"/>
    </w:rPr>
  </w:style>
  <w:style w:type="paragraph" w:styleId="1007">
    <w:name w:val="Plain Text"/>
    <w:basedOn w:val="744"/>
    <w:link w:val="1008"/>
    <w:rPr>
      <w:rFonts w:ascii="Courier New" w:hAnsi="Courier New" w:eastAsia="Times New Roman" w:cs="Courier New"/>
    </w:rPr>
  </w:style>
  <w:style w:type="character" w:styleId="1008" w:customStyle="1">
    <w:name w:val="Текст Знак"/>
    <w:link w:val="1007"/>
    <w:rPr>
      <w:rFonts w:ascii="Courier New" w:hAnsi="Courier New" w:cs="Courier New"/>
      <w:lang w:val="ru-RU" w:eastAsia="ru-RU" w:bidi="ar-SA"/>
    </w:rPr>
  </w:style>
  <w:style w:type="paragraph" w:styleId="1009">
    <w:name w:val="Header"/>
    <w:basedOn w:val="744"/>
    <w:link w:val="1010"/>
    <w:pPr>
      <w:tabs>
        <w:tab w:val="center" w:pos="4677" w:leader="none"/>
        <w:tab w:val="right" w:pos="9355" w:leader="none"/>
      </w:tabs>
    </w:pPr>
    <w:rPr>
      <w:rFonts w:eastAsia="Times New Roman"/>
      <w:sz w:val="24"/>
      <w:szCs w:val="24"/>
    </w:rPr>
  </w:style>
  <w:style w:type="character" w:styleId="1010" w:customStyle="1">
    <w:name w:val="Верхний колонтитул Знак"/>
    <w:link w:val="1009"/>
    <w:rPr>
      <w:sz w:val="24"/>
      <w:szCs w:val="24"/>
      <w:lang w:val="ru-RU" w:eastAsia="ru-RU" w:bidi="ar-SA"/>
    </w:rPr>
  </w:style>
  <w:style w:type="paragraph" w:styleId="1011">
    <w:name w:val="List Paragraph"/>
    <w:basedOn w:val="744"/>
    <w:uiPriority w:val="34"/>
    <w:qFormat/>
    <w:pPr>
      <w:ind w:left="720"/>
    </w:pPr>
    <w:rPr>
      <w:rFonts w:eastAsia="Times New Roman"/>
      <w:sz w:val="24"/>
      <w:szCs w:val="24"/>
    </w:rPr>
  </w:style>
  <w:style w:type="character" w:styleId="1012" w:customStyle="1">
    <w:name w:val="Header Char"/>
    <w:rPr>
      <w:rFonts w:ascii="Times New Roman" w:hAnsi="Times New Roman" w:cs="Times New Roman"/>
      <w:sz w:val="24"/>
      <w:szCs w:val="24"/>
      <w:lang w:eastAsia="ru-RU"/>
    </w:rPr>
  </w:style>
  <w:style w:type="paragraph" w:styleId="1013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1014" w:customStyle="1">
    <w:name w:val="ConsPlusNormal"/>
    <w:rPr>
      <w:b/>
      <w:bCs/>
      <w:sz w:val="24"/>
      <w:szCs w:val="24"/>
    </w:rPr>
  </w:style>
  <w:style w:type="paragraph" w:styleId="1015">
    <w:name w:val="Normal (Web)"/>
    <w:basedOn w:val="744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1016" w:customStyle="1">
    <w:name w:val="WW8Num2z0"/>
  </w:style>
  <w:style w:type="paragraph" w:styleId="1017" w:customStyle="1">
    <w:name w:val="Обычный + 12 пт"/>
    <w:basedOn w:val="744"/>
    <w:pPr>
      <w:ind w:right="94" w:firstLine="709"/>
      <w:jc w:val="both"/>
      <w:shd w:val="clear" w:color="auto" w:fill="ffffff"/>
    </w:pPr>
    <w:rPr>
      <w:spacing w:val="-6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73D05-41C5-4DA8-BB82-3CDF24B71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Tycoon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ivanovae</dc:creator>
  <cp:revision>5</cp:revision>
  <dcterms:created xsi:type="dcterms:W3CDTF">2026-04-10T13:57:00Z</dcterms:created>
  <dcterms:modified xsi:type="dcterms:W3CDTF">2026-05-13T08:13:03Z</dcterms:modified>
</cp:coreProperties>
</file>