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04.05.2026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№ 678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713"/>
        <w:ind w:firstLine="0"/>
        <w:jc w:val="center"/>
        <w:widowControl w:val="off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в примерное Положение об оплате труда работников </w:t>
      </w:r>
      <w:r>
        <w:rPr>
          <w:b/>
          <w:bCs/>
          <w:iCs/>
          <w:sz w:val="20"/>
        </w:rPr>
        <w:br/>
        <w:t xml:space="preserve">муниципальных бюджетных учреждений дополнительного образования в сфере культуры, подведомственных отделу культуры, спорта и молодежной политики администрации </w:t>
      </w:r>
      <w:r>
        <w:rPr>
          <w:b/>
          <w:bCs/>
          <w:iCs/>
          <w:sz w:val="20"/>
        </w:rPr>
        <w:br/>
        <w:t xml:space="preserve">Печенгского муниципального округа, утвержденное постановлением администрации 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</w:r>
    </w:p>
    <w:p>
      <w:pPr>
        <w:pStyle w:val="713"/>
        <w:ind w:firstLine="0"/>
        <w:jc w:val="center"/>
        <w:widowControl w:val="off"/>
        <w:rPr>
          <w:b/>
          <w:bCs/>
          <w:sz w:val="20"/>
        </w:rPr>
      </w:pPr>
      <w:r>
        <w:rPr>
          <w:b/>
          <w:bCs/>
          <w:iCs/>
          <w:sz w:val="20"/>
        </w:rPr>
        <w:t xml:space="preserve">Печенгского муниципального округа от 07.06.2023 № 844</w:t>
      </w:r>
      <w:r>
        <w:rPr>
          <w:b/>
          <w:bCs/>
          <w:sz w:val="20"/>
        </w:rPr>
      </w:r>
      <w:r>
        <w:rPr>
          <w:b/>
          <w:bCs/>
          <w:sz w:val="20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7"/>
        <w:ind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В целях приведения </w:t>
      </w:r>
      <w:r>
        <w:rPr>
          <w:sz w:val="24"/>
          <w:szCs w:val="24"/>
        </w:rPr>
        <w:t xml:space="preserve">муниципального нормативного правового акта </w:t>
      </w:r>
      <w:r>
        <w:rPr>
          <w:sz w:val="24"/>
          <w:szCs w:val="24"/>
        </w:rPr>
        <w:t xml:space="preserve">в соответствие с требованиями </w:t>
      </w:r>
      <w:r>
        <w:rPr>
          <w:sz w:val="24"/>
          <w:szCs w:val="24"/>
        </w:rPr>
        <w:t xml:space="preserve">действующего </w:t>
      </w:r>
      <w:r>
        <w:rPr>
          <w:sz w:val="24"/>
          <w:szCs w:val="24"/>
        </w:rPr>
        <w:t xml:space="preserve">законодательства,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13"/>
        <w:numPr>
          <w:ilvl w:val="0"/>
          <w:numId w:val="18"/>
        </w:numPr>
        <w:ind w:left="0" w:firstLine="709"/>
        <w:jc w:val="both"/>
        <w:spacing w:line="240" w:lineRule="auto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дополнительного образования в сфере культуры, подведомственных отделу культуры, спорта и молодежной политики адми</w:t>
      </w:r>
      <w:r>
        <w:rPr>
          <w:bCs/>
          <w:iCs/>
          <w:sz w:val="24"/>
          <w:szCs w:val="24"/>
        </w:rPr>
        <w:t xml:space="preserve">нистрации Печенгского муниципального округа, утвержденное постановлением администрации Печенгского муниципального округа от 07.06.2023 № 844 (в редакции постановлений администрации Печенгского муниципального округа от 17.10.2023 № 1533, от 24.01.2024 № 103</w:t>
      </w:r>
      <w:r>
        <w:rPr>
          <w:bCs/>
          <w:iCs/>
          <w:sz w:val="24"/>
          <w:szCs w:val="24"/>
        </w:rPr>
        <w:t xml:space="preserve">, от 22.01.2026 № 93)</w:t>
      </w:r>
      <w:r>
        <w:rPr>
          <w:bCs/>
          <w:iCs/>
          <w:sz w:val="24"/>
          <w:szCs w:val="24"/>
        </w:rPr>
        <w:t xml:space="preserve"> (далее – примерное 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1.1. В пункте 1.3. раздела 1 примерного Положения слова «на всей территории Российской Федерации» исключить.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1.2. </w:t>
      </w:r>
      <w:r>
        <w:rPr>
          <w:color w:val="auto"/>
          <w:sz w:val="24"/>
          <w:szCs w:val="24"/>
        </w:rPr>
        <w:t xml:space="preserve">Раздел 4 примерного </w:t>
      </w:r>
      <w:r>
        <w:rPr>
          <w:color w:val="auto"/>
          <w:sz w:val="24"/>
          <w:szCs w:val="24"/>
        </w:rPr>
        <w:t xml:space="preserve">Положения дополнить пункта</w:t>
      </w:r>
      <w:r>
        <w:rPr>
          <w:color w:val="auto"/>
          <w:sz w:val="24"/>
          <w:szCs w:val="24"/>
        </w:rPr>
        <w:t xml:space="preserve">м</w:t>
      </w:r>
      <w:r>
        <w:rPr>
          <w:color w:val="auto"/>
          <w:sz w:val="24"/>
          <w:szCs w:val="24"/>
        </w:rPr>
        <w:t xml:space="preserve">и</w:t>
      </w:r>
      <w:r>
        <w:rPr>
          <w:color w:val="auto"/>
          <w:sz w:val="24"/>
          <w:szCs w:val="24"/>
        </w:rPr>
        <w:t xml:space="preserve"> 4.5.</w:t>
      </w:r>
      <w:r>
        <w:rPr>
          <w:color w:val="auto"/>
          <w:sz w:val="24"/>
          <w:szCs w:val="24"/>
        </w:rPr>
        <w:t xml:space="preserve">, 4.6.</w:t>
      </w:r>
      <w:r>
        <w:rPr>
          <w:color w:val="auto"/>
          <w:sz w:val="24"/>
          <w:szCs w:val="24"/>
        </w:rPr>
        <w:t xml:space="preserve"> следующего содержания: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«4.5. В случаях, когда работнику полагается повышение оклада по двум и более основаниям (в процентах или в абсолютных величинах), абсолютный размер каждого повышения, установленно</w:t>
      </w:r>
      <w:r>
        <w:t xml:space="preserve">го в процентах, исчисляется от оклада без учета повышения по другим основаниям. При этом первоначально оклады повышаются на размер их повышения в процентах, а затем на размеры повышений в абсолютных величинах. Новый должностной оклад рассчитывается как сум</w:t>
      </w:r>
      <w:r>
        <w:t xml:space="preserve">ма должностного оклада и величины указанных повышающих коэффициентов, за исключением случаях, когда работнику полагается повышение оклада за работу в сельских населенных пунктах и посёлках городского типа в соответствии с пунктом 4.3. примерного Положения.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4.6. Норма часов педагогической работы за ставку заработной платы устанавливается в соответствии с приказами Министерства просвещения Российской Федерации от 04.04.2025 </w:t>
      </w:r>
      <w:hyperlink r:id="rId11" w:tooltip="https://login.consultant.ru/link/?req=doc&amp;base=LAW&amp;n=504817&amp;date=17.03.2026" w:history="1">
        <w:r>
          <w:rPr>
            <w:rStyle w:val="921"/>
            <w:rFonts w:eastAsia="Arial"/>
            <w:color w:val="auto"/>
            <w:u w:val="none"/>
          </w:rPr>
          <w:t xml:space="preserve">№  269</w:t>
        </w:r>
      </w:hyperlink>
      <w:r>
        <w:t xml:space="preserve"> «О продолжительности рабочего времени (нормах часов педагогической работы за ставку заработной платы) педагогических работников организаций, осуществляющих образовательную деятельность по основ</w:t>
      </w:r>
      <w:r>
        <w:t xml:space="preserve">ным 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основным программам профессионального обучения, и о порядке определения уче</w:t>
      </w:r>
      <w:r>
        <w:t xml:space="preserve">бной нагрузки указанных педагогических работников, оговариваемой в трудовом договоре, основаниях ее изменения и случаях установления верхнего предела указанной учебной нагрузки» и Министерства науки и высшего образования Российской Федерации от 11.04.2025 </w:t>
      </w:r>
      <w:hyperlink r:id="rId12" w:tooltip="https://login.consultant.ru/link/?req=doc&amp;base=LAW&amp;n=504818&amp;date=17.03.2026" w:history="1">
        <w:r>
          <w:rPr>
            <w:rStyle w:val="921"/>
            <w:rFonts w:eastAsia="Arial"/>
            <w:color w:val="auto"/>
            <w:u w:val="none"/>
          </w:rPr>
          <w:t xml:space="preserve">№ 335</w:t>
        </w:r>
      </w:hyperlink>
      <w:r>
        <w:t xml:space="preserve"> «О продолжительности рабочего времени педаго</w:t>
      </w:r>
      <w:r>
        <w:t xml:space="preserve">гических работников, отнесенных к профессорско-преподавательскому составу, и о порядке определения учебной нагрузки указанных работников, оговариваемой в трудовом договоре, основаниях ее изменения и случаях установления верхнего предела учебной нагрузки.».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1.</w:t>
      </w:r>
      <w:r>
        <w:t xml:space="preserve">3</w:t>
      </w:r>
      <w:r>
        <w:t xml:space="preserve">. Пункт 5.1. раздела 5 примерного Положения изложить в следующей редакции: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«5.1. Работникам Учреждений могут быть осуществлены следующие выплаты компенсационного характера: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1) выплаты работникам за труд в особых условиях: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- в местностях с особыми климатическими условиями;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2) выплаты работникам за труд в условиях, отклоняющихся от нормальных: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- выполнение работ различной квалификации;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- совмещение профессий (должностей), расширение зон обслуживания, увеличение объема работы или исполнение обязанностей временно отсутствующего работника без освобождения от работы, определенной трудовым договором;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- выполнение с письменного согласия дополнительных видов работ, непосредственно связанных с образовательной деятельностью, на условиях дополнительной оплаты;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- работа в выходные и нерабочие праздничные дни.».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1.</w:t>
      </w:r>
      <w:r>
        <w:t xml:space="preserve">4</w:t>
      </w:r>
      <w:r>
        <w:t xml:space="preserve">. Пункт 5.7. раздела 5 примерного Положения изложить в следующей редакции: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«5.7. Работа в выходной или </w:t>
      </w:r>
      <w:hyperlink r:id="rId13" w:tooltip="https://login.consultant.ru/link/?req=doc&amp;base=LAW&amp;n=519026&amp;dst=102376&amp;field=134&amp;date=18.03.2026" w:history="1">
        <w:r>
          <w:rPr>
            <w:rStyle w:val="921"/>
            <w:rFonts w:eastAsia="Arial"/>
            <w:color w:val="auto"/>
            <w:u w:val="none"/>
          </w:rPr>
          <w:t xml:space="preserve">нерабочий праздничный</w:t>
        </w:r>
      </w:hyperlink>
      <w:r>
        <w:t xml:space="preserve"> день оплачивается не менее чем в двойном размере: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работникам, труд которых оплачивается по дневным и часовым тарифным ставкам, - в размере не менее двойной дневной или часовой тарифной ставки;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работникам, получающи</w:t>
      </w:r>
      <w:r>
        <w:t xml:space="preserve">м оклад (должностной оклад), - в размере не менее одинарной дневной или часовой ставки (части оклада (должностного оклада) за день или час работы) сверх оклада (должностного оклада), если работа в выходной или нерабочий праздничный день производилась в пре</w:t>
      </w:r>
      <w:r>
        <w:t xml:space="preserve">делах месячной нормы рабочего времени, и в размере не менее двойной дневной или часовой ставки (части оклада (должностного оклада) за день или час работы) сверх оклада (должностного оклада), если работа производилась сверх месячной нормы рабочего времени.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Конкретные размеры оплаты за работу в выходной или нерабочий праздничный день могут устанавливаться коллективным договором, локальным нормативным актом, принимаемым с учетом мнения представительного органа работников, трудовым договором.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Оплата в повышенном размере производится всем работникам за часы, фактически отработанные в выхо</w:t>
      </w:r>
      <w:r>
        <w:t xml:space="preserve">дной или нерабочий праздничный день. Если на выходной или нерабочий праздничный день приходится часть рабочего дня (смены), в повышенном размере оплачиваются часы, фактически отработанные в выходной или нерабочий праздничный день (от 0 часов до 24 часов).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По желанию работника, работавшего в выходной или нерабочий праздничный день, ему может быть предоставлен другой день отдыха. В этом случае работа в выходной или нерабочий праздничный день оплачивается в одинарном размере, а день отдыха оплате не подлежит.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День отдыха, указанный в </w:t>
      </w:r>
      <w:hyperlink w:tooltip="#p7" w:anchor="p7" w:history="1">
        <w:r>
          <w:rPr>
            <w:rStyle w:val="921"/>
            <w:rFonts w:eastAsia="Arial"/>
            <w:color w:val="auto"/>
            <w:u w:val="none"/>
          </w:rPr>
          <w:t xml:space="preserve">части четвертой</w:t>
        </w:r>
      </w:hyperlink>
      <w:r>
        <w:t xml:space="preserve"> статьи 153 Трудового Кодекса Российской Федерации, по желанию работника может быть использован в течение одного года со дня работы в выходной или нерабочий праздничный день либо присоединен к отпуску, предоставляемому в указанный период.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В случае, если на день увольнения работника имеется день отдыха за работу в выходной или нерабочий праздничный день, н</w:t>
      </w:r>
      <w:r>
        <w:t xml:space="preserve">е использованный им в период трудовой деятельности у работодателя, с которым прекращается трудовой договор, в день увольнения работнику выплачивается разница между оплатой работы в выходной или нерабочий праздничный день, полагавшейся ему в соответствии с </w:t>
      </w:r>
      <w:hyperlink w:tooltip="#p0" w:anchor="p0" w:history="1">
        <w:r>
          <w:rPr>
            <w:rStyle w:val="921"/>
            <w:rFonts w:eastAsia="Arial"/>
            <w:color w:val="auto"/>
            <w:u w:val="none"/>
          </w:rPr>
          <w:t xml:space="preserve">частями первой</w:t>
        </w:r>
      </w:hyperlink>
      <w:r>
        <w:t xml:space="preserve"> - </w:t>
      </w:r>
      <w:hyperlink w:tooltip="#p5" w:anchor="p5" w:history="1">
        <w:r>
          <w:rPr>
            <w:rStyle w:val="921"/>
            <w:rFonts w:eastAsia="Arial"/>
            <w:color w:val="auto"/>
            <w:u w:val="none"/>
          </w:rPr>
          <w:t xml:space="preserve">третьей</w:t>
        </w:r>
      </w:hyperlink>
      <w:r>
        <w:t xml:space="preserve"> статьи 153 Трудового Кодекса Российской</w:t>
      </w:r>
      <w:r>
        <w:t xml:space="preserve"> Федерации, и фактически произведенной оплатой работы в этот день. Указанная разница выплачивается работнику за все дни отдыха за работу в выходные или нерабочие праздничные дни, не использованные им в период трудовой деятельности у данного работодателя.».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1</w:t>
      </w:r>
      <w:r>
        <w:t xml:space="preserve">.</w:t>
      </w:r>
      <w:r>
        <w:t xml:space="preserve">5</w:t>
      </w:r>
      <w:r>
        <w:t xml:space="preserve">. </w:t>
      </w:r>
      <w:r>
        <w:t xml:space="preserve">Пункт 5.8. раздела 5 примерного Положения исключить. 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  <w:rPr>
          <w:color w:val="7030a0"/>
        </w:rPr>
      </w:pPr>
      <w:r>
        <w:t xml:space="preserve">1.6</w:t>
      </w:r>
      <w:r>
        <w:t xml:space="preserve">. </w:t>
      </w:r>
      <w:r>
        <w:rPr>
          <w:bCs/>
          <w:iCs/>
        </w:rPr>
        <w:t xml:space="preserve">Пункт 6.1</w:t>
      </w:r>
      <w:r>
        <w:rPr>
          <w:bCs/>
          <w:iCs/>
        </w:rPr>
        <w:t xml:space="preserve">.</w:t>
      </w:r>
      <w:r>
        <w:rPr>
          <w:bCs/>
          <w:iCs/>
        </w:rPr>
        <w:t xml:space="preserve"> раздела 6 </w:t>
      </w:r>
      <w:r>
        <w:rPr>
          <w:bCs/>
          <w:iCs/>
        </w:rPr>
        <w:t xml:space="preserve">примерного </w:t>
      </w:r>
      <w:r>
        <w:rPr>
          <w:bCs/>
          <w:iCs/>
        </w:rPr>
        <w:t xml:space="preserve">Положения изложить в следующей редакции:</w:t>
      </w:r>
      <w:r>
        <w:rPr>
          <w:color w:val="7030a0"/>
        </w:rPr>
      </w:r>
      <w:r>
        <w:rPr>
          <w:color w:val="7030a0"/>
        </w:rPr>
      </w:r>
    </w:p>
    <w:p>
      <w:pPr>
        <w:pStyle w:val="922"/>
        <w:ind w:lef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6.1.</w:t>
      </w:r>
      <w:r>
        <w:t xml:space="preserve"> </w:t>
      </w:r>
      <w:r>
        <w:rPr>
          <w:sz w:val="24"/>
          <w:szCs w:val="24"/>
        </w:rPr>
        <w:t xml:space="preserve">Выплаты стимулирующего характера, размеры и условия их осуществления устанавливаются Положением об оплате труда работников 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чреждени</w:t>
      </w:r>
      <w:r>
        <w:rPr>
          <w:sz w:val="24"/>
          <w:szCs w:val="24"/>
        </w:rPr>
        <w:t xml:space="preserve">я и утверждаются руководителем У</w:t>
      </w:r>
      <w:r>
        <w:rPr>
          <w:sz w:val="24"/>
          <w:szCs w:val="24"/>
        </w:rPr>
        <w:t xml:space="preserve">чреждения </w:t>
      </w:r>
      <w:r>
        <w:rPr>
          <w:sz w:val="24"/>
          <w:szCs w:val="24"/>
        </w:rPr>
        <w:t xml:space="preserve">с учетом мнения </w:t>
      </w:r>
      <w:r>
        <w:rPr>
          <w:sz w:val="24"/>
          <w:szCs w:val="24"/>
        </w:rPr>
        <w:t xml:space="preserve">представительного или совещательного органа (комиссии) работников данного Учреждения</w:t>
      </w:r>
      <w:r>
        <w:rPr>
          <w:sz w:val="24"/>
          <w:szCs w:val="24"/>
        </w:rPr>
        <w:t xml:space="preserve"> и оформляется приказом.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2"/>
        <w:ind w:lef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Положением</w:t>
      </w:r>
      <w:r>
        <w:rPr>
          <w:sz w:val="24"/>
          <w:szCs w:val="24"/>
        </w:rPr>
        <w:t xml:space="preserve"> об оплате труда работников У</w:t>
      </w:r>
      <w:r>
        <w:rPr>
          <w:sz w:val="24"/>
          <w:szCs w:val="24"/>
        </w:rPr>
        <w:t xml:space="preserve">чреждения может быть предусмотрено установление работникам стимулирующих надбавок к должностному окладу: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1"/>
        <w:ind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за сложность, напряженность (интенсивность), высокие результаты работы;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педагогу -</w:t>
      </w:r>
      <w:r>
        <w:rPr>
          <w:rFonts w:ascii="Times New Roman" w:hAnsi="Times New Roman" w:cs="Times New Roman"/>
          <w:sz w:val="24"/>
          <w:szCs w:val="24"/>
        </w:rPr>
        <w:t xml:space="preserve"> молодому специалисту;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2"/>
        <w:ind w:left="709"/>
        <w:jc w:val="both"/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за почетное звание Российской Федерации, ученую степень, ученое звание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2"/>
        <w:ind w:left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Иные поощрительные выплаты: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9"/>
        <w:ind w:firstLine="708"/>
        <w:jc w:val="both"/>
        <w:spacing w:before="0" w:beforeAutospacing="0" w:after="0" w:afterAutospacing="0" w:line="240" w:lineRule="auto"/>
      </w:pPr>
      <w:r>
        <w:t xml:space="preserve">- единовременные поощрительные выплаты.</w:t>
      </w:r>
      <w:r/>
    </w:p>
    <w:p>
      <w:pPr>
        <w:pStyle w:val="922"/>
        <w:ind w:lef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Установление стимулирующей надбавки осуществ</w:t>
      </w:r>
      <w:r>
        <w:rPr>
          <w:sz w:val="24"/>
          <w:szCs w:val="24"/>
        </w:rPr>
        <w:t xml:space="preserve">ляется по решению руководителя У</w:t>
      </w:r>
      <w:r>
        <w:rPr>
          <w:sz w:val="24"/>
          <w:szCs w:val="24"/>
        </w:rPr>
        <w:t xml:space="preserve">чреждения в пределах бюджетных ассигнований на оплату труда работников 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чреждения, а также средств от приносящей доход деятельности, направленных 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чреждением на оплату труда работников.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2"/>
        <w:ind w:lef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 отсутствии или недостаточном объеме соответствующих (бюджетных и внебюджетных) ф</w:t>
      </w:r>
      <w:r>
        <w:rPr>
          <w:sz w:val="24"/>
          <w:szCs w:val="24"/>
        </w:rPr>
        <w:t xml:space="preserve">инансовых средств руководитель У</w:t>
      </w:r>
      <w:r>
        <w:rPr>
          <w:sz w:val="24"/>
          <w:szCs w:val="24"/>
        </w:rPr>
        <w:t xml:space="preserve">чреждения уменьшает, приостанавливает либо отменяет выплату стимулирующего характера.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2"/>
        <w:ind w:lef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Раздел 7 примерного Положения дополнить пунктом 7.8.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2"/>
        <w:ind w:lef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«7.8.</w:t>
      </w:r>
      <w:r>
        <w:rPr>
          <w:sz w:val="24"/>
          <w:szCs w:val="24"/>
        </w:rPr>
        <w:t xml:space="preserve"> Снижение размера премии работнику в связи с применением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работ</w:t>
      </w:r>
      <w:r>
        <w:rPr>
          <w:sz w:val="24"/>
          <w:szCs w:val="24"/>
        </w:rPr>
        <w:t xml:space="preserve">ника премий, которые начисляются за период, в котором к работнику было применено соответствующее дисциплинарное взыскание, а размер такого снижения премии не может приводить к уменьшению размера месячной заработной платы работника более чем на 20 процентов</w:t>
      </w:r>
      <w:r>
        <w:rPr>
          <w:sz w:val="24"/>
          <w:szCs w:val="24"/>
        </w:rPr>
        <w:t xml:space="preserve">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2"/>
        <w:ind w:left="0" w:firstLine="709"/>
        <w:jc w:val="both"/>
        <w:spacing w:line="240" w:lineRule="auto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 В</w:t>
      </w:r>
      <w:r>
        <w:rPr>
          <w:sz w:val="24"/>
          <w:szCs w:val="24"/>
        </w:rPr>
        <w:t xml:space="preserve"> пункте 8.1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раздела 8 </w:t>
      </w:r>
      <w:r>
        <w:rPr>
          <w:sz w:val="24"/>
          <w:szCs w:val="24"/>
        </w:rPr>
        <w:t xml:space="preserve">примерного </w:t>
      </w:r>
      <w:r>
        <w:rPr>
          <w:sz w:val="24"/>
          <w:szCs w:val="24"/>
        </w:rPr>
        <w:t xml:space="preserve">Положения слова «</w:t>
      </w:r>
      <w:r>
        <w:rPr>
          <w:bCs/>
          <w:iCs/>
          <w:sz w:val="24"/>
          <w:szCs w:val="24"/>
        </w:rPr>
        <w:t xml:space="preserve">на всей территории Российской Федерации</w:t>
      </w:r>
      <w:r>
        <w:rPr>
          <w:bCs/>
          <w:iCs/>
          <w:sz w:val="24"/>
          <w:szCs w:val="24"/>
        </w:rPr>
        <w:t xml:space="preserve">» исключить.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922"/>
        <w:ind w:lef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1.9</w:t>
      </w:r>
      <w:r>
        <w:rPr>
          <w:sz w:val="24"/>
          <w:szCs w:val="24"/>
        </w:rPr>
        <w:t xml:space="preserve">. Пункт 9.2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раздела 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примерного </w:t>
      </w:r>
      <w:r>
        <w:rPr>
          <w:sz w:val="24"/>
          <w:szCs w:val="24"/>
        </w:rPr>
        <w:t xml:space="preserve">Положения дополнить третьим абзацем,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«</w:t>
      </w:r>
      <w:r>
        <w:t xml:space="preserve">Определение среднемесячной заработной платы в целях</w:t>
      </w:r>
      <w:r>
        <w:t xml:space="preserve"> расчета соотношения среднемесячной заработной платы руководителей и их заместителей и среднемесячной заработной платы работников этих учреждений </w:t>
      </w:r>
      <w:r>
        <w:t xml:space="preserve">осуществляется в соответствии с </w:t>
      </w:r>
      <w:hyperlink r:id="rId14" w:tooltip="https://login.consultant.ru/link/?req=doc&amp;base=LAW&amp;n=504093&amp;dst=100011&amp;field=134&amp;date=18.03.2026" w:history="1">
        <w:r>
          <w:rPr>
            <w:rStyle w:val="921"/>
            <w:rFonts w:eastAsia="Arial"/>
            <w:color w:val="000000" w:themeColor="text1"/>
            <w:u w:val="none"/>
          </w:rPr>
          <w:t xml:space="preserve">Положением</w:t>
        </w:r>
      </w:hyperlink>
      <w:r>
        <w:t xml:space="preserve"> об особенностях порядка исчисления средней заработной платы, утвержденным постановлением Правительства Российской Федерации от 24.04.2025 </w:t>
      </w:r>
      <w:r>
        <w:t xml:space="preserve">               </w:t>
      </w:r>
      <w:r>
        <w:t xml:space="preserve">№ 540 «</w:t>
      </w:r>
      <w:r>
        <w:t xml:space="preserve">Об особенностях порядка исчи</w:t>
      </w:r>
      <w:r>
        <w:t xml:space="preserve">сления средней заработной платы</w:t>
      </w:r>
      <w:r>
        <w:t xml:space="preserve">.</w:t>
      </w:r>
      <w:r>
        <w:t xml:space="preserve">»</w:t>
      </w:r>
      <w:r>
        <w:t xml:space="preserve">.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t xml:space="preserve">2.</w:t>
      </w:r>
      <w:r>
        <w:rPr>
          <w:rFonts w:eastAsiaTheme="minorHAnsi"/>
          <w:lang w:eastAsia="en-US"/>
        </w:rPr>
        <w:t xml:space="preserve"> Настоящее постановление вступает в силу после его </w:t>
      </w:r>
      <w:r>
        <w:t xml:space="preserve">опубликования в газете «Печенга»</w:t>
      </w:r>
      <w:r>
        <w:t xml:space="preserve">.</w:t>
      </w:r>
      <w:r/>
    </w:p>
    <w:p>
      <w:pPr>
        <w:pStyle w:val="939"/>
        <w:ind w:left="0" w:right="0" w:firstLine="709"/>
        <w:jc w:val="both"/>
        <w:spacing w:before="0" w:beforeAutospacing="0" w:after="0" w:afterAutospacing="0" w:line="240" w:lineRule="auto"/>
      </w:pPr>
      <w:r>
        <w:rPr>
          <w:rFonts w:eastAsiaTheme="minorHAnsi"/>
          <w:lang w:eastAsia="en-US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/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А.</w:t>
      </w:r>
      <w:r>
        <w:rPr>
          <w:sz w:val="24"/>
          <w:szCs w:val="24"/>
        </w:rPr>
        <w:t xml:space="preserve">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highlight w:val="none"/>
          <w:lang w:eastAsia="en-US"/>
        </w:rPr>
      </w:r>
      <w:r>
        <w:rPr>
          <w:rFonts w:eastAsiaTheme="minorHAnsi"/>
          <w:color w:val="auto"/>
          <w:highlight w:val="none"/>
          <w:lang w:eastAsia="en-US"/>
        </w:rPr>
      </w:r>
      <w:r>
        <w:rPr>
          <w:rFonts w:eastAsiaTheme="minorHAnsi"/>
          <w:color w:val="auto"/>
          <w:lang w:eastAsia="en-US"/>
        </w:rPr>
      </w:r>
    </w:p>
    <w:p>
      <w:pPr>
        <w:jc w:val="both"/>
        <w:widowControl w:val="off"/>
        <w:rPr>
          <w:rFonts w:eastAsiaTheme="minorHAnsi"/>
          <w:color w:val="auto"/>
          <w:highlight w:val="none"/>
          <w:lang w:eastAsia="en-US"/>
        </w:rPr>
      </w:pPr>
      <w:r>
        <w:rPr>
          <w:rFonts w:eastAsiaTheme="minorHAnsi"/>
          <w:color w:val="auto"/>
          <w:highlight w:val="none"/>
          <w:lang w:eastAsia="en-US"/>
        </w:rPr>
      </w:r>
      <w:r>
        <w:rPr>
          <w:rFonts w:eastAsiaTheme="minorHAnsi"/>
          <w:color w:val="auto"/>
          <w:highlight w:val="none"/>
          <w:lang w:eastAsia="en-US"/>
        </w:rPr>
      </w:r>
      <w:r>
        <w:rPr>
          <w:rFonts w:eastAsiaTheme="minorHAnsi"/>
          <w:color w:val="auto"/>
          <w:highlight w:val="none"/>
          <w:lang w:eastAsia="en-US"/>
        </w:rPr>
      </w:r>
    </w:p>
    <w:p>
      <w:pPr>
        <w:jc w:val="both"/>
        <w:widowControl w:val="off"/>
        <w:rPr>
          <w:rFonts w:eastAsiaTheme="minorHAnsi"/>
          <w:color w:val="auto"/>
          <w:highlight w:val="none"/>
          <w:lang w:eastAsia="en-US"/>
        </w:rPr>
      </w:pPr>
      <w:r>
        <w:t xml:space="preserve">Морозова М.Е., 5-01-79</w:t>
      </w:r>
      <w:r>
        <w:rPr>
          <w:rFonts w:eastAsiaTheme="minorHAnsi"/>
          <w:color w:val="auto"/>
          <w:highlight w:val="none"/>
          <w:lang w:eastAsia="en-US"/>
        </w:rPr>
      </w:r>
      <w:r>
        <w:rPr>
          <w:rFonts w:eastAsiaTheme="minorHAnsi"/>
          <w:color w:val="auto"/>
          <w:highlight w:val="none"/>
          <w:lang w:eastAsia="en-US"/>
        </w:rPr>
      </w:r>
    </w:p>
    <w:sectPr>
      <w:footnotePr/>
      <w:endnotePr/>
      <w:type w:val="nextPage"/>
      <w:pgSz w:w="11906" w:h="16838" w:orient="portrait"/>
      <w:pgMar w:top="567" w:right="850" w:bottom="70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9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isLgl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2"/>
  </w:num>
  <w:num w:numId="4">
    <w:abstractNumId w:val="11"/>
  </w:num>
  <w:num w:numId="5">
    <w:abstractNumId w:val="17"/>
  </w:num>
  <w:num w:numId="6">
    <w:abstractNumId w:val="16"/>
  </w:num>
  <w:num w:numId="7">
    <w:abstractNumId w:val="5"/>
  </w:num>
  <w:num w:numId="8">
    <w:abstractNumId w:val="14"/>
  </w:num>
  <w:num w:numId="9">
    <w:abstractNumId w:val="13"/>
  </w:num>
  <w:num w:numId="10">
    <w:abstractNumId w:val="0"/>
  </w:num>
  <w:num w:numId="11">
    <w:abstractNumId w:val="15"/>
  </w:num>
  <w:num w:numId="12">
    <w:abstractNumId w:val="7"/>
  </w:num>
  <w:num w:numId="13">
    <w:abstractNumId w:val="10"/>
  </w:num>
  <w:num w:numId="14">
    <w:abstractNumId w:val="6"/>
  </w:num>
  <w:num w:numId="15">
    <w:abstractNumId w:val="8"/>
  </w:num>
  <w:num w:numId="16">
    <w:abstractNumId w:val="3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0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0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4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7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8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10">
    <w:name w:val="Heading 1"/>
    <w:basedOn w:val="709"/>
    <w:next w:val="709"/>
    <w:link w:val="7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1">
    <w:name w:val="Heading 2"/>
    <w:basedOn w:val="709"/>
    <w:next w:val="709"/>
    <w:link w:val="75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2">
    <w:name w:val="Heading 3"/>
    <w:basedOn w:val="709"/>
    <w:next w:val="709"/>
    <w:link w:val="7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3">
    <w:name w:val="Heading 4"/>
    <w:basedOn w:val="709"/>
    <w:next w:val="709"/>
    <w:link w:val="917"/>
    <w:qFormat/>
    <w:pPr>
      <w:ind w:firstLine="709"/>
      <w:keepNext/>
      <w:outlineLvl w:val="3"/>
    </w:pPr>
    <w:rPr>
      <w:sz w:val="28"/>
    </w:rPr>
  </w:style>
  <w:style w:type="paragraph" w:styleId="714">
    <w:name w:val="Heading 5"/>
    <w:basedOn w:val="709"/>
    <w:next w:val="709"/>
    <w:link w:val="7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709"/>
    <w:next w:val="709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709"/>
    <w:next w:val="709"/>
    <w:link w:val="76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7">
    <w:name w:val="Heading 8"/>
    <w:basedOn w:val="709"/>
    <w:next w:val="709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709"/>
    <w:next w:val="709"/>
    <w:link w:val="7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character" w:styleId="722" w:customStyle="1">
    <w:name w:val="Heading 1 Char"/>
    <w:basedOn w:val="719"/>
    <w:uiPriority w:val="9"/>
    <w:rPr>
      <w:rFonts w:ascii="Arial" w:hAnsi="Arial" w:eastAsia="Arial" w:cs="Arial"/>
      <w:sz w:val="40"/>
      <w:szCs w:val="40"/>
    </w:rPr>
  </w:style>
  <w:style w:type="character" w:styleId="723" w:customStyle="1">
    <w:name w:val="Heading 2 Char"/>
    <w:basedOn w:val="719"/>
    <w:uiPriority w:val="9"/>
    <w:rPr>
      <w:rFonts w:ascii="Arial" w:hAnsi="Arial" w:eastAsia="Arial" w:cs="Arial"/>
      <w:sz w:val="34"/>
    </w:rPr>
  </w:style>
  <w:style w:type="character" w:styleId="724" w:customStyle="1">
    <w:name w:val="Heading 3 Char"/>
    <w:basedOn w:val="719"/>
    <w:uiPriority w:val="9"/>
    <w:rPr>
      <w:rFonts w:ascii="Arial" w:hAnsi="Arial" w:eastAsia="Arial" w:cs="Arial"/>
      <w:sz w:val="30"/>
      <w:szCs w:val="30"/>
    </w:rPr>
  </w:style>
  <w:style w:type="character" w:styleId="725" w:customStyle="1">
    <w:name w:val="Heading 5 Char"/>
    <w:basedOn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26" w:customStyle="1">
    <w:name w:val="Heading 6 Char"/>
    <w:basedOn w:val="719"/>
    <w:uiPriority w:val="9"/>
    <w:rPr>
      <w:rFonts w:ascii="Arial" w:hAnsi="Arial" w:eastAsia="Arial" w:cs="Arial"/>
      <w:b/>
      <w:bCs/>
      <w:sz w:val="22"/>
      <w:szCs w:val="22"/>
    </w:rPr>
  </w:style>
  <w:style w:type="character" w:styleId="727" w:customStyle="1">
    <w:name w:val="Heading 7 Char"/>
    <w:basedOn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 w:customStyle="1">
    <w:name w:val="Heading 8 Char"/>
    <w:basedOn w:val="719"/>
    <w:uiPriority w:val="9"/>
    <w:rPr>
      <w:rFonts w:ascii="Arial" w:hAnsi="Arial" w:eastAsia="Arial" w:cs="Arial"/>
      <w:i/>
      <w:iCs/>
      <w:sz w:val="22"/>
      <w:szCs w:val="22"/>
    </w:rPr>
  </w:style>
  <w:style w:type="character" w:styleId="729" w:customStyle="1">
    <w:name w:val="Heading 9 Char"/>
    <w:basedOn w:val="719"/>
    <w:uiPriority w:val="9"/>
    <w:rPr>
      <w:rFonts w:ascii="Arial" w:hAnsi="Arial" w:eastAsia="Arial" w:cs="Arial"/>
      <w:i/>
      <w:iCs/>
      <w:sz w:val="21"/>
      <w:szCs w:val="21"/>
    </w:rPr>
  </w:style>
  <w:style w:type="character" w:styleId="730" w:customStyle="1">
    <w:name w:val="Title Char"/>
    <w:basedOn w:val="719"/>
    <w:uiPriority w:val="10"/>
    <w:rPr>
      <w:sz w:val="48"/>
      <w:szCs w:val="48"/>
    </w:rPr>
  </w:style>
  <w:style w:type="character" w:styleId="731" w:customStyle="1">
    <w:name w:val="Subtitle Char"/>
    <w:basedOn w:val="719"/>
    <w:uiPriority w:val="11"/>
    <w:rPr>
      <w:sz w:val="24"/>
      <w:szCs w:val="24"/>
    </w:rPr>
  </w:style>
  <w:style w:type="character" w:styleId="732" w:customStyle="1">
    <w:name w:val="Quote Char"/>
    <w:uiPriority w:val="29"/>
    <w:rPr>
      <w:i/>
    </w:rPr>
  </w:style>
  <w:style w:type="character" w:styleId="733" w:customStyle="1">
    <w:name w:val="Intense Quote Char"/>
    <w:uiPriority w:val="30"/>
    <w:rPr>
      <w:i/>
    </w:rPr>
  </w:style>
  <w:style w:type="character" w:styleId="734" w:customStyle="1">
    <w:name w:val="Header Char"/>
    <w:basedOn w:val="719"/>
    <w:uiPriority w:val="99"/>
  </w:style>
  <w:style w:type="character" w:styleId="735" w:customStyle="1">
    <w:name w:val="Caption Char"/>
    <w:uiPriority w:val="99"/>
  </w:style>
  <w:style w:type="table" w:styleId="736" w:customStyle="1">
    <w:name w:val="Таблица простая 11"/>
    <w:basedOn w:val="72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 w:customStyle="1">
    <w:name w:val="Таблица простая 21"/>
    <w:basedOn w:val="72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 w:customStyle="1">
    <w:name w:val="Таблица простая 3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 w:customStyle="1">
    <w:name w:val="Таблица простая 4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Таблица простая 5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 w:customStyle="1">
    <w:name w:val="Таблица-сетка 1 светл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Таблица-сетка 2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Таблица-сетка 3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Таблица-сетка 41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 w:customStyle="1">
    <w:name w:val="Таблица-сетка 5 тем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6" w:customStyle="1">
    <w:name w:val="Таблица-сетка 6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Таблица-сетка 7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8" w:customStyle="1">
    <w:name w:val="Список-таблица 1 светлая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Список-таблица 2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0" w:customStyle="1">
    <w:name w:val="Список-таблица 3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Список-таблица 4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Список-таблица 5 тем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3" w:customStyle="1">
    <w:name w:val="Список-таблица 6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4" w:customStyle="1">
    <w:name w:val="Список-таблица 7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5" w:customStyle="1">
    <w:name w:val="Заголовок 1 Знак"/>
    <w:basedOn w:val="719"/>
    <w:link w:val="710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Заголовок 2 Знак"/>
    <w:basedOn w:val="719"/>
    <w:link w:val="711"/>
    <w:uiPriority w:val="9"/>
    <w:rPr>
      <w:rFonts w:ascii="Arial" w:hAnsi="Arial" w:eastAsia="Arial" w:cs="Arial"/>
      <w:sz w:val="34"/>
    </w:rPr>
  </w:style>
  <w:style w:type="character" w:styleId="757" w:customStyle="1">
    <w:name w:val="Заголовок 3 Знак"/>
    <w:basedOn w:val="719"/>
    <w:link w:val="712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Heading 4 Char"/>
    <w:basedOn w:val="719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Заголовок 5 Знак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Заголовок 6 Знак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Заголовок 7 Знак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Заголовок 8 Знак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Заголовок 9 Знак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No Spacing"/>
    <w:uiPriority w:val="1"/>
    <w:qFormat/>
    <w:pPr>
      <w:spacing w:after="0" w:line="240" w:lineRule="auto"/>
    </w:pPr>
  </w:style>
  <w:style w:type="paragraph" w:styleId="765">
    <w:name w:val="Title"/>
    <w:basedOn w:val="709"/>
    <w:next w:val="709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 w:customStyle="1">
    <w:name w:val="Заголовок Знак"/>
    <w:basedOn w:val="719"/>
    <w:link w:val="765"/>
    <w:uiPriority w:val="10"/>
    <w:rPr>
      <w:sz w:val="48"/>
      <w:szCs w:val="48"/>
    </w:rPr>
  </w:style>
  <w:style w:type="paragraph" w:styleId="767">
    <w:name w:val="Subtitle"/>
    <w:basedOn w:val="709"/>
    <w:next w:val="709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 w:customStyle="1">
    <w:name w:val="Подзаголовок Знак"/>
    <w:basedOn w:val="719"/>
    <w:link w:val="767"/>
    <w:uiPriority w:val="11"/>
    <w:rPr>
      <w:sz w:val="24"/>
      <w:szCs w:val="24"/>
    </w:rPr>
  </w:style>
  <w:style w:type="paragraph" w:styleId="769">
    <w:name w:val="Quote"/>
    <w:basedOn w:val="709"/>
    <w:next w:val="709"/>
    <w:link w:val="770"/>
    <w:uiPriority w:val="29"/>
    <w:qFormat/>
    <w:pPr>
      <w:ind w:left="720" w:right="720"/>
    </w:pPr>
    <w:rPr>
      <w:i/>
    </w:rPr>
  </w:style>
  <w:style w:type="character" w:styleId="770" w:customStyle="1">
    <w:name w:val="Цитата 2 Знак"/>
    <w:link w:val="769"/>
    <w:uiPriority w:val="29"/>
    <w:rPr>
      <w:i/>
    </w:rPr>
  </w:style>
  <w:style w:type="paragraph" w:styleId="771">
    <w:name w:val="Intense Quote"/>
    <w:basedOn w:val="709"/>
    <w:next w:val="709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</w:rPr>
  </w:style>
  <w:style w:type="paragraph" w:styleId="773">
    <w:name w:val="Header"/>
    <w:basedOn w:val="709"/>
    <w:link w:val="77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4" w:customStyle="1">
    <w:name w:val="Верхний колонтитул Знак"/>
    <w:basedOn w:val="719"/>
    <w:link w:val="773"/>
    <w:uiPriority w:val="99"/>
  </w:style>
  <w:style w:type="paragraph" w:styleId="775">
    <w:name w:val="Footer"/>
    <w:basedOn w:val="709"/>
    <w:link w:val="77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76" w:customStyle="1">
    <w:name w:val="Footer Char"/>
    <w:basedOn w:val="719"/>
    <w:uiPriority w:val="99"/>
  </w:style>
  <w:style w:type="paragraph" w:styleId="777">
    <w:name w:val="Caption"/>
    <w:basedOn w:val="709"/>
    <w:next w:val="7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8" w:customStyle="1">
    <w:name w:val="Нижний колонтитул Знак"/>
    <w:link w:val="775"/>
    <w:uiPriority w:val="99"/>
  </w:style>
  <w:style w:type="table" w:styleId="779" w:customStyle="1">
    <w:name w:val="Table Grid Light"/>
    <w:basedOn w:val="72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0" w:customStyle="1">
    <w:name w:val="Таблица простая 11"/>
    <w:basedOn w:val="72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 w:customStyle="1">
    <w:name w:val="Таблица простая 21"/>
    <w:basedOn w:val="72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 w:customStyle="1">
    <w:name w:val="Таблица простая 3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3" w:customStyle="1">
    <w:name w:val="Таблица простая 4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Таблица простая 5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5" w:customStyle="1">
    <w:name w:val="Таблица-сетка 1 светл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Таблица-сетка 2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3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Таблица-сетка 41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7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8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0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2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3" w:customStyle="1">
    <w:name w:val="Таблица-сетка 5 тем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0" w:customStyle="1">
    <w:name w:val="Таблица-сетка 6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1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2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3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4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5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6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7" w:customStyle="1">
    <w:name w:val="Таблица-сетка 7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Список-таблица 1 светлая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Список-таблица 2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8" w:customStyle="1">
    <w:name w:val="Список-таблица 3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Список-таблица 4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Список-таблица 5 тем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Список-таблица 6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0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1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2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3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4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5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6" w:customStyle="1">
    <w:name w:val="Список-таблица 7 цветная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4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5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6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7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8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9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0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1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2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3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4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5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6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7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8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9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0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1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2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3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4" w:customStyle="1">
    <w:name w:val="Footnote Text Char"/>
    <w:uiPriority w:val="99"/>
    <w:rPr>
      <w:sz w:val="18"/>
    </w:rPr>
  </w:style>
  <w:style w:type="character" w:styleId="905" w:customStyle="1">
    <w:name w:val="Endnote Text Char"/>
    <w:uiPriority w:val="99"/>
    <w:rPr>
      <w:sz w:val="20"/>
    </w:rPr>
  </w:style>
  <w:style w:type="paragraph" w:styleId="906">
    <w:name w:val="toc 1"/>
    <w:basedOn w:val="709"/>
    <w:next w:val="709"/>
    <w:uiPriority w:val="39"/>
    <w:unhideWhenUsed/>
    <w:pPr>
      <w:spacing w:after="57"/>
    </w:pPr>
  </w:style>
  <w:style w:type="paragraph" w:styleId="907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908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909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910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911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912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913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914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09"/>
    <w:next w:val="709"/>
    <w:uiPriority w:val="99"/>
    <w:unhideWhenUsed/>
  </w:style>
  <w:style w:type="character" w:styleId="917" w:customStyle="1">
    <w:name w:val="Заголовок 4 Знак"/>
    <w:basedOn w:val="719"/>
    <w:link w:val="713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918">
    <w:name w:val="Table Grid"/>
    <w:basedOn w:val="72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9">
    <w:name w:val="Balloon Text"/>
    <w:basedOn w:val="709"/>
    <w:link w:val="920"/>
    <w:uiPriority w:val="99"/>
    <w:semiHidden/>
    <w:unhideWhenUsed/>
    <w:rPr>
      <w:rFonts w:ascii="Tahoma" w:hAnsi="Tahoma" w:cs="Tahoma"/>
      <w:sz w:val="16"/>
      <w:szCs w:val="16"/>
    </w:rPr>
  </w:style>
  <w:style w:type="character" w:styleId="920" w:customStyle="1">
    <w:name w:val="Текст выноски Знак"/>
    <w:basedOn w:val="719"/>
    <w:link w:val="919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921">
    <w:name w:val="Hyperlink"/>
    <w:basedOn w:val="719"/>
    <w:uiPriority w:val="99"/>
    <w:unhideWhenUsed/>
    <w:rPr>
      <w:color w:val="0000ff" w:themeColor="hyperlink"/>
      <w:u w:val="single"/>
    </w:rPr>
  </w:style>
  <w:style w:type="paragraph" w:styleId="922">
    <w:name w:val="List Paragraph"/>
    <w:basedOn w:val="709"/>
    <w:uiPriority w:val="34"/>
    <w:qFormat/>
    <w:pPr>
      <w:contextualSpacing/>
      <w:ind w:left="720"/>
    </w:pPr>
  </w:style>
  <w:style w:type="paragraph" w:styleId="923">
    <w:name w:val="endnote text"/>
    <w:basedOn w:val="709"/>
    <w:link w:val="924"/>
    <w:uiPriority w:val="99"/>
    <w:semiHidden/>
    <w:unhideWhenUsed/>
  </w:style>
  <w:style w:type="character" w:styleId="924" w:customStyle="1">
    <w:name w:val="Текст концевой сноски Знак"/>
    <w:basedOn w:val="719"/>
    <w:link w:val="923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25">
    <w:name w:val="endnote reference"/>
    <w:basedOn w:val="719"/>
    <w:uiPriority w:val="99"/>
    <w:semiHidden/>
    <w:unhideWhenUsed/>
    <w:rPr>
      <w:vertAlign w:val="superscript"/>
    </w:rPr>
  </w:style>
  <w:style w:type="paragraph" w:styleId="926">
    <w:name w:val="footnote text"/>
    <w:basedOn w:val="709"/>
    <w:link w:val="927"/>
    <w:uiPriority w:val="99"/>
    <w:semiHidden/>
    <w:unhideWhenUsed/>
  </w:style>
  <w:style w:type="character" w:styleId="927" w:customStyle="1">
    <w:name w:val="Текст сноски Знак"/>
    <w:basedOn w:val="719"/>
    <w:link w:val="926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28">
    <w:name w:val="footnote reference"/>
    <w:basedOn w:val="719"/>
    <w:uiPriority w:val="99"/>
    <w:semiHidden/>
    <w:unhideWhenUsed/>
    <w:rPr>
      <w:vertAlign w:val="superscript"/>
    </w:rPr>
  </w:style>
  <w:style w:type="table" w:styleId="929" w:customStyle="1">
    <w:name w:val="Сетка таблицы1"/>
    <w:basedOn w:val="720"/>
    <w:next w:val="91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30" w:customStyle="1">
    <w:name w:val="Сетка таблицы2"/>
    <w:basedOn w:val="720"/>
    <w:next w:val="91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32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table" w:styleId="933" w:customStyle="1">
    <w:name w:val="Сетка таблицы3"/>
    <w:basedOn w:val="720"/>
    <w:next w:val="91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4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35" w:customStyle="1">
    <w:name w:val="ConsPlusCell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36" w:customStyle="1">
    <w:name w:val="Обычный + 12 пт"/>
    <w:basedOn w:val="709"/>
    <w:pPr>
      <w:ind w:right="94" w:firstLine="709"/>
      <w:jc w:val="both"/>
      <w:shd w:val="clear" w:color="auto" w:fill="ffffff"/>
    </w:pPr>
    <w:rPr>
      <w:rFonts w:eastAsia="Calibri"/>
      <w:color w:val="auto"/>
      <w:spacing w:val="-6"/>
      <w:sz w:val="24"/>
      <w:szCs w:val="24"/>
    </w:rPr>
  </w:style>
  <w:style w:type="paragraph" w:styleId="937">
    <w:name w:val="Body Text 3"/>
    <w:basedOn w:val="709"/>
    <w:link w:val="938"/>
    <w:pPr>
      <w:spacing w:after="120"/>
    </w:pPr>
    <w:rPr>
      <w:color w:val="auto"/>
      <w:sz w:val="16"/>
      <w:szCs w:val="16"/>
    </w:rPr>
  </w:style>
  <w:style w:type="character" w:styleId="938" w:customStyle="1">
    <w:name w:val="Основной текст 3 Знак"/>
    <w:basedOn w:val="719"/>
    <w:link w:val="937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39">
    <w:name w:val="Normal (Web)"/>
    <w:basedOn w:val="709"/>
    <w:uiPriority w:val="99"/>
    <w:unhideWhenUsed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504817&amp;date=17.03.2026" TargetMode="External"/><Relationship Id="rId12" Type="http://schemas.openxmlformats.org/officeDocument/2006/relationships/hyperlink" Target="https://login.consultant.ru/link/?req=doc&amp;base=LAW&amp;n=504818&amp;date=17.03.2026" TargetMode="External"/><Relationship Id="rId13" Type="http://schemas.openxmlformats.org/officeDocument/2006/relationships/hyperlink" Target="https://login.consultant.ru/link/?req=doc&amp;base=LAW&amp;n=519026&amp;dst=102376&amp;field=134&amp;date=18.03.2026" TargetMode="External"/><Relationship Id="rId14" Type="http://schemas.openxmlformats.org/officeDocument/2006/relationships/hyperlink" Target="https://login.consultant.ru/link/?req=doc&amp;base=LAW&amp;n=504093&amp;dst=100011&amp;field=134&amp;date=18.03.2026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B175A-878B-4521-A8C6-4B3B88D6A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17</cp:revision>
  <dcterms:created xsi:type="dcterms:W3CDTF">2026-04-15T11:42:00Z</dcterms:created>
  <dcterms:modified xsi:type="dcterms:W3CDTF">2026-05-13T08:18:21Z</dcterms:modified>
</cp:coreProperties>
</file>