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14.05.2026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784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 внесении изменений в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остановление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администрации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муниципального округа </w:t>
        <w:br/>
        <w:t xml:space="preserve">от 29.01.2024 № 128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Об утверждении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Ре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гламента реализации полномочий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администратора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доходов бюджета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по взысканию дебитор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ской задолженности по платежам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в бюджет, пеням и штрафам по ним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в администрации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pStyle w:val="8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изменением </w:t>
      </w: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законодательства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</w:t>
      </w:r>
      <w:r>
        <w:rPr>
          <w:rFonts w:ascii="Times New Roman" w:hAnsi="Times New Roman" w:cs="Times New Roman"/>
          <w:sz w:val="24"/>
          <w:szCs w:val="24"/>
        </w:rPr>
        <w:t xml:space="preserve">Внести в 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</w:t>
      </w:r>
      <w:r>
        <w:rPr>
          <w:rFonts w:ascii="Times New Roman" w:hAnsi="Times New Roman" w:cs="Times New Roman"/>
          <w:sz w:val="24"/>
          <w:szCs w:val="24"/>
        </w:rPr>
        <w:t xml:space="preserve">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  <w:br/>
      </w:r>
      <w:r>
        <w:rPr>
          <w:rFonts w:ascii="Times New Roman" w:hAnsi="Times New Roman" w:cs="Times New Roman"/>
          <w:sz w:val="24"/>
          <w:szCs w:val="24"/>
        </w:rPr>
        <w:t xml:space="preserve">от 29.01.2024 № 128 «Об утверждении Регламента реализации полномочий администратора доходов бюджета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по взысканию дебиторской задолженности по платежам в бюджет, пеням и штрафам по ним в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(в редакции постановления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19.12.2024 № 2078)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(далее –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остановление) следующе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Раздел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остановления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«4.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Контроль за исполнением настоящего постановления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оставляю за собой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2. 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Внести в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Регламент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реализации полномочий администратора доходов бюджета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 муниципального округа по взысканию дебиторской задолженности по платежам в бюджет, пеням и штрафам по ним в администрации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, утвержденный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Постановлением (далее – Регламент), следующие изменения: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2.1. П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одраздел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 1.3. Регламента </w:t>
      </w:r>
      <w:r>
        <w:rPr>
          <w:rFonts w:ascii="Times New Roman" w:hAnsi="Times New Roman" w:cs="Times New Roman"/>
          <w:sz w:val="24"/>
          <w:szCs w:val="24"/>
        </w:rPr>
        <w:t xml:space="preserve">дополнить </w:t>
      </w:r>
      <w:r>
        <w:rPr>
          <w:rFonts w:ascii="Times New Roman" w:hAnsi="Times New Roman" w:cs="Times New Roman"/>
          <w:sz w:val="24"/>
          <w:szCs w:val="24"/>
        </w:rPr>
        <w:t xml:space="preserve">под</w:t>
      </w:r>
      <w:r>
        <w:rPr>
          <w:rFonts w:ascii="Times New Roman" w:hAnsi="Times New Roman" w:cs="Times New Roman"/>
          <w:sz w:val="24"/>
          <w:szCs w:val="24"/>
        </w:rPr>
        <w:t xml:space="preserve">пунктом «1.</w:t>
      </w:r>
      <w:r>
        <w:rPr>
          <w:rFonts w:ascii="Times New Roman" w:hAnsi="Times New Roman" w:cs="Times New Roman"/>
          <w:sz w:val="24"/>
          <w:szCs w:val="24"/>
        </w:rPr>
        <w:t xml:space="preserve">3.5</w:t>
      </w:r>
      <w:r>
        <w:rPr>
          <w:rFonts w:ascii="Times New Roman" w:hAnsi="Times New Roman" w:cs="Times New Roman"/>
          <w:sz w:val="24"/>
          <w:szCs w:val="24"/>
        </w:rPr>
        <w:t xml:space="preserve">.» следующего содержания: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роцедуру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осуществления каждого мероприятия по реализации администратором доходов бюджета полномочий,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направленных на взыскание дебиторской задолженности по доходам, в том числе направления запросов, уведомлений и иных видов документов, необходимых для их реализации, в соответствующие органы государственной власти, иные государственные органы, органы местн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ого самоуправления, организации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2.2. Раздел 1. Регламента дополнить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одразделом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5.» следующего содержания: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spacing w:before="0" w:beforeAutospacing="0" w:after="0" w:afterAutospacing="0"/>
      </w:pPr>
      <w:r>
        <w:t xml:space="preserve">«1.5. С</w:t>
      </w:r>
      <w:r>
        <w:t xml:space="preserve">роки реализации каждого мероприятия по реализации администратором доходов бюджета полномочий, направленных на взыскание дебиторской задолженности по доходам, </w:t>
      </w:r>
      <w:bookmarkStart w:id="0" w:name="_GoBack"/>
      <w:r/>
      <w:bookmarkEnd w:id="0"/>
      <w:r>
        <w:t xml:space="preserve">не должны превышать сроки, установленные настоящим </w:t>
      </w:r>
      <w:r>
        <w:t xml:space="preserve">Регламентом</w:t>
      </w:r>
      <w:r>
        <w:t xml:space="preserve"> (при наличии)</w:t>
      </w:r>
      <w:r>
        <w:t xml:space="preserve">.</w:t>
      </w:r>
      <w:r>
        <w:t xml:space="preserve">»</w:t>
      </w:r>
      <w:r>
        <w:t xml:space="preserve">;</w:t>
      </w:r>
      <w:r/>
    </w:p>
    <w:p>
      <w:pPr>
        <w:pStyle w:val="861"/>
        <w:ind w:firstLine="709"/>
        <w:jc w:val="both"/>
        <w:spacing w:before="0" w:beforeAutospacing="0" w:after="0" w:afterAutospacing="0"/>
      </w:pPr>
      <w:r>
        <w:t xml:space="preserve">2.3</w:t>
      </w:r>
      <w:r>
        <w:t xml:space="preserve">. Подпункт 2.1.3. </w:t>
      </w:r>
      <w:r>
        <w:t xml:space="preserve">Регламента </w:t>
      </w:r>
      <w:r>
        <w:t xml:space="preserve">дополнить абзацем следующего содержания:</w:t>
      </w:r>
      <w:r/>
    </w:p>
    <w:p>
      <w:pPr>
        <w:pStyle w:val="861"/>
        <w:ind w:firstLine="709"/>
        <w:jc w:val="both"/>
        <w:spacing w:before="0" w:beforeAutospacing="0" w:after="0" w:afterAutospacing="0"/>
      </w:pPr>
      <w:r>
        <w:t xml:space="preserve">«- наличия сведений о том, что в отношении юридического лица принято решение о предстоящем исключении юридического лица из единого государственного реестра </w:t>
      </w:r>
      <w:r>
        <w:t xml:space="preserve">юридических лиц, в отношении индивидуального предпринимателя - о предстоящем исключении индивидуального предпринимателя из единого государственного реестра </w:t>
      </w:r>
      <w:r>
        <w:t xml:space="preserve">индивидуальных предпринимателей</w:t>
      </w:r>
      <w:r>
        <w:t xml:space="preserve">.</w:t>
      </w:r>
      <w:r>
        <w:t xml:space="preserve">»</w:t>
      </w:r>
      <w:r>
        <w:t xml:space="preserve">.</w:t>
      </w:r>
      <w:r/>
    </w:p>
    <w:p>
      <w:pPr>
        <w:pStyle w:val="861"/>
        <w:ind w:firstLine="709"/>
        <w:jc w:val="both"/>
        <w:spacing w:before="0" w:beforeAutospacing="0" w:after="0" w:afterAutospacing="0"/>
      </w:pPr>
      <w:r>
        <w:t xml:space="preserve">2.4</w:t>
      </w:r>
      <w:r>
        <w:t xml:space="preserve">. П</w:t>
      </w:r>
      <w:r>
        <w:t xml:space="preserve">ункт 3.1. </w:t>
      </w:r>
      <w:r>
        <w:t xml:space="preserve">Регламента </w:t>
      </w:r>
      <w:r>
        <w:t xml:space="preserve">изложить в следующей редакции:</w:t>
      </w:r>
      <w:r/>
    </w:p>
    <w:p>
      <w:pPr>
        <w:pStyle w:val="861"/>
        <w:ind w:firstLine="709"/>
        <w:jc w:val="both"/>
        <w:spacing w:before="0" w:beforeAutospacing="0" w:after="0" w:afterAutospacing="0"/>
      </w:pPr>
      <w:r>
        <w:t xml:space="preserve">«3.1. 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округа (пеней, штрафов) до начала работы по их принудительному взысканию) включают в себя:</w:t>
      </w:r>
      <w:r/>
    </w:p>
    <w:p>
      <w:pPr>
        <w:pStyle w:val="861"/>
        <w:ind w:firstLine="709"/>
        <w:jc w:val="both"/>
        <w:spacing w:before="0" w:beforeAutospacing="0" w:after="0" w:afterAutospacing="0"/>
      </w:pPr>
      <w:r>
        <w:t xml:space="preserve">3.1.1. направление требования должнику о погашении образовавшейся задолженности (в случаях, когда денежное обязательство не предусматривае</w:t>
      </w:r>
      <w:r>
        <w:t xml:space="preserve">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 не позднее 30 календарных дней со дня образования дебиторской задолженности по доходам;</w:t>
      </w:r>
      <w:r/>
    </w:p>
    <w:p>
      <w:pPr>
        <w:pStyle w:val="861"/>
        <w:ind w:firstLine="709"/>
        <w:jc w:val="both"/>
        <w:spacing w:before="0" w:beforeAutospacing="0" w:after="0" w:afterAutospacing="0"/>
      </w:pPr>
      <w:r>
        <w:t xml:space="preserve">3.1.2. направление претензии должнику о погашении образовавшейся задолженност</w:t>
      </w:r>
      <w:r>
        <w:t xml:space="preserve">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  <w:r/>
    </w:p>
    <w:p>
      <w:pPr>
        <w:pStyle w:val="861"/>
        <w:ind w:firstLine="709"/>
        <w:jc w:val="both"/>
        <w:spacing w:before="0" w:beforeAutospacing="0" w:after="0" w:afterAutospacing="0"/>
      </w:pPr>
      <w:r>
        <w:t xml:space="preserve">3.1.3. рассмотрение вопроса о возможности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  <w:r/>
    </w:p>
    <w:p>
      <w:pPr>
        <w:pStyle w:val="861"/>
        <w:ind w:firstLine="709"/>
        <w:jc w:val="both"/>
        <w:spacing w:before="0" w:beforeAutospacing="0" w:after="0" w:afterAutospacing="0"/>
      </w:pPr>
      <w:r>
        <w:t xml:space="preserve">3.1.4. </w:t>
      </w:r>
      <w:r>
        <w:t xml:space="preserve">направление в </w:t>
      </w:r>
      <w:r>
        <w:t xml:space="preserve">соответствующий</w:t>
      </w:r>
      <w:r>
        <w:t xml:space="preserve">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</w:t>
      </w:r>
      <w:r>
        <w:t xml:space="preserve">енежным обязательствам в соответствии с требованиями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</w:t>
      </w:r>
      <w:r>
        <w:t xml:space="preserve"> </w:t>
      </w:r>
      <w:r>
        <w:t xml:space="preserve">Российской Федерации от 29 мая 2004 г. </w:t>
      </w:r>
      <w:r>
        <w:t xml:space="preserve">№ 257 «</w:t>
      </w:r>
      <w:r>
        <w:t xml:space="preserve">Об обеспечении интересов Российской Федерации как кредитора в деле о банкротстве и в процедурах, п</w:t>
      </w:r>
      <w:r>
        <w:t xml:space="preserve">рименяемых в деле о банкротстве»</w:t>
      </w:r>
      <w:r>
        <w:t xml:space="preserve"> (далее – Положение)</w:t>
      </w:r>
      <w:r>
        <w:t xml:space="preserve">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</w:t>
      </w:r>
      <w:r>
        <w:t xml:space="preserve"> банкротстве, в сроки, установленные абзацем первым пункта 7, абзацем первым пункта 8 и абзацами вторым, пятым и шестым пункта 12 Положения;</w:t>
      </w:r>
      <w:r/>
    </w:p>
    <w:p>
      <w:pPr>
        <w:pStyle w:val="861"/>
        <w:ind w:firstLine="709"/>
        <w:jc w:val="both"/>
        <w:spacing w:before="0" w:beforeAutospacing="0" w:after="0" w:afterAutospacing="0"/>
      </w:pPr>
      <w:r>
        <w:t xml:space="preserve">3.1.5. направление в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</w:t>
      </w:r>
      <w:r>
        <w:t xml:space="preserve">стьянских (фермерских) хозяйств</w:t>
      </w:r>
      <w:r>
        <w:t xml:space="preserve">, принявший решение о предстоящем исключении юридического лица из единого государственного реестра юр</w:t>
      </w:r>
      <w:r>
        <w:t xml:space="preserve">идических лиц, индивидуального предпринимателя из единого государственного реестра индивидуальных предпринимателей, возражений против предстоящего исключения с приложением документов, подтверждающих обоснованность данных возражений, в сроки, установленные </w:t>
      </w:r>
      <w:hyperlink r:id="rId11" w:tooltip="https://login.consultant.ru/link/?req=doc&amp;base=LAW&amp;n=511359&amp;dst=657&amp;field=134&amp;date=24.04.2026" w:history="1">
        <w:r>
          <w:rPr>
            <w:rStyle w:val="862"/>
            <w:color w:val="auto"/>
            <w:u w:val="none"/>
          </w:rPr>
          <w:t xml:space="preserve">абзацами первым</w:t>
        </w:r>
      </w:hyperlink>
      <w:r>
        <w:t xml:space="preserve"> и</w:t>
      </w:r>
      <w:r>
        <w:t xml:space="preserve"> </w:t>
      </w:r>
      <w:hyperlink r:id="rId12" w:tooltip="https://login.consultant.ru/link/?req=doc&amp;base=LAW&amp;n=511359&amp;dst=658&amp;field=134&amp;date=24.04.2026" w:history="1">
        <w:r>
          <w:rPr>
            <w:rStyle w:val="862"/>
            <w:color w:val="auto"/>
            <w:u w:val="none"/>
          </w:rPr>
          <w:t xml:space="preserve">вторым пункта 4</w:t>
        </w:r>
      </w:hyperlink>
      <w:r>
        <w:t xml:space="preserve"> и </w:t>
      </w:r>
      <w:hyperlink r:id="rId13" w:tooltip="https://login.consultant.ru/link/?req=doc&amp;base=LAW&amp;n=511359&amp;dst=663&amp;field=134&amp;date=24.04.2026" w:history="1">
        <w:r>
          <w:rPr>
            <w:rStyle w:val="862"/>
            <w:color w:val="auto"/>
            <w:u w:val="none"/>
          </w:rPr>
          <w:t xml:space="preserve">пунктом 7 статьи 21.1</w:t>
        </w:r>
      </w:hyperlink>
      <w:r>
        <w:t xml:space="preserve">, </w:t>
      </w:r>
      <w:hyperlink r:id="rId14" w:tooltip="https://login.consultant.ru/link/?req=doc&amp;base=LAW&amp;n=511359&amp;dst=679&amp;field=134&amp;date=24.04.2026" w:history="1">
        <w:r>
          <w:rPr>
            <w:rStyle w:val="862"/>
            <w:color w:val="auto"/>
            <w:u w:val="none"/>
          </w:rPr>
          <w:t xml:space="preserve">абзацем первым пункта 4</w:t>
        </w:r>
      </w:hyperlink>
      <w:r>
        <w:t xml:space="preserve">, </w:t>
      </w:r>
      <w:hyperlink r:id="rId15" w:tooltip="https://login.consultant.ru/link/?req=doc&amp;base=LAW&amp;n=511359&amp;dst=682&amp;field=134&amp;date=24.04.2026" w:history="1">
        <w:r>
          <w:rPr>
            <w:rStyle w:val="862"/>
            <w:color w:val="auto"/>
            <w:u w:val="none"/>
          </w:rPr>
          <w:t xml:space="preserve">пунктами 5</w:t>
        </w:r>
      </w:hyperlink>
      <w:r>
        <w:t xml:space="preserve"> и </w:t>
      </w:r>
      <w:hyperlink r:id="rId16" w:tooltip="https://login.consultant.ru/link/?req=doc&amp;base=LAW&amp;n=511359&amp;dst=683&amp;field=134&amp;date=24.04.2026" w:history="1">
        <w:r>
          <w:rPr>
            <w:rStyle w:val="862"/>
            <w:color w:val="auto"/>
            <w:u w:val="none"/>
          </w:rPr>
          <w:t xml:space="preserve">6 статьи 22.4</w:t>
        </w:r>
      </w:hyperlink>
      <w:r>
        <w:t xml:space="preserve"> </w:t>
      </w:r>
      <w:r>
        <w:t xml:space="preserve">Федерального закона от 8 августа 2001 г. </w:t>
      </w:r>
      <w:r>
        <w:t xml:space="preserve">№</w:t>
      </w:r>
      <w:r>
        <w:t xml:space="preserve"> 129-ФЗ </w:t>
      </w:r>
      <w:r>
        <w:t xml:space="preserve">«</w:t>
      </w:r>
      <w:r>
        <w:t xml:space="preserve">О государственной регистрации юридических лиц и индивидуальных предпринимателей</w:t>
      </w:r>
      <w:r>
        <w:t xml:space="preserve">»</w:t>
      </w:r>
      <w:r>
        <w:t xml:space="preserve">;</w:t>
      </w:r>
      <w:r/>
    </w:p>
    <w:p>
      <w:pPr>
        <w:pStyle w:val="861"/>
        <w:ind w:firstLine="709"/>
        <w:jc w:val="both"/>
        <w:spacing w:before="0" w:beforeAutospacing="0" w:after="0" w:afterAutospacing="0"/>
      </w:pPr>
      <w:r>
        <w:t xml:space="preserve">3.1.6. иные мероприятия, проводимые по решению администратора доходов бюджета в целях погашения (урегулирования) дебиторской задолженности по доходам в досудебном порядке (при наличии)</w:t>
      </w:r>
      <w:r>
        <w:t xml:space="preserve">.»</w:t>
      </w:r>
      <w:r>
        <w:t xml:space="preserve">.</w:t>
      </w:r>
      <w:r/>
    </w:p>
    <w:p>
      <w:pPr>
        <w:pStyle w:val="861"/>
        <w:ind w:firstLine="709"/>
        <w:jc w:val="both"/>
        <w:spacing w:before="0" w:beforeAutospacing="0" w:after="0" w:afterAutospacing="0"/>
      </w:pPr>
      <w:r>
        <w:t xml:space="preserve">3. Настоящее постановление вступает в силу </w:t>
      </w:r>
      <w:r>
        <w:t xml:space="preserve">после </w:t>
      </w:r>
      <w:r>
        <w:t xml:space="preserve">его </w:t>
      </w:r>
      <w:r>
        <w:t xml:space="preserve">подписания</w:t>
      </w:r>
      <w:r>
        <w:t xml:space="preserve">.</w:t>
      </w:r>
      <w:r/>
    </w:p>
    <w:p>
      <w:pPr>
        <w:pStyle w:val="861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4. </w:t>
      </w:r>
      <w:r>
        <w:t xml:space="preserve">Настоящее постановление опубликовать в официальном издании газета «Печенга» и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>
        <w:rPr>
          <w:color w:val="000000"/>
        </w:rPr>
      </w:r>
      <w:r>
        <w:rPr>
          <w:color w:val="00000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Глав</w:t>
      </w:r>
      <w:r>
        <w:rPr>
          <w:rFonts w:ascii="Times New Roman" w:hAnsi="Times New Roman" w:eastAsia="Calibri" w:cs="Times New Roman"/>
          <w:sz w:val="24"/>
          <w:szCs w:val="24"/>
        </w:rPr>
        <w:t xml:space="preserve">а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eastAsia="Calibri" w:cs="Times New Roman"/>
          <w:sz w:val="24"/>
          <w:szCs w:val="24"/>
        </w:rPr>
        <w:tab/>
      </w:r>
      <w:r>
        <w:rPr>
          <w:rFonts w:ascii="Times New Roman" w:hAnsi="Times New Roman" w:eastAsia="Calibri" w:cs="Times New Roman"/>
          <w:sz w:val="24"/>
          <w:szCs w:val="24"/>
        </w:rPr>
        <w:tab/>
      </w:r>
      <w:r>
        <w:rPr>
          <w:rFonts w:ascii="Times New Roman" w:hAnsi="Times New Roman" w:eastAsia="Calibri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eastAsia="Calibri" w:cs="Times New Roman"/>
          <w:sz w:val="24"/>
          <w:szCs w:val="24"/>
        </w:rPr>
        <w:t xml:space="preserve">          </w:t>
      </w:r>
      <w:r>
        <w:rPr>
          <w:rFonts w:ascii="Times New Roman" w:hAnsi="Times New Roman" w:eastAsia="Calibri" w:cs="Times New Roman"/>
          <w:sz w:val="24"/>
          <w:szCs w:val="24"/>
        </w:rPr>
        <w:t xml:space="preserve">    </w:t>
      </w:r>
      <w:r>
        <w:rPr>
          <w:rFonts w:ascii="Times New Roman" w:hAnsi="Times New Roman" w:eastAsia="Calibri" w:cs="Times New Roman"/>
          <w:sz w:val="24"/>
          <w:szCs w:val="24"/>
        </w:rPr>
        <w:t xml:space="preserve">    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А.С.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Пеньшин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Ионова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О.В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50270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sectPr>
      <w:headerReference w:type="first" r:id="rId9"/>
      <w:footnotePr/>
      <w:endnotePr/>
      <w:type w:val="nextPage"/>
      <w:pgSz w:w="11906" w:h="16838" w:orient="portrait"/>
      <w:pgMar w:top="426" w:right="851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7"/>
      <w:jc w:val="center"/>
    </w:pPr>
    <w:r/>
    <w:r/>
  </w:p>
  <w:p>
    <w:pPr>
      <w:pStyle w:val="857"/>
      <w:jc w:val="center"/>
    </w:pPr>
    <w:r/>
    <w:r/>
  </w:p>
  <w:p>
    <w:pPr>
      <w:pStyle w:val="857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684" w:hanging="975"/>
      </w:pPr>
      <w:rPr>
        <w:rFonts w:hint="default" w:ascii="Times New Roman" w:hAnsi="Times New Roman" w:eastAsia="Arial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52"/>
    <w:next w:val="852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basedOn w:val="853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52"/>
    <w:next w:val="852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basedOn w:val="853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52"/>
    <w:next w:val="852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basedOn w:val="853"/>
    <w:link w:val="680"/>
    <w:uiPriority w:val="9"/>
    <w:rPr>
      <w:rFonts w:ascii="Arial" w:hAnsi="Arial" w:eastAsia="Arial" w:cs="Arial"/>
      <w:sz w:val="30"/>
      <w:szCs w:val="30"/>
    </w:rPr>
  </w:style>
  <w:style w:type="paragraph" w:styleId="682">
    <w:name w:val="Heading 4"/>
    <w:basedOn w:val="852"/>
    <w:next w:val="852"/>
    <w:link w:val="68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3">
    <w:name w:val="Heading 4 Char"/>
    <w:basedOn w:val="853"/>
    <w:link w:val="682"/>
    <w:uiPriority w:val="9"/>
    <w:rPr>
      <w:rFonts w:ascii="Arial" w:hAnsi="Arial" w:eastAsia="Arial" w:cs="Arial"/>
      <w:b/>
      <w:bCs/>
      <w:sz w:val="26"/>
      <w:szCs w:val="26"/>
    </w:rPr>
  </w:style>
  <w:style w:type="paragraph" w:styleId="684">
    <w:name w:val="Heading 5"/>
    <w:basedOn w:val="852"/>
    <w:next w:val="852"/>
    <w:link w:val="68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5">
    <w:name w:val="Heading 5 Char"/>
    <w:basedOn w:val="853"/>
    <w:link w:val="684"/>
    <w:uiPriority w:val="9"/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852"/>
    <w:next w:val="852"/>
    <w:link w:val="68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7">
    <w:name w:val="Heading 6 Char"/>
    <w:basedOn w:val="853"/>
    <w:link w:val="686"/>
    <w:uiPriority w:val="9"/>
    <w:rPr>
      <w:rFonts w:ascii="Arial" w:hAnsi="Arial" w:eastAsia="Arial" w:cs="Arial"/>
      <w:b/>
      <w:bCs/>
      <w:sz w:val="22"/>
      <w:szCs w:val="22"/>
    </w:rPr>
  </w:style>
  <w:style w:type="paragraph" w:styleId="688">
    <w:name w:val="Heading 7"/>
    <w:basedOn w:val="852"/>
    <w:next w:val="852"/>
    <w:link w:val="68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7 Char"/>
    <w:basedOn w:val="853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852"/>
    <w:next w:val="852"/>
    <w:link w:val="6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1">
    <w:name w:val="Heading 8 Char"/>
    <w:basedOn w:val="853"/>
    <w:link w:val="690"/>
    <w:uiPriority w:val="9"/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852"/>
    <w:next w:val="852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>
    <w:name w:val="Heading 9 Char"/>
    <w:basedOn w:val="853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No Spacing"/>
    <w:uiPriority w:val="1"/>
    <w:qFormat/>
    <w:pPr>
      <w:spacing w:before="0" w:after="0" w:line="240" w:lineRule="auto"/>
    </w:pPr>
  </w:style>
  <w:style w:type="paragraph" w:styleId="695">
    <w:name w:val="Title"/>
    <w:basedOn w:val="852"/>
    <w:next w:val="852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>
    <w:name w:val="Title Char"/>
    <w:basedOn w:val="853"/>
    <w:link w:val="695"/>
    <w:uiPriority w:val="10"/>
    <w:rPr>
      <w:sz w:val="48"/>
      <w:szCs w:val="48"/>
    </w:rPr>
  </w:style>
  <w:style w:type="paragraph" w:styleId="697">
    <w:name w:val="Subtitle"/>
    <w:basedOn w:val="852"/>
    <w:next w:val="852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>
    <w:name w:val="Subtitle Char"/>
    <w:basedOn w:val="853"/>
    <w:link w:val="697"/>
    <w:uiPriority w:val="11"/>
    <w:rPr>
      <w:sz w:val="24"/>
      <w:szCs w:val="24"/>
    </w:rPr>
  </w:style>
  <w:style w:type="paragraph" w:styleId="699">
    <w:name w:val="Quote"/>
    <w:basedOn w:val="852"/>
    <w:next w:val="852"/>
    <w:link w:val="700"/>
    <w:uiPriority w:val="29"/>
    <w:qFormat/>
    <w:pPr>
      <w:ind w:left="720" w:right="720"/>
    </w:pPr>
    <w:rPr>
      <w:i/>
    </w:rPr>
  </w:style>
  <w:style w:type="character" w:styleId="700">
    <w:name w:val="Quote Char"/>
    <w:link w:val="699"/>
    <w:uiPriority w:val="29"/>
    <w:rPr>
      <w:i/>
    </w:rPr>
  </w:style>
  <w:style w:type="paragraph" w:styleId="701">
    <w:name w:val="Intense Quote"/>
    <w:basedOn w:val="852"/>
    <w:next w:val="852"/>
    <w:link w:val="70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>
    <w:name w:val="Intense Quote Char"/>
    <w:link w:val="701"/>
    <w:uiPriority w:val="30"/>
    <w:rPr>
      <w:i/>
    </w:rPr>
  </w:style>
  <w:style w:type="paragraph" w:styleId="703">
    <w:name w:val="Header"/>
    <w:basedOn w:val="852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4">
    <w:name w:val="Header Char"/>
    <w:basedOn w:val="853"/>
    <w:link w:val="703"/>
    <w:uiPriority w:val="99"/>
  </w:style>
  <w:style w:type="paragraph" w:styleId="705">
    <w:name w:val="Footer"/>
    <w:basedOn w:val="852"/>
    <w:link w:val="70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6">
    <w:name w:val="Footer Char"/>
    <w:basedOn w:val="853"/>
    <w:link w:val="705"/>
    <w:uiPriority w:val="99"/>
  </w:style>
  <w:style w:type="paragraph" w:styleId="707">
    <w:name w:val="Caption"/>
    <w:basedOn w:val="852"/>
    <w:next w:val="85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8">
    <w:name w:val="Caption Char"/>
    <w:basedOn w:val="707"/>
    <w:link w:val="705"/>
    <w:uiPriority w:val="99"/>
  </w:style>
  <w:style w:type="table" w:styleId="709">
    <w:name w:val="Table Grid"/>
    <w:basedOn w:val="85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1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9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0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1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2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3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4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1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2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3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4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5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6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8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3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4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5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6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7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8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1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2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4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6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7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8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9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0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1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2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3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4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9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0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1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2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3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4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5">
    <w:name w:val="footnote text"/>
    <w:basedOn w:val="852"/>
    <w:link w:val="836"/>
    <w:uiPriority w:val="99"/>
    <w:semiHidden/>
    <w:unhideWhenUsed/>
    <w:pPr>
      <w:spacing w:after="40" w:line="240" w:lineRule="auto"/>
    </w:pPr>
    <w:rPr>
      <w:sz w:val="18"/>
    </w:rPr>
  </w:style>
  <w:style w:type="character" w:styleId="836">
    <w:name w:val="Footnote Text Char"/>
    <w:link w:val="835"/>
    <w:uiPriority w:val="99"/>
    <w:rPr>
      <w:sz w:val="18"/>
    </w:rPr>
  </w:style>
  <w:style w:type="character" w:styleId="837">
    <w:name w:val="footnote reference"/>
    <w:basedOn w:val="853"/>
    <w:uiPriority w:val="99"/>
    <w:unhideWhenUsed/>
    <w:rPr>
      <w:vertAlign w:val="superscript"/>
    </w:rPr>
  </w:style>
  <w:style w:type="paragraph" w:styleId="838">
    <w:name w:val="endnote text"/>
    <w:basedOn w:val="852"/>
    <w:link w:val="839"/>
    <w:uiPriority w:val="99"/>
    <w:semiHidden/>
    <w:unhideWhenUsed/>
    <w:pPr>
      <w:spacing w:after="0" w:line="240" w:lineRule="auto"/>
    </w:pPr>
    <w:rPr>
      <w:sz w:val="20"/>
    </w:rPr>
  </w:style>
  <w:style w:type="character" w:styleId="839">
    <w:name w:val="Endnote Text Char"/>
    <w:link w:val="838"/>
    <w:uiPriority w:val="99"/>
    <w:rPr>
      <w:sz w:val="20"/>
    </w:rPr>
  </w:style>
  <w:style w:type="character" w:styleId="840">
    <w:name w:val="endnote reference"/>
    <w:basedOn w:val="853"/>
    <w:uiPriority w:val="99"/>
    <w:semiHidden/>
    <w:unhideWhenUsed/>
    <w:rPr>
      <w:vertAlign w:val="superscript"/>
    </w:rPr>
  </w:style>
  <w:style w:type="paragraph" w:styleId="841">
    <w:name w:val="toc 1"/>
    <w:basedOn w:val="852"/>
    <w:next w:val="852"/>
    <w:uiPriority w:val="39"/>
    <w:unhideWhenUsed/>
    <w:pPr>
      <w:ind w:left="0" w:right="0" w:firstLine="0"/>
      <w:spacing w:after="57"/>
    </w:pPr>
  </w:style>
  <w:style w:type="paragraph" w:styleId="842">
    <w:name w:val="toc 2"/>
    <w:basedOn w:val="852"/>
    <w:next w:val="852"/>
    <w:uiPriority w:val="39"/>
    <w:unhideWhenUsed/>
    <w:pPr>
      <w:ind w:left="283" w:right="0" w:firstLine="0"/>
      <w:spacing w:after="57"/>
    </w:pPr>
  </w:style>
  <w:style w:type="paragraph" w:styleId="843">
    <w:name w:val="toc 3"/>
    <w:basedOn w:val="852"/>
    <w:next w:val="852"/>
    <w:uiPriority w:val="39"/>
    <w:unhideWhenUsed/>
    <w:pPr>
      <w:ind w:left="567" w:right="0" w:firstLine="0"/>
      <w:spacing w:after="57"/>
    </w:pPr>
  </w:style>
  <w:style w:type="paragraph" w:styleId="844">
    <w:name w:val="toc 4"/>
    <w:basedOn w:val="852"/>
    <w:next w:val="852"/>
    <w:uiPriority w:val="39"/>
    <w:unhideWhenUsed/>
    <w:pPr>
      <w:ind w:left="850" w:right="0" w:firstLine="0"/>
      <w:spacing w:after="57"/>
    </w:pPr>
  </w:style>
  <w:style w:type="paragraph" w:styleId="845">
    <w:name w:val="toc 5"/>
    <w:basedOn w:val="852"/>
    <w:next w:val="852"/>
    <w:uiPriority w:val="39"/>
    <w:unhideWhenUsed/>
    <w:pPr>
      <w:ind w:left="1134" w:right="0" w:firstLine="0"/>
      <w:spacing w:after="57"/>
    </w:pPr>
  </w:style>
  <w:style w:type="paragraph" w:styleId="846">
    <w:name w:val="toc 6"/>
    <w:basedOn w:val="852"/>
    <w:next w:val="852"/>
    <w:uiPriority w:val="39"/>
    <w:unhideWhenUsed/>
    <w:pPr>
      <w:ind w:left="1417" w:right="0" w:firstLine="0"/>
      <w:spacing w:after="57"/>
    </w:pPr>
  </w:style>
  <w:style w:type="paragraph" w:styleId="847">
    <w:name w:val="toc 7"/>
    <w:basedOn w:val="852"/>
    <w:next w:val="852"/>
    <w:uiPriority w:val="39"/>
    <w:unhideWhenUsed/>
    <w:pPr>
      <w:ind w:left="1701" w:right="0" w:firstLine="0"/>
      <w:spacing w:after="57"/>
    </w:pPr>
  </w:style>
  <w:style w:type="paragraph" w:styleId="848">
    <w:name w:val="toc 8"/>
    <w:basedOn w:val="852"/>
    <w:next w:val="852"/>
    <w:uiPriority w:val="39"/>
    <w:unhideWhenUsed/>
    <w:pPr>
      <w:ind w:left="1984" w:right="0" w:firstLine="0"/>
      <w:spacing w:after="57"/>
    </w:pPr>
  </w:style>
  <w:style w:type="paragraph" w:styleId="849">
    <w:name w:val="toc 9"/>
    <w:basedOn w:val="852"/>
    <w:next w:val="852"/>
    <w:uiPriority w:val="39"/>
    <w:unhideWhenUsed/>
    <w:pPr>
      <w:ind w:left="2268" w:right="0" w:firstLine="0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852"/>
    <w:next w:val="852"/>
    <w:uiPriority w:val="99"/>
    <w:unhideWhenUsed/>
    <w:pPr>
      <w:spacing w:after="0" w:afterAutospacing="0"/>
    </w:pPr>
  </w:style>
  <w:style w:type="paragraph" w:styleId="852" w:default="1">
    <w:name w:val="Normal"/>
    <w:qFormat/>
  </w:style>
  <w:style w:type="character" w:styleId="853" w:default="1">
    <w:name w:val="Default Paragraph Font"/>
    <w:uiPriority w:val="1"/>
    <w:semiHidden/>
    <w:unhideWhenUsed/>
  </w:style>
  <w:style w:type="table" w:styleId="8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5" w:default="1">
    <w:name w:val="No List"/>
    <w:uiPriority w:val="99"/>
    <w:semiHidden/>
    <w:unhideWhenUsed/>
  </w:style>
  <w:style w:type="paragraph" w:styleId="856" w:customStyle="1">
    <w:name w:val="ConsPlusNormal"/>
    <w:pPr>
      <w:spacing w:after="0" w:line="240" w:lineRule="auto"/>
      <w:widowControl w:val="off"/>
    </w:pPr>
    <w:rPr>
      <w:rFonts w:ascii="Arial" w:hAnsi="Arial" w:cs="Arial" w:eastAsiaTheme="minorEastAsia"/>
      <w:sz w:val="20"/>
      <w:lang w:eastAsia="ru-RU"/>
    </w:rPr>
  </w:style>
  <w:style w:type="paragraph" w:styleId="857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0"/>
      <w:lang w:eastAsia="ru-RU"/>
    </w:rPr>
  </w:style>
  <w:style w:type="paragraph" w:styleId="858">
    <w:name w:val="List Paragraph"/>
    <w:basedOn w:val="852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59">
    <w:name w:val="Balloon Text"/>
    <w:basedOn w:val="852"/>
    <w:link w:val="86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basedOn w:val="853"/>
    <w:link w:val="859"/>
    <w:uiPriority w:val="99"/>
    <w:semiHidden/>
    <w:rPr>
      <w:rFonts w:ascii="Tahoma" w:hAnsi="Tahoma" w:cs="Tahoma"/>
      <w:sz w:val="16"/>
      <w:szCs w:val="16"/>
    </w:rPr>
  </w:style>
  <w:style w:type="paragraph" w:styleId="861">
    <w:name w:val="Normal (Web)"/>
    <w:basedOn w:val="85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62">
    <w:name w:val="Hyperlink"/>
    <w:basedOn w:val="853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511359&amp;dst=657&amp;field=134&amp;date=24.04.2026" TargetMode="External"/><Relationship Id="rId12" Type="http://schemas.openxmlformats.org/officeDocument/2006/relationships/hyperlink" Target="https://login.consultant.ru/link/?req=doc&amp;base=LAW&amp;n=511359&amp;dst=658&amp;field=134&amp;date=24.04.2026" TargetMode="External"/><Relationship Id="rId13" Type="http://schemas.openxmlformats.org/officeDocument/2006/relationships/hyperlink" Target="https://login.consultant.ru/link/?req=doc&amp;base=LAW&amp;n=511359&amp;dst=663&amp;field=134&amp;date=24.04.2026" TargetMode="External"/><Relationship Id="rId14" Type="http://schemas.openxmlformats.org/officeDocument/2006/relationships/hyperlink" Target="https://login.consultant.ru/link/?req=doc&amp;base=LAW&amp;n=511359&amp;dst=679&amp;field=134&amp;date=24.04.2026" TargetMode="External"/><Relationship Id="rId15" Type="http://schemas.openxmlformats.org/officeDocument/2006/relationships/hyperlink" Target="https://login.consultant.ru/link/?req=doc&amp;base=LAW&amp;n=511359&amp;dst=682&amp;field=134&amp;date=24.04.2026" TargetMode="External"/><Relationship Id="rId16" Type="http://schemas.openxmlformats.org/officeDocument/2006/relationships/hyperlink" Target="https://login.consultant.ru/link/?req=doc&amp;base=LAW&amp;n=511359&amp;dst=683&amp;field=134&amp;date=24.04.2026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Лахтионова Ольга Александровна</dc:creator>
  <cp:revision>4</cp:revision>
  <dcterms:created xsi:type="dcterms:W3CDTF">2026-05-07T08:22:00Z</dcterms:created>
  <dcterms:modified xsi:type="dcterms:W3CDTF">2026-05-15T11:04:37Z</dcterms:modified>
</cp:coreProperties>
</file>