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08.04.2026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№ 549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ind w:right="-5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right="0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</w:rPr>
        <w:suppressLineNumbers w:val="0"/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</w:rPr>
      </w:r>
      <w:r>
        <w:rPr>
          <w:rFonts w:ascii="Times New Roman" w:hAnsi="Times New Roman" w:eastAsia="Times New Roman"/>
          <w:b/>
          <w:sz w:val="20"/>
          <w:szCs w:val="20"/>
        </w:rPr>
      </w:r>
    </w:p>
    <w:p>
      <w:pPr>
        <w:ind w:right="0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</w:rPr>
        <w:suppressLineNumbers w:val="0"/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Культура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2026 - 2028 годы, утвержденную постановлением администрации Печенгского муниципаль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ного округа от 12.11.2025 № 1842</w:t>
      </w:r>
      <w:r>
        <w:rPr>
          <w:rFonts w:ascii="Times New Roman" w:hAnsi="Times New Roman" w:eastAsia="Times New Roman"/>
          <w:b/>
          <w:sz w:val="20"/>
          <w:szCs w:val="20"/>
        </w:rPr>
      </w:r>
      <w:r>
        <w:rPr>
          <w:rFonts w:ascii="Times New Roman" w:hAnsi="Times New Roman" w:eastAsia="Times New Roman"/>
          <w:b/>
          <w:sz w:val="20"/>
          <w:szCs w:val="20"/>
        </w:rPr>
      </w:r>
    </w:p>
    <w:p>
      <w:pPr>
        <w:ind w:right="0"/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</w:t>
      </w:r>
      <w:r>
        <w:rPr>
          <w:rFonts w:ascii="Times New Roman" w:hAnsi="Times New Roman"/>
          <w:sz w:val="24"/>
          <w:szCs w:val="24"/>
        </w:rPr>
        <w:t xml:space="preserve">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/>
          <w:sz w:val="24"/>
          <w:szCs w:val="24"/>
        </w:rPr>
        <w:br/>
        <w:t xml:space="preserve">№ 1488, </w:t>
      </w:r>
      <w:r>
        <w:rPr>
          <w:rFonts w:ascii="Times New Roman" w:hAnsi="Times New Roman"/>
          <w:sz w:val="24"/>
          <w:szCs w:val="24"/>
        </w:rPr>
        <w:t xml:space="preserve">в целях обеспечения творческого и культурного развития личности, участия населения в культурной жизни и развития дополнительного образования в сфере культуры и искусства в Печенгском муниципальном округе,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Муниципальную программу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Культура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2026 - 2028 годы, утвержденную постановлением администрации Печенгского муниципального округа от 12.11.2025 № 184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(в редакции постановления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от 26.01.2026 № 111)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изложить в редакции согласно приложению.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eastAsia="Times New Roman"/>
          <w:sz w:val="24"/>
          <w:szCs w:val="24"/>
        </w:rPr>
        <w:t xml:space="preserve">после его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numPr>
          <w:ilvl w:val="0"/>
          <w:numId w:val="16"/>
        </w:numPr>
        <w:contextualSpacing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  <w:r>
        <w:rPr>
          <w:rFonts w:ascii="Times New Roman" w:hAnsi="Times New Roman" w:eastAsia="Times New Roman"/>
          <w:sz w:val="28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 А.С. Пеньшин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Зубкова Н.А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., 52725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08.04.2026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549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12.11.2025 № 1842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«КУЛЬТУРА»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Отдел культуры, спорта и молодежной политики администрации Печенгского муниципального округа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  <w:outlineLvl w:val="2"/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  <w:outlineLvl w:val="2"/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0" w:name="P366"/>
      <w:r/>
      <w:bookmarkEnd w:id="0"/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pP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  <w:t xml:space="preserve">«Культура»</w:t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r>
      <w:r>
        <w:rPr>
          <w:rFonts w:ascii="Times New Roman" w:hAnsi="Times New Roman" w:eastAsia="Times New Roman"/>
          <w:b/>
          <w:sz w:val="26"/>
          <w:szCs w:val="26"/>
          <w:u w:val="singl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00"/>
              <w:ind w:left="0"/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/>
            <w:bookmarkStart w:id="1" w:name="_Hlk127177178"/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и удовлетворение культурных запросов и духовных потребностей населения путем создания условий для комплексного развития культурного потенциала</w:t>
            </w:r>
            <w:bookmarkEnd w:id="1"/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Направл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ение (подпрограмма) 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Комплексное развитие отрасли культуры, дополнительного образования в сфере культуры и искусства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Ответственный исполнитель направления (подпрограммы) – Отдел культуры, спорта и молодежной политики администрации Печенгского муниципального округа (далее – Отдел КСиМП)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Направление (подпрограмма) 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Наследие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Ответственные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исполнител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направления (подпрограммы) –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Печенгского муниципального округа (далее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дминистрация),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Отдел КСиМП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2026 - 2028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871 753 574,27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52 765 560,55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307 387 906,55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272 050 727,00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273 326 927,00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3 413 844,00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3 413 844,00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274 169,72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274 169,72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15 300 000,00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4 800 000,00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5 000 000,00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5 500 000,00 рублей.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22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муниципальной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Ожидаемые результаты реализации муниципальной программы к </w:t>
            </w:r>
            <w:r>
              <w:rPr>
                <w:rFonts w:ascii="Times New Roman" w:hAnsi="Times New Roman" w:eastAsia="Times New Roman"/>
                <w:color w:val="000000" w:themeColor="text1"/>
                <w:sz w:val="24"/>
                <w:szCs w:val="24"/>
                <w:lang w:eastAsia="ru-RU"/>
              </w:rPr>
              <w:t xml:space="preserve">2029 году: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показатель независимой оценки качества условий оказания услуг в сфере культуры – на уровне не ниже 82,35 баллов;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численность обучающихся образовательных организаций в сфере культуры (среднегодовая) – 642 человека в 2028 году;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увеличение численности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 до 820 человек;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увеличение численности участников клубных формирований – до 1130 человек в 2028 году;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рост числа посещений культурно-массовых мероприятий,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проводимы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 муниципальными культурно-досуговыми учреждениями до 143430 посещений;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увеличение доли экспонируемых музейных предметов за отчетный период от общего количества предметов музейного фонда до 25,0 процентов;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динамики увеличения числа посещений библиотек (в стационарных условиях) на уровне 0,02 %;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отношения средней заработной платы работн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 на уровне 2024 года – 95%);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сохранение доли учреж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дений культуры и учреждений дополнительного образования в сфере культуры и искусства, в отношении которых осуществлены мероприятия по укреплению материально - технической базы и проведению текущих ремонтов, на уровне 100 % от общего числа таких учреждений;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пгт. Никель,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br/>
              <w:t xml:space="preserve">ул. Октябрьская, д. 1 (ДК «Восход») - 1 ед. в 2026 году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943"/>
              <w:jc w:val="both"/>
              <w:tabs>
                <w:tab w:val="left" w:pos="350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увеличение доли объектов культурного наследия находящихся в удовлетворительном состоянии.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КСиМП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</w:t>
            </w:r>
            <w:r>
              <w:rPr>
                <w:rFonts w:ascii="Times New Roman" w:hAnsi="Times New Roman"/>
                <w:strike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КСиМП, подведомственные Отделу КСиМП учреждения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Администрация, муниципальное бюджетное учреждение «Ремонтно-эксплуатационная служба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– МБУ «РЭС»)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Государственная программа Мурманской области «Культура»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pStyle w:val="900"/>
        <w:numPr>
          <w:ilvl w:val="0"/>
          <w:numId w:val="14"/>
        </w:numPr>
        <w:ind w:left="0" w:firstLine="0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задачи муниципального управления в сфере реализации муниципальной программы «Культура»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900"/>
        <w:ind w:left="0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Приоритеты муниципальной политики в сфере реализации муни</w:t>
      </w:r>
      <w:r>
        <w:rPr>
          <w:rFonts w:ascii="Times New Roman" w:hAnsi="Times New Roman"/>
          <w:sz w:val="24"/>
          <w:szCs w:val="24"/>
        </w:rPr>
        <w:t xml:space="preserve">ци</w:t>
      </w:r>
      <w:r>
        <w:rPr>
          <w:rFonts w:ascii="Times New Roman" w:hAnsi="Times New Roman"/>
          <w:sz w:val="24"/>
          <w:szCs w:val="24"/>
        </w:rPr>
        <w:t xml:space="preserve">пальной программы Печенгского муниципального округа «Культура» на 2026 - 2028 годы (далее – Программа) определены Законом Российской Федерации «Основы законодательства Российской Федерации о культуре», Стратегией государственной культурной политики на пери</w:t>
      </w:r>
      <w:r>
        <w:rPr>
          <w:rFonts w:ascii="Times New Roman" w:hAnsi="Times New Roman"/>
          <w:sz w:val="24"/>
          <w:szCs w:val="24"/>
        </w:rPr>
        <w:t xml:space="preserve">од до 2030 года, в ежегодных посланиях Президента Российской Федерации Федеральному Собранию Российской Федерации, с учетом поручений Губернатора Мурманской области, на основании прогноза социально-экономического развития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указанными документами сформированы следующие задачи муниципальной политики в сфере реализации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качественный уровень развития учреждений культурно-досугового типа;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внедрение инновационных форм библиотечно-информационного обслуживания;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создание благоприятных условий для устойчивого развития дополнительного образования в сфере культуры.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Приоритеты государственной политики в сфере реализации Программы определены исходя из положений стратегических документов: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 Указа Президента Российской Федерации от 7 мая 2024 года № 309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br/>
        <w:t xml:space="preserve">«О национальных целях развития Российской Федерации на период до 2030 года и на перспективу до 2036 года»;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 Стратегии государственной культурной политики на период до 2030 года, утвержденной распоряжением Правительства Российской Федерации от 11.09.2024 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br/>
        <w:t xml:space="preserve">№ 2501-р;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pP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-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  <w:t xml:space="preserve"> иными нормативными правовыми документами федерального и регионального законодательства органов исполнительной власти, касающихся управления в сфере культуры.</w:t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  <w:r>
        <w:rPr>
          <w:rFonts w:ascii="Times New Roman" w:hAnsi="Times New Roman" w:eastAsia="SimSun"/>
          <w:color w:val="000000"/>
          <w:sz w:val="24"/>
          <w:szCs w:val="24"/>
          <w:lang w:eastAsia="zh-CN" w:bidi="hi-IN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Печенгском муниципальном округе Программа реализуется отделом КСиМП, при участии подведомственных ему учреждений.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 Программы является - формирование и удовлетворение культурных запросов и духовных потребностей населения путем создания условий для комплексного развития культурного потенциала.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ее достижения предполагается реализация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укрепление гражданской идентичности;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сохранение исторического и культурного наследия и его использование для воспитания и образования;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передача от поколения к поколению традиционных для российской цивилизации ценностей и норм, традиций, обычаев и образцов поведения;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создание условий для реализации каждым человеком его творческого потенциала;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обеспечение доступа граждан к знаниям, информации, культурным ценностям и благам.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реализации мероприятий Программы в трехлетнем периоде предполагается осуществлять работу по следующим направлениям: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обеспечение деятельности учреждений культуры;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осуществление государственной поддержки лучших муниципальных учреждений культуры, находящихся на территориях сельских населенных пунктов;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поддержка непрерывного образования и повышения квалификации творческих и управленческих кадров в сфере культуры для обеспечения организаций культуры высокопрофессиональными кадрами;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повышение вовлеченности граждан в деятельность в сфере культуры (создание условий для реализации творческого потенциала, воспитания на основе традиционных российских духовно-нравственных ценностей);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сохранение национального культурного наследия, содействие реализации талантливых и перспективных проектов в области культуры и искусства, воспитание, просвещение и поддержку молодого поколения;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увеличение уровня удовлетворенности граждан Печенгского муниципального округа доступностью и качеством услуг учреждений культуры;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создание и модернизация учреждений культурно-досугового типа;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обеспечение развития и укрепления материально-технической базы, оснащение музыкальными инструментами, оборудованием и учебными материалами образовательных организаций в сфере культуры;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реализация проектов по сохранению объектов культурного наследия;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 создание культурно-образовательных и музейных комплексов.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  <w:sectPr>
          <w:footnotePr/>
          <w:endnotePr/>
          <w:type w:val="nextPage"/>
          <w:pgSz w:w="11905" w:h="16838" w:orient="portrait"/>
          <w:pgMar w:top="1134" w:right="850" w:bottom="255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2" w:name="P446"/>
      <w:r/>
      <w:bookmarkEnd w:id="2"/>
      <w:r>
        <w:rPr>
          <w:rFonts w:ascii="Times New Roman" w:hAnsi="Times New Roman" w:eastAsia="Times New Roman"/>
          <w:b/>
          <w:sz w:val="24"/>
          <w:lang w:eastAsia="ru-RU"/>
        </w:rPr>
        <w:t xml:space="preserve">2. Перечень 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884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103"/>
        <w:gridCol w:w="993"/>
        <w:gridCol w:w="992"/>
        <w:gridCol w:w="1134"/>
        <w:gridCol w:w="992"/>
        <w:gridCol w:w="992"/>
        <w:gridCol w:w="993"/>
        <w:gridCol w:w="992"/>
        <w:gridCol w:w="198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  <w:t xml:space="preserve">Направленность показателя</w:t>
            </w:r>
            <w:r>
              <w:rPr>
                <w:rFonts w:ascii="Times New Roman" w:hAnsi="Times New Roman" w:eastAsia="Times New Roman"/>
                <w:sz w:val="19"/>
                <w:szCs w:val="19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/>
                <w:sz w:val="19"/>
                <w:szCs w:val="19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0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u w:val="single"/>
                <w:lang w:eastAsia="ru-RU"/>
              </w:rPr>
              <w:t xml:space="preserve">«Культура»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муниципальной программы: </w:t>
            </w:r>
            <w:r>
              <w:rPr>
                <w:rFonts w:ascii="Times New Roman" w:hAnsi="Times New Roman"/>
                <w:color w:val="000000"/>
              </w:rPr>
              <w:t xml:space="preserve">Формирование и удовлетворение культурных запросов и духовных потребностей населения путем создания условий для комплексного развития культурного потенциала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Результаты независимой оценки качества условий оказания услуг в сфере культуры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баллы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82,35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средней заработной платы работников учреждений культуры к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 (сохранение заработной платы на уровне 2024 года – 95%)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объектов культурного наследия находящихся в удовлетворительном состоянии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83,33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88,89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88,89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88,89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Цель: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Создание условий для обеспечения современной, доступной и динамично развивающейся культурно-образовательной среды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 (среднегодовая)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633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597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612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627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642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785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800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810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815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820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участников клубных формирований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человек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1233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1069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1080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Число посещений культурно-массовых мероприятий, проводимых муниципальными культурно-досуговыми учреждениями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143429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143430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экспонируемых музейных предметов за отчетный период от общего количества предметов музейного фонда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11,6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 «Историко - краеведческий музей Печенгского муниципального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Динамика увеличения числа посещений библиотек (в стационарных условиях)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МБКПУ «Печенгское межпоселенческое библиотечное объединение»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Комплектование книжных фондов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МБКПУ «Печенгское межпоселенческое библиотечное объединение»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/>
            <w:bookmarkStart w:id="3" w:name="p125"/>
            <w:r/>
            <w:bookmarkEnd w:id="3"/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процент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100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Подведомственные Отделу КСиМП учреждения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пгт. Никель, ул. Октябрьская, д. 1 (ДК «Восход»)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МБУК «Центр культуры Печенгского муниципального округа» (далее – МБУК «ЦКПМО»)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(подпрограмма)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Наследие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Цель: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Сохранение объектов культурного наследия.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10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объектов культурного наследия, в отношении которых выполнен текущий ремонт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</w:tr>
    </w:tbl>
    <w:p>
      <w:pPr>
        <w:pStyle w:val="910"/>
        <w:jc w:val="both"/>
        <w:spacing w:before="0" w:beforeAutospacing="0" w:after="0" w:afterAutospacing="0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</w:p>
    <w:p>
      <w:pPr>
        <w:pStyle w:val="910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0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746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4452"/>
        <w:gridCol w:w="1276"/>
        <w:gridCol w:w="1842"/>
        <w:gridCol w:w="666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5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 Результаты независимой оценки качества условий оказания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услуг в сфере культуры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 Отношение сре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Численность обучающихся образовательных организаций 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сфере культуры (среднегодовая)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Численность обучающихся образовательных организаций в сфере культуры, принявших участие в творческих мероприятиях, в том числе, в мероприятиях и конкурсах регионального, всеросс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ийского, международного уровней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Численность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участников клубных формирований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Число посещений культурно-массовых мероприятий, проводимых муниципальными ку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льтурно-досуговыми учреждениями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Доля экспонируемых музейных предметов за отчетный период от общего колич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ества предметов музейного фонда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 Динамика увеличения числа посещений библ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иотек (в стационарных условиях)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1.7. Комплектование книжных фондов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1.8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. Укрепление материально-технической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/>
            <w:bookmarkStart w:id="4" w:name="p152"/>
            <w:r/>
            <w:bookmarkEnd w:id="4"/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проектных мероприятий 2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«Модернизация имущественного комплекса муниципальных учреждений»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МБУК «ЦКПМО»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пгт. Никель,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ул. Октябрьская, д. 1 (ДК «Восход»)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23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Направление (подпрограмма) 2 «Наследие»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оцессных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мероприятий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«РЭС»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объектов культурного наследия находящихся в удовлетворительном состоянии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2.1. Количество объектов культурного наследия, в отношении которых выполнен текущий ремонт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4. Перечень мер налогового регулирования (налоговых расходов) в сфере реализации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402"/>
        <w:gridCol w:w="1418"/>
        <w:gridCol w:w="1417"/>
        <w:gridCol w:w="1276"/>
        <w:gridCol w:w="2552"/>
        <w:gridCol w:w="382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меры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 выпадающих доходов бюджета округа (руб.)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Основание применения меры налогового регулирования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9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10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Освобождение от н</w:t>
            </w:r>
            <w:r>
              <w:rPr>
                <w:sz w:val="20"/>
                <w:szCs w:val="20"/>
              </w:rPr>
              <w:t xml:space="preserve">алогообложения земельным налогом учреждения культуры, финансируемые из бюджета муниципального образования Печенгский муниципальный округ,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214 177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214 177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214 177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Подпункт 4.1 пункта 4 решения Совета депутатов Печенгского муниципального округа </w:t>
              <w:br/>
              <w:t xml:space="preserve">от 23.10.2020 № 39 </w:t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 </w:t>
              <w:br/>
            </w:r>
            <w:r>
              <w:rPr>
                <w:rFonts w:ascii="Times New Roman" w:hAnsi="Times New Roman"/>
                <w:sz w:val="20"/>
                <w:szCs w:val="20"/>
              </w:rPr>
              <w:t xml:space="preserve">(в ред. от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13.02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3863"/>
        <w:gridCol w:w="1134"/>
        <w:gridCol w:w="1134"/>
        <w:gridCol w:w="1559"/>
        <w:gridCol w:w="1559"/>
        <w:gridCol w:w="1418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u w:val="single"/>
                <w:lang w:eastAsia="ru-RU"/>
              </w:rPr>
              <w:t xml:space="preserve">«Культура»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871 753 574,27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315 875 920,27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277 050 727,00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278 826 927,00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Отдел КСиМП, подведомственные Отделу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852 765 560,55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307 387 906,55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272 050 727,00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273 326 927,00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15 300 000,00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4 800 000,00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5 000 000,00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5 500 000,00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861 753 574,27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305 875 920,27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277 050 727,00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278 826 927,00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842 765 560,55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297 387 906,55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272 050 727,00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273 326 927,00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15 300 000,00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4 800 000,00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5 000 000,00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5 500 000,00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(подпрограмма)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«Комплексное развитие отрасли культуры,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861 753 574,27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305 875 920,27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277 050 727,00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278 826 927,00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842 765 560,55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297 387 906,55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272 050 727,00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273 326 927,00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15 300 000,00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4 800 000,00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5 000 000,00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5 500 000,00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861 753 574,27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305 875 920,27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277 050 727,00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278 826 927,00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</w:t>
            </w:r>
            <w:bookmarkStart w:id="5" w:name="_GoBack"/>
            <w:r/>
            <w:bookmarkEnd w:id="5"/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842 765 560,55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297 387 906,55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272 050 727,00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273 326 927,00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3 413 844,00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274 169,72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15 300 000,00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4 800 000,00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5 000 000,00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5 500 000,00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проектных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МБУК «ЦКПМО»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Направление (подпрограмма) 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«Наследие»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Администрация,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цессных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«Сохранени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благоустройство и паспортизация памятников культурного наследия регионального значения»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 Администрация, 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10 000 000,00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6. Механизмы управления рисками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"/>
        <w:gridCol w:w="1712"/>
        <w:gridCol w:w="3359"/>
        <w:gridCol w:w="2942"/>
        <w:gridCol w:w="4204"/>
        <w:gridCol w:w="167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5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Недостаточное нормативное правовое обеспечение реализации программы, непринятие или несвоевременное принятие необходимых нормативных актов в связи с изменением федерального законодательства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Мониторинг изменений федерального и регионального законодательства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Внесение изменений или принятие необходимых муниципальных нормативных правовых актов в соответствии с изменениями федерального и регионального  законодательства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Финансово-экономические риски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5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Нарушение сроков выполнения мероприятий и недостижение запланированных результатов, вызванные невыполнением в полном объеме исполнителями мероприя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тий (результатов), реализация которых предусмотрена Программой (муниципальными учреждениями, органами местного самоуправления, подрядчиками по муниципальным контрактам, получателями целевых субсидий и грантов), принятых по программе финансовых обязательств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Мониторинг реализации мероприятий (результатов) и своевременности исполнения обязательств, принятых на себя соответствующими получателями бюджетных средств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Внесение изменений или расторжение соглашений о предоставлении целевых бюджетных средств, применение штрафных санкций.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Внесение изменений в части уточнения целевых значений показателей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" w:type="pc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Административный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5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Нарушение сроков и недостижение запланированных мероприятий (результатов), вызванные неэффективной системой управления или введением различных ограничительных мер)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29" w:type="pct"/>
            <w:textDirection w:val="lrTb"/>
            <w:noWrap w:val="false"/>
          </w:tcPr>
          <w:p>
            <w:pPr>
              <w:pStyle w:val="910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Перераспределение объемов финансирования в зависимости от динамики и темпов достижения поставленных целей и внешних факторов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0"/>
              <w:jc w:val="both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Корректировка показателей, а также мероприятий (результатов)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</w:tr>
    </w:tbl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7. 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 и участников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spacing w:after="0" w:line="240" w:lineRule="auto"/>
      </w:pPr>
      <w:r/>
      <w:bookmarkStart w:id="6" w:name="Par3713"/>
      <w:r/>
      <w:bookmarkEnd w:id="6"/>
      <w:r/>
      <w:r/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ответственным исполнителем программы – Отдел КСиМП: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обеспечивает сов</w:t>
      </w:r>
      <w:r>
        <w:rPr>
          <w:rFonts w:ascii="Times New Roman" w:hAnsi="Times New Roman" w:eastAsia="Times New Roman"/>
          <w:sz w:val="24"/>
          <w:lang w:eastAsia="ru-RU"/>
        </w:rPr>
        <w:t xml:space="preserve">местно с Соисполнителями разработку проекта муниципальной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18.09.2025 № 1488 (далее – Порядок);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 xml:space="preserve">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осуществляет мониторинг реализации муниципальной программы и подготовку отчетов о ходе реализации муниципальной программы в соответствии с требованиями Порядка.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Соисполнители муниципальной программы: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обеспечивают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несут ответственность за достижение плановых значений показателей муниципальной программы в части, их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формирует предложения по разработке проекта муниципальной программы, внесению изменений в муниципальную программу;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в пределах своей компетенции участвуют в разработке плана реализации муниципальной программы, направляют финансовому управлению администрации Печенгского муниципального округа 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 представляют в </w:t>
      </w:r>
      <w:r>
        <w:rPr>
          <w:rFonts w:ascii="Times New Roman" w:hAnsi="Times New Roman" w:eastAsia="Times New Roman"/>
          <w:sz w:val="24"/>
          <w:lang w:eastAsia="ru-RU"/>
        </w:rPr>
        <w:t xml:space="preserve">О</w:t>
      </w:r>
      <w:r>
        <w:rPr>
          <w:rFonts w:ascii="Times New Roman" w:hAnsi="Times New Roman" w:eastAsia="Times New Roman"/>
          <w:sz w:val="24"/>
          <w:lang w:eastAsia="ru-RU"/>
        </w:rPr>
        <w:t xml:space="preserve">тдел КСиМП в электронном виде в срок и по формам, установленным Порядком, всю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pStyle w:val="910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Участники муниципальной программы:</w:t>
      </w:r>
      <w:r/>
    </w:p>
    <w:p>
      <w:pPr>
        <w:pStyle w:val="910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- осуществляют реализацию мероприятий муниципальной программы, участниками которых они являются;</w:t>
      </w:r>
      <w:r/>
    </w:p>
    <w:p>
      <w:pPr>
        <w:pStyle w:val="910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- представляют ответственному исполнителю муницип</w:t>
      </w:r>
      <w: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/>
    </w:p>
    <w:p>
      <w:pPr>
        <w:pStyle w:val="910"/>
        <w:contextualSpacing/>
        <w:ind w:firstLine="709"/>
        <w:jc w:val="both"/>
        <w:spacing w:before="0" w:beforeAutospacing="0" w:after="0" w:afterAutospacing="0" w:line="288" w:lineRule="atLeast"/>
      </w:pPr>
      <w:r>
        <w:t xml:space="preserve">- 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910"/>
        <w:ind w:firstLine="709"/>
        <w:jc w:val="both"/>
        <w:spacing w:before="0" w:beforeAutospacing="0" w:after="0" w:afterAutospacing="0" w:line="288" w:lineRule="atLeast"/>
      </w:pPr>
      <w: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/>
    </w:p>
    <w:p>
      <w:pPr>
        <w:pStyle w:val="910"/>
        <w:ind w:firstLine="709"/>
        <w:jc w:val="both"/>
        <w:spacing w:before="0" w:beforeAutospacing="0" w:after="0" w:afterAutospacing="0" w:line="288" w:lineRule="atLeast"/>
      </w:pP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/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851" w:right="851" w:bottom="1701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</w:p>
        </w:tc>
      </w:tr>
    </w:tbl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8. Сведения об источниках и методике расчета значений показателей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273"/>
        <w:gridCol w:w="1121"/>
        <w:gridCol w:w="1417"/>
        <w:gridCol w:w="2977"/>
        <w:gridCol w:w="2268"/>
        <w:gridCol w:w="1276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3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Муниципальная программа «Культура»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Результаты независимой оценки качества условий оказания услуг в сфере культуры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баллы,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Данные Министерства культуры Мурманской области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Апрель, ежегодно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Отношение сред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по Мурманской области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Iзпк =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Зк / З *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right="141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Зк - размер среднемесячной номинальной начисленной заработной платы работников муниципальных учреждений культуры, рублей;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1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 - размер среднемесячной номинальной начисленной заработной платы по экономике, рублей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 федерального статистического наблюдения № П-4,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ЗП-культура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 12 января года, следующего за отчетным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объектов культурного наследия находящихся в удовлетворительном состоянии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Процент, 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 данные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окончанию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03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  <w:t xml:space="preserve">Направление (подпрограмма) 1 «Комплексное развитие отрасли культуры,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 (среднегодовая)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человек,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ср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= (Ч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начУГ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+Ч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начПГ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/2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ср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- 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 (среднегодовая);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начУГ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численность обучающихся на начало учебного года (гр.3 стр.07+08);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начПГ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– численность обучающихся на начало прошлого учебного года (гр.3 стр.67)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статистического наблюдения № 1-ДШИ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 октября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01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обучающихся образовательных организаций в сфере культуры, принявших участие в творческих мероприятиях (в том числе, в мероприятиях и конкурсах регионального, всероссийского, международного уровней)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человек,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гр.7 стр.69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gree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статистического наблюдения № 1-ДШИ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 октября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Численность участников клубных формирований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человек,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гр.3 стр.03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ind w:right="141"/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статистического наблюдения № 7-НК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февраля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Число посещений культурно-массовых мероприятий, проводимых  муниципальными культурно-досуговыми учреждениями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гр.3 стр.06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статистического наблюдения № 7-НК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февраля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экспонируемых музейных предметов за отчетный период от общего количества предметов музейного фонда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Мэкс / Мобщ          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                             *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Мэкс - количество экспонируемых музейных предметов за отчетный период, ед.;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статистического наблюдения № 8-НК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«Историко - краеведческий музей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65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Мобщ - общее количество предметов музейного фонда, ед.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Динамика увеличения числа  посещений библиотек (в стационарных условиях)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(Тг – Пг) / Пг *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100%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Тг - число посещений в текущем году, ед;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Статистические данные формы федерального статистического наблюдения №  6-НК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15 февраля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после отчетного периода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МБКПУ «Печенгское межпоселенческое библиотечное объединение»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4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27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2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Пг - число посещений в предыдущем году, ед.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ind w:right="155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Комплектование книжных фондов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31 декабря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МБКПУ «Печенгское межпоселенческое библиотечное объединение»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1.8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textDirection w:val="lrTb"/>
            <w:noWrap w:val="false"/>
          </w:tcPr>
          <w:p>
            <w:pPr>
              <w:pStyle w:val="948"/>
              <w:ind w:left="0"/>
              <w:jc w:val="both"/>
              <w:tabs>
                <w:tab w:val="left" w:pos="317" w:leader="none"/>
              </w:tabs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Укрепление материально - технической базы и проведение текущих ремонтов в учреждениях культуры и учреждениях дополнительного образования в сфере культуры и искусства от общего числа таких учреждений</w:t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Процент,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окончанию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одведомственные отделу КСиМП учреждения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Наличие разработанной проектно-сметной документации на реконструкцию здания МБУК «Центр культуры Печенгского муниципального округа», расположенного по адресу: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br/>
              <w:t xml:space="preserve">пгт. Никель, ул. Октябрьская, д. 1 (ДК «Восход»)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(дата акта выполненных работ (приемки работ))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окончанию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МБУК «ЦКПМО»</w:t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val="en-US" w:eastAsia="ru-RU"/>
              </w:rPr>
            </w:r>
          </w:p>
        </w:tc>
      </w:tr>
      <w:tr>
        <w:tblPrEx/>
        <w:trPr>
          <w:trHeight w:val="547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7"/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033" w:type="dxa"/>
            <w:vAlign w:val="center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  <w:t xml:space="preserve">Направление (подпрограмма) 2 «Наследие»</w:t>
            </w: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 w:themeColor="text1"/>
                <w:lang w:eastAsia="ru-RU"/>
              </w:rPr>
            </w:r>
          </w:p>
        </w:tc>
      </w:tr>
      <w:tr>
        <w:tblPrEx/>
        <w:trPr>
          <w:trHeight w:val="1202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73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объектов культурного наследия, в отношении которых выполнен текущий ремонт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(дата акта выполненных работ (приемки работ))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окончанию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  <w:t xml:space="preserve"> МБУ «РЭС»</w:t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 w:themeColor="text1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/>
      <w:bookmarkStart w:id="7" w:name="p124"/>
      <w:r/>
      <w:bookmarkEnd w:id="7"/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contextualSpacing/>
        <w:spacing w:before="168" w:after="0" w:line="288" w:lineRule="atLeast"/>
        <w:rPr>
          <w:rFonts w:ascii="Times New Roman" w:hAnsi="Times New Roman" w:eastAsia="Times New Roman"/>
          <w:sz w:val="18"/>
          <w:szCs w:val="18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851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18"/>
          <w:szCs w:val="18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Указываются методы: статистическая отчетность, социологический опрос,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прочие (указать).»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701" w:left="156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num w:numId="1">
    <w:abstractNumId w:val="15"/>
  </w:num>
  <w:num w:numId="2">
    <w:abstractNumId w:val="7"/>
  </w:num>
  <w:num w:numId="3">
    <w:abstractNumId w:val="6"/>
  </w:num>
  <w:num w:numId="4">
    <w:abstractNumId w:val="8"/>
  </w:num>
  <w:num w:numId="5">
    <w:abstractNumId w:val="0"/>
  </w:num>
  <w:num w:numId="6">
    <w:abstractNumId w:val="12"/>
  </w:num>
  <w:num w:numId="7">
    <w:abstractNumId w:val="4"/>
  </w:num>
  <w:num w:numId="8">
    <w:abstractNumId w:val="9"/>
  </w:num>
  <w:num w:numId="9">
    <w:abstractNumId w:val="13"/>
  </w:num>
  <w:num w:numId="10">
    <w:abstractNumId w:val="14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1"/>
  </w:num>
  <w:num w:numId="14">
    <w:abstractNumId w:val="3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ff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88">
    <w:name w:val="Heading 1"/>
    <w:basedOn w:val="687"/>
    <w:link w:val="91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89">
    <w:name w:val="Heading 2"/>
    <w:basedOn w:val="687"/>
    <w:next w:val="687"/>
    <w:link w:val="91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90">
    <w:name w:val="Heading 3"/>
    <w:basedOn w:val="687"/>
    <w:next w:val="687"/>
    <w:link w:val="91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91">
    <w:name w:val="Heading 4"/>
    <w:basedOn w:val="687"/>
    <w:next w:val="687"/>
    <w:link w:val="73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3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3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4">
    <w:name w:val="Heading 7"/>
    <w:basedOn w:val="687"/>
    <w:next w:val="687"/>
    <w:link w:val="73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5">
    <w:name w:val="Heading 8"/>
    <w:basedOn w:val="687"/>
    <w:next w:val="687"/>
    <w:link w:val="73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6">
    <w:name w:val="Heading 9"/>
    <w:basedOn w:val="687"/>
    <w:next w:val="687"/>
    <w:link w:val="73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Heading 4 Char"/>
    <w:basedOn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Heading 5 Char"/>
    <w:basedOn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Heading 6 Char"/>
    <w:basedOn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Heading 7 Char"/>
    <w:basedOn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Heading 8 Char"/>
    <w:basedOn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Heading 9 Char"/>
    <w:basedOn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706" w:customStyle="1">
    <w:name w:val="Title Char"/>
    <w:basedOn w:val="697"/>
    <w:uiPriority w:val="10"/>
    <w:rPr>
      <w:sz w:val="48"/>
      <w:szCs w:val="48"/>
    </w:rPr>
  </w:style>
  <w:style w:type="character" w:styleId="707" w:customStyle="1">
    <w:name w:val="Subtitle Char"/>
    <w:basedOn w:val="697"/>
    <w:uiPriority w:val="11"/>
    <w:rPr>
      <w:sz w:val="24"/>
      <w:szCs w:val="24"/>
    </w:rPr>
  </w:style>
  <w:style w:type="character" w:styleId="708" w:customStyle="1">
    <w:name w:val="Quote Char"/>
    <w:uiPriority w:val="29"/>
    <w:rPr>
      <w:i/>
    </w:rPr>
  </w:style>
  <w:style w:type="character" w:styleId="709" w:customStyle="1">
    <w:name w:val="Intense Quote Char"/>
    <w:uiPriority w:val="30"/>
    <w:rPr>
      <w:i/>
    </w:rPr>
  </w:style>
  <w:style w:type="table" w:styleId="710">
    <w:name w:val="Plain Table 1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6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6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6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5 Dark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0">
    <w:name w:val="Grid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1">
    <w:name w:val="Grid Table 7 Colorful"/>
    <w:basedOn w:val="6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2">
    <w:name w:val="List Table 1 Light"/>
    <w:basedOn w:val="6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2"/>
    <w:basedOn w:val="6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4">
    <w:name w:val="List Table 3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List Table 4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List Table 5 Dark"/>
    <w:basedOn w:val="6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7">
    <w:name w:val="List Table 6 Colorful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8">
    <w:name w:val="List Table 7 Colorful"/>
    <w:basedOn w:val="6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9" w:customStyle="1">
    <w:name w:val="Footnote Text Char"/>
    <w:uiPriority w:val="99"/>
    <w:rPr>
      <w:sz w:val="18"/>
    </w:rPr>
  </w:style>
  <w:style w:type="character" w:styleId="730" w:customStyle="1">
    <w:name w:val="Endnote Text Char"/>
    <w:uiPriority w:val="99"/>
    <w:rPr>
      <w:sz w:val="20"/>
    </w:rPr>
  </w:style>
  <w:style w:type="character" w:styleId="731" w:customStyle="1">
    <w:name w:val="Heading 1 Char"/>
    <w:basedOn w:val="697"/>
    <w:uiPriority w:val="9"/>
    <w:rPr>
      <w:rFonts w:ascii="Arial" w:hAnsi="Arial" w:eastAsia="Arial" w:cs="Arial"/>
      <w:sz w:val="40"/>
      <w:szCs w:val="40"/>
    </w:rPr>
  </w:style>
  <w:style w:type="character" w:styleId="732" w:customStyle="1">
    <w:name w:val="Heading 2 Char"/>
    <w:basedOn w:val="697"/>
    <w:uiPriority w:val="9"/>
    <w:rPr>
      <w:rFonts w:ascii="Arial" w:hAnsi="Arial" w:eastAsia="Arial" w:cs="Arial"/>
      <w:sz w:val="34"/>
    </w:rPr>
  </w:style>
  <w:style w:type="character" w:styleId="733" w:customStyle="1">
    <w:name w:val="Heading 3 Char"/>
    <w:basedOn w:val="697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Заголовок 4 Знак"/>
    <w:basedOn w:val="697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Заголовок 5 Знак"/>
    <w:basedOn w:val="697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Заголовок 6 Знак"/>
    <w:basedOn w:val="697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Заголовок 7 Знак"/>
    <w:basedOn w:val="697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Заголовок 8 Знак"/>
    <w:basedOn w:val="697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Заголовок 9 Знак"/>
    <w:basedOn w:val="697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Title"/>
    <w:basedOn w:val="687"/>
    <w:next w:val="687"/>
    <w:link w:val="741"/>
    <w:uiPriority w:val="10"/>
    <w:qFormat/>
    <w:pPr>
      <w:contextualSpacing/>
      <w:spacing w:before="300"/>
    </w:pPr>
    <w:rPr>
      <w:sz w:val="48"/>
      <w:szCs w:val="48"/>
    </w:rPr>
  </w:style>
  <w:style w:type="character" w:styleId="741" w:customStyle="1">
    <w:name w:val="Заголовок Знак"/>
    <w:basedOn w:val="697"/>
    <w:link w:val="740"/>
    <w:uiPriority w:val="10"/>
    <w:rPr>
      <w:sz w:val="48"/>
      <w:szCs w:val="48"/>
    </w:rPr>
  </w:style>
  <w:style w:type="paragraph" w:styleId="742">
    <w:name w:val="Subtitle"/>
    <w:basedOn w:val="687"/>
    <w:next w:val="687"/>
    <w:link w:val="743"/>
    <w:uiPriority w:val="11"/>
    <w:qFormat/>
    <w:pPr>
      <w:spacing w:before="200"/>
    </w:pPr>
    <w:rPr>
      <w:sz w:val="24"/>
      <w:szCs w:val="24"/>
    </w:rPr>
  </w:style>
  <w:style w:type="character" w:styleId="743" w:customStyle="1">
    <w:name w:val="Подзаголовок Знак"/>
    <w:basedOn w:val="697"/>
    <w:link w:val="742"/>
    <w:uiPriority w:val="11"/>
    <w:rPr>
      <w:sz w:val="24"/>
      <w:szCs w:val="24"/>
    </w:rPr>
  </w:style>
  <w:style w:type="paragraph" w:styleId="744">
    <w:name w:val="Quote"/>
    <w:basedOn w:val="687"/>
    <w:next w:val="687"/>
    <w:link w:val="745"/>
    <w:uiPriority w:val="29"/>
    <w:qFormat/>
    <w:pPr>
      <w:ind w:left="720" w:right="720"/>
    </w:pPr>
    <w:rPr>
      <w:i/>
    </w:r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687"/>
    <w:next w:val="687"/>
    <w:link w:val="74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697"/>
    <w:uiPriority w:val="99"/>
  </w:style>
  <w:style w:type="character" w:styleId="749" w:customStyle="1">
    <w:name w:val="Footer Char"/>
    <w:basedOn w:val="697"/>
    <w:uiPriority w:val="99"/>
  </w:style>
  <w:style w:type="character" w:styleId="750" w:customStyle="1">
    <w:name w:val="Caption Char"/>
    <w:uiPriority w:val="99"/>
  </w:style>
  <w:style w:type="table" w:styleId="751" w:customStyle="1">
    <w:name w:val="Table Grid Light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2" w:customStyle="1">
    <w:name w:val="Таблица простая 11"/>
    <w:basedOn w:val="6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Таблица простая 21"/>
    <w:basedOn w:val="6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Таблица простая 31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Таблица простая 41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Таблица простая 51"/>
    <w:basedOn w:val="6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Таблица-сетка 1 светлая1"/>
    <w:basedOn w:val="6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Таблица-сетка 21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31"/>
    <w:basedOn w:val="6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6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6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6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Таблица-сетка 41"/>
    <w:basedOn w:val="6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69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69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69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69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69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69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Таблица-сетка 5 темная1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6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Таблица-сетка 6 цветная1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69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69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69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69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Таблица-сетка 7 цветная1"/>
    <w:basedOn w:val="6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69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69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69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69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69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69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Список-таблица 1 светлая1"/>
    <w:basedOn w:val="6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69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69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69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69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69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69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Список-таблица 21"/>
    <w:basedOn w:val="6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Список-таблица 31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41"/>
    <w:basedOn w:val="6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69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69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69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69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69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69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Список-таблица 5 темная1"/>
    <w:basedOn w:val="6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69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Список-таблица 6 цветная1"/>
    <w:basedOn w:val="6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69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69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69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69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69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69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Список-таблица 7 цветная1"/>
    <w:basedOn w:val="6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69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69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69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69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69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69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6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69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69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69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69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69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69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69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69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6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6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6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6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6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6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687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697"/>
    <w:uiPriority w:val="99"/>
    <w:unhideWhenUsed/>
    <w:rPr>
      <w:vertAlign w:val="superscript"/>
    </w:rPr>
  </w:style>
  <w:style w:type="paragraph" w:styleId="879">
    <w:name w:val="endnote text"/>
    <w:basedOn w:val="687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697"/>
    <w:uiPriority w:val="99"/>
    <w:semiHidden/>
    <w:unhideWhenUsed/>
    <w:rPr>
      <w:vertAlign w:val="superscript"/>
    </w:rPr>
  </w:style>
  <w:style w:type="paragraph" w:styleId="882">
    <w:name w:val="toc 1"/>
    <w:basedOn w:val="687"/>
    <w:next w:val="687"/>
    <w:uiPriority w:val="39"/>
    <w:unhideWhenUsed/>
    <w:pPr>
      <w:spacing w:after="57"/>
    </w:pPr>
  </w:style>
  <w:style w:type="paragraph" w:styleId="883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84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85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86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87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88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89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90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687"/>
    <w:next w:val="687"/>
    <w:uiPriority w:val="99"/>
    <w:unhideWhenUsed/>
    <w:pPr>
      <w:spacing w:after="0"/>
    </w:pPr>
  </w:style>
  <w:style w:type="paragraph" w:styleId="89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5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7" w:customStyle="1">
    <w:name w:val="МОН Знак"/>
    <w:link w:val="898"/>
    <w:rPr>
      <w:sz w:val="24"/>
      <w:szCs w:val="24"/>
    </w:rPr>
  </w:style>
  <w:style w:type="paragraph" w:styleId="898" w:customStyle="1">
    <w:name w:val="МОН"/>
    <w:basedOn w:val="687"/>
    <w:link w:val="89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9">
    <w:name w:val="Strong"/>
    <w:qFormat/>
    <w:rPr>
      <w:b/>
      <w:bCs/>
    </w:rPr>
  </w:style>
  <w:style w:type="paragraph" w:styleId="900">
    <w:name w:val="List Paragraph"/>
    <w:basedOn w:val="687"/>
    <w:qFormat/>
    <w:pPr>
      <w:contextualSpacing/>
      <w:ind w:left="720"/>
    </w:pPr>
  </w:style>
  <w:style w:type="character" w:styleId="901" w:customStyle="1">
    <w:name w:val="Основной текст_"/>
    <w:link w:val="90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2" w:customStyle="1">
    <w:name w:val="Основной текст2"/>
    <w:basedOn w:val="687"/>
    <w:link w:val="90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3">
    <w:name w:val="Body Text 2"/>
    <w:basedOn w:val="687"/>
    <w:link w:val="90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4" w:customStyle="1">
    <w:name w:val="Основной текст 2 Знак"/>
    <w:link w:val="90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5">
    <w:name w:val="Footer"/>
    <w:basedOn w:val="687"/>
    <w:link w:val="90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6" w:customStyle="1">
    <w:name w:val="Нижний колонтитул Знак"/>
    <w:link w:val="90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08" w:customStyle="1">
    <w:name w:val="32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0">
    <w:name w:val="Normal (Web)"/>
    <w:basedOn w:val="68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1">
    <w:name w:val="Body Text Indent"/>
    <w:basedOn w:val="687"/>
    <w:link w:val="91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2" w:customStyle="1">
    <w:name w:val="Основной текст с отступом Знак"/>
    <w:link w:val="911"/>
    <w:rPr>
      <w:rFonts w:ascii="Times New Roman" w:hAnsi="Times New Roman" w:eastAsia="Times New Roman" w:cs="Times New Roman"/>
      <w:sz w:val="24"/>
      <w:szCs w:val="24"/>
    </w:rPr>
  </w:style>
  <w:style w:type="character" w:styleId="913" w:customStyle="1">
    <w:name w:val="Заголовок 1 Знак"/>
    <w:link w:val="68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4" w:customStyle="1">
    <w:name w:val="Заголовок 2 Знак"/>
    <w:link w:val="68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5" w:customStyle="1">
    <w:name w:val="Заголовок 3 Знак"/>
    <w:link w:val="69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6">
    <w:name w:val="Table Grid"/>
    <w:basedOn w:val="69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7">
    <w:name w:val="Balloon Text"/>
    <w:basedOn w:val="687"/>
    <w:link w:val="91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8" w:customStyle="1">
    <w:name w:val="Текст выноски Знак"/>
    <w:link w:val="917"/>
    <w:rPr>
      <w:rFonts w:ascii="Tahoma" w:hAnsi="Tahoma" w:eastAsia="Times New Roman" w:cs="Tahoma"/>
      <w:sz w:val="16"/>
      <w:szCs w:val="16"/>
      <w:lang w:eastAsia="ru-RU"/>
    </w:rPr>
  </w:style>
  <w:style w:type="paragraph" w:styleId="919">
    <w:name w:val="Header"/>
    <w:basedOn w:val="687"/>
    <w:link w:val="92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0" w:customStyle="1">
    <w:name w:val="Верхний колонтитул Знак"/>
    <w:link w:val="91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1">
    <w:name w:val="Emphasis"/>
    <w:qFormat/>
    <w:rPr>
      <w:i/>
      <w:iCs/>
    </w:rPr>
  </w:style>
  <w:style w:type="paragraph" w:styleId="922" w:customStyle="1">
    <w:name w:val="Содержимое таблицы"/>
    <w:basedOn w:val="68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3" w:customStyle="1">
    <w:name w:val="consplusnormal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 w:customStyle="1">
    <w:name w:val="a2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5" w:customStyle="1">
    <w:name w:val="15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7" w:customStyle="1">
    <w:name w:val="h1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msonospacing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ac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0">
    <w:name w:val="Body Text 3"/>
    <w:basedOn w:val="687"/>
    <w:link w:val="93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Основной текст 3 Знак"/>
    <w:link w:val="93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2">
    <w:name w:val="HTML Bottom of Form"/>
    <w:basedOn w:val="687"/>
    <w:next w:val="687"/>
    <w:link w:val="93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3" w:customStyle="1">
    <w:name w:val="z-Конец формы Знак"/>
    <w:link w:val="93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4" w:customStyle="1">
    <w:name w:val="Style16"/>
    <w:basedOn w:val="68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6">
    <w:name w:val="Caption"/>
    <w:basedOn w:val="687"/>
    <w:next w:val="68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7">
    <w:name w:val="Body Text"/>
    <w:basedOn w:val="687"/>
    <w:link w:val="93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Знак"/>
    <w:link w:val="93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>
    <w:name w:val="Body Text Indent 2"/>
    <w:basedOn w:val="687"/>
    <w:link w:val="94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0" w:customStyle="1">
    <w:name w:val="Основной текст с отступом 2 Знак"/>
    <w:link w:val="93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1" w:customStyle="1">
    <w:name w:val="Заголовок №2_"/>
    <w:link w:val="94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2" w:customStyle="1">
    <w:name w:val="Заголовок №2"/>
    <w:basedOn w:val="687"/>
    <w:link w:val="94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3">
    <w:name w:val="No Spacing"/>
    <w:qFormat/>
    <w:rPr>
      <w:sz w:val="22"/>
      <w:szCs w:val="22"/>
      <w:lang w:eastAsia="en-US"/>
    </w:rPr>
  </w:style>
  <w:style w:type="paragraph" w:styleId="944" w:customStyle="1">
    <w:name w:val="Default"/>
    <w:rPr>
      <w:rFonts w:ascii="Arial" w:hAnsi="Arial" w:cs="Arial"/>
      <w:color w:val="000000"/>
      <w:sz w:val="24"/>
      <w:szCs w:val="24"/>
    </w:rPr>
  </w:style>
  <w:style w:type="paragraph" w:styleId="945" w:customStyle="1">
    <w:name w:val="msonormalcxspmiddle"/>
    <w:basedOn w:val="68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6" w:customStyle="1">
    <w:name w:val="Нет списка1"/>
    <w:next w:val="699"/>
    <w:semiHidden/>
    <w:unhideWhenUsed/>
  </w:style>
  <w:style w:type="table" w:styleId="947" w:customStyle="1">
    <w:name w:val="Сетка таблицы1"/>
    <w:basedOn w:val="698"/>
    <w:next w:val="91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8" w:customStyle="1">
    <w:name w:val="Абзац списка1"/>
    <w:basedOn w:val="68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9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2" w:customStyle="1">
    <w:name w:val="Обычный (веб)18"/>
    <w:basedOn w:val="68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3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5" w:customStyle="1">
    <w:name w:val="Знак Знак2 Знак Знак Знак Знак Знак Знак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7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>
    <w:name w:val="Body Text Indent 3"/>
    <w:basedOn w:val="687"/>
    <w:link w:val="96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0" w:customStyle="1">
    <w:name w:val="Основной текст с отступом 3 Знак"/>
    <w:link w:val="959"/>
    <w:uiPriority w:val="99"/>
    <w:semiHidden/>
    <w:rPr>
      <w:sz w:val="16"/>
      <w:szCs w:val="16"/>
    </w:rPr>
  </w:style>
  <w:style w:type="paragraph" w:styleId="961" w:customStyle="1">
    <w:name w:val="1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2">
    <w:name w:val="Hyperlink"/>
    <w:rPr>
      <w:strike w:val="0"/>
      <w:color w:val="808080"/>
      <w:u w:val="none"/>
    </w:rPr>
  </w:style>
  <w:style w:type="character" w:styleId="963" w:customStyle="1">
    <w:name w:val="blk"/>
  </w:style>
  <w:style w:type="character" w:styleId="96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5" w:customStyle="1">
    <w:name w:val="Знак Знак2 Знак Знак Знак Знак Знак Знак Знак Знак Знак Знак Знак Знак Знак Знак Знак Знак"/>
    <w:basedOn w:val="6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8BDF6-155D-4124-8AA2-183BE1B4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46</cp:revision>
  <dcterms:created xsi:type="dcterms:W3CDTF">2025-11-12T14:32:00Z</dcterms:created>
  <dcterms:modified xsi:type="dcterms:W3CDTF">2026-05-28T09:37:41Z</dcterms:modified>
</cp:coreProperties>
</file>