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 </w:t>
      </w:r>
      <w:r>
        <w:rPr>
          <w:rFonts w:eastAsia="Times New Roman"/>
          <w:b/>
          <w:color w:val="000000"/>
          <w:sz w:val="24"/>
        </w:rPr>
        <w:t xml:space="preserve">21.05.2026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                         № 909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893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 об оплате труда работников </w:t>
      </w:r>
      <w:r>
        <w:rPr>
          <w:rFonts w:ascii="Times New Roman" w:hAnsi="Times New Roman" w:cs="Times New Roman"/>
          <w:sz w:val="20"/>
        </w:rPr>
        <w:br/>
        <w:t xml:space="preserve">муниципальных бюджетных и автономных учреждений, подведомственных отделу образования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93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администрации Печенгского муниципального округа, утвержденное постановлением </w:t>
      </w:r>
      <w:r>
        <w:rPr>
          <w:rFonts w:ascii="Times New Roman" w:hAnsi="Times New Roman" w:cs="Times New Roman"/>
          <w:sz w:val="20"/>
        </w:rPr>
        <w:br/>
        <w:t xml:space="preserve">администрации Печенгского муниципального округа от 09.03.2022 № 307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муниципального нормативного правового акта в соответствии с требованиями действующего законодательства,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1"/>
        <w:numPr>
          <w:ilvl w:val="0"/>
          <w:numId w:val="2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</w:t>
      </w:r>
      <w:r>
        <w:rPr>
          <w:bCs/>
          <w:iCs/>
          <w:sz w:val="24"/>
          <w:szCs w:val="24"/>
        </w:rPr>
        <w:t xml:space="preserve"> об оплате труда работников муниципальных бюджетных и автономных учреждений, подведомственных отделу образования администрации Печенгского муниц</w:t>
      </w:r>
      <w:r>
        <w:rPr>
          <w:bCs/>
          <w:iCs/>
          <w:sz w:val="24"/>
          <w:szCs w:val="24"/>
        </w:rPr>
        <w:t xml:space="preserve">ипального округа, утвержденное постановлением администрации Печенгского муниципального округа от 09.03.2022 № 307 (в редакции постановлений администрации Печенгского муниципального округа от 25.04.2022 № 576, от 15.09.2022 № 1229, от 16.08.2023 № 1181, от </w:t>
      </w:r>
      <w:r>
        <w:rPr>
          <w:sz w:val="24"/>
        </w:rPr>
        <w:t xml:space="preserve">17.10.2023 № 1535, от 24.01.2024 № 104, от 02.07.2024 № 1076, от 09.08.2024 № 1254, от 11.09.2024 № 1370, от 12.03.2025 № 365, от 06.06.2025 № 1000</w:t>
      </w:r>
      <w:r>
        <w:rPr>
          <w:sz w:val="24"/>
        </w:rPr>
        <w:t xml:space="preserve">, от 30.12.2025 № 2266, от 30.12.2025 № 2267, от 22.01.2026 № 95</w:t>
      </w:r>
      <w:r>
        <w:rPr>
          <w:bCs/>
          <w:iCs/>
          <w:strike w:val="0"/>
          <w:sz w:val="24"/>
          <w:szCs w:val="24"/>
        </w:rPr>
        <w:t xml:space="preserve">)</w:t>
      </w:r>
      <w:r>
        <w:rPr>
          <w:bCs/>
          <w:iCs/>
          <w:strike w:val="0"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681"/>
        <w:ind w:firstLine="0"/>
        <w:jc w:val="both"/>
        <w:widowControl w:val="off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ab/>
        <w:t xml:space="preserve">1.1. </w:t>
      </w:r>
      <w:r>
        <w:rPr>
          <w:bCs/>
          <w:sz w:val="24"/>
          <w:szCs w:val="24"/>
        </w:rPr>
        <w:t xml:space="preserve">В пункте 1.4</w:t>
      </w:r>
      <w:r>
        <w:rPr>
          <w:bCs/>
          <w:sz w:val="24"/>
          <w:szCs w:val="24"/>
        </w:rPr>
        <w:t xml:space="preserve">. раздела 1</w:t>
      </w:r>
      <w:r>
        <w:rPr>
          <w:bCs/>
          <w:sz w:val="24"/>
          <w:szCs w:val="24"/>
        </w:rPr>
        <w:t xml:space="preserve"> слова «на всей территории Российской Федерации» исключить.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Абзац четвертый подпункта 4) пункта 4.1. раздела 4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</w:t>
      </w:r>
      <w:r>
        <w:rPr>
          <w:sz w:val="24"/>
          <w:szCs w:val="24"/>
        </w:rPr>
        <w:t xml:space="preserve">Норма часов педагогической работы за ста</w:t>
      </w:r>
      <w:r>
        <w:rPr>
          <w:sz w:val="24"/>
          <w:szCs w:val="24"/>
        </w:rPr>
        <w:t xml:space="preserve">вку заработной платы устанавливается в соответствии с приказами Министерства просвещения Российской Федерации </w:t>
        <w:br/>
        <w:t xml:space="preserve">от 04.04.2025 № 269 «О продолжительности рабочего времени (нормах часов педагогической работы за ставку заработной платы) педагогических работник</w:t>
      </w:r>
      <w:r>
        <w:rPr>
          <w:sz w:val="24"/>
          <w:szCs w:val="24"/>
        </w:rPr>
        <w:t xml:space="preserve">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</w:t>
      </w:r>
      <w:r>
        <w:rPr>
          <w:sz w:val="24"/>
          <w:szCs w:val="24"/>
        </w:rPr>
        <w:t xml:space="preserve">м программам профессионального обучения, и о порядке определения учебной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нагрузки» и Министер</w:t>
      </w:r>
      <w:r>
        <w:rPr>
          <w:sz w:val="24"/>
          <w:szCs w:val="24"/>
        </w:rPr>
        <w:t xml:space="preserve">ства науки и высшего образования Российской Федерации от 11.04.2025 № 335 «О продолжительности рабочего времени педагогических работников, отнесенных к профессорско-преподавательскому составу, и о порядке определения учебной нагрузки указанных работников, </w:t>
      </w:r>
      <w:r>
        <w:rPr>
          <w:sz w:val="24"/>
          <w:szCs w:val="24"/>
        </w:rPr>
        <w:t xml:space="preserve">оговариваемой в трудовом договоре, основаниях ее изменения и случаях установления верхнего предела учебной нагрузки.».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Пункт 4.3. раздела 4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«4.3. </w:t>
      </w:r>
      <w:r>
        <w:rPr>
          <w:sz w:val="24"/>
          <w:szCs w:val="24"/>
        </w:rPr>
        <w:t xml:space="preserve">В случаях, когда работнику полагается повышение оклада по двум и более основаниям (в процентах или в абсолютных величинах), абсолютный размер каждого повышения, установленного в процентах, исчисляется от оклада без учета повышения по другим основаниям.</w:t>
      </w:r>
      <w:r>
        <w:rPr>
          <w:sz w:val="24"/>
          <w:szCs w:val="24"/>
        </w:rPr>
        <w:t xml:space="preserve"> При этом первоначально оклады повышаются на размер их повышения в процентах, а затем на размеры повышений в абсолютных величинах.».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1.4. </w:t>
      </w:r>
      <w:r>
        <w:rPr>
          <w:sz w:val="24"/>
          <w:szCs w:val="24"/>
        </w:rPr>
        <w:t xml:space="preserve">Пункт 5.8.</w:t>
      </w:r>
      <w:r>
        <w:rPr>
          <w:sz w:val="24"/>
          <w:szCs w:val="24"/>
        </w:rPr>
        <w:t xml:space="preserve"> раздела 5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«5.8. </w:t>
      </w:r>
      <w:r>
        <w:rPr>
          <w:sz w:val="24"/>
          <w:szCs w:val="24"/>
        </w:rPr>
        <w:t xml:space="preserve">Каждый час работы в ночное время оплачивается в повышенном размере по сравнению с работой в нормальных условиях, но не ниже размеров, установленных трудовым законодательством и иными нормативными правовыми актами, содержащими нормы трудового права.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Минимальные размеры повышения оплаты труда за работу в ночное время </w:t>
        <w:br/>
      </w:r>
      <w:r>
        <w:rPr>
          <w:sz w:val="24"/>
          <w:szCs w:val="24"/>
        </w:rPr>
        <w:t xml:space="preserve">(с 22 часов до 6 часов) составляет 20 процентов часовой тарифной ставки (оклада (должностного оклада), рассчитанного за час работы) за каждый час работы в ночное время.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Конкретные размеры повышения оплаты труда за работу в ночное время устанавливаются коллективным договором, локальным нормативным актом, принимаемым с учетом мнения представительного органа работников, трудовым договором.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Пункт 5.9.</w:t>
      </w:r>
      <w:r>
        <w:t xml:space="preserve"> </w:t>
      </w:r>
      <w:r>
        <w:rPr>
          <w:sz w:val="24"/>
          <w:szCs w:val="24"/>
        </w:rPr>
        <w:t xml:space="preserve">раздела 5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«5.9. </w:t>
      </w:r>
      <w:r>
        <w:rPr>
          <w:sz w:val="24"/>
          <w:szCs w:val="24"/>
        </w:rPr>
        <w:t xml:space="preserve">Работа в выходной или нерабочий праздничный день оплачивается не менее чем в двойном размере: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 </w:t>
      </w:r>
      <w:r>
        <w:rPr>
          <w:sz w:val="24"/>
          <w:szCs w:val="24"/>
        </w:rPr>
        <w:t xml:space="preserve">работникам, труд которых оплачивается по дневным и часовым тарифным ставкам, - в размере не менее двойной дневной или часовой тарифной ставки;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 </w:t>
      </w:r>
      <w:r>
        <w:rPr>
          <w:sz w:val="24"/>
          <w:szCs w:val="24"/>
        </w:rPr>
        <w:t xml:space="preserve">работникам, получающи</w:t>
      </w:r>
      <w:r>
        <w:rPr>
          <w:sz w:val="24"/>
          <w:szCs w:val="24"/>
        </w:rPr>
        <w:t xml:space="preserve">м оклад (должностной оклад), - в размере не менее одинарной дневной или часовой ставки (части оклада (должностного оклада) за день или час работы) сверх оклада (должностного оклада), если работа в выходной или нерабочий праздничный день производилась в пре</w:t>
      </w:r>
      <w:r>
        <w:rPr>
          <w:sz w:val="24"/>
          <w:szCs w:val="24"/>
        </w:rPr>
        <w:t xml:space="preserve">делах месячной нормы рабочего времени, и в размере не менее двойной дневной или часовой ставки (части оклада (должностного оклада) за день или час работы) сверх оклада (должностного оклада), если работа производилась сверх месячной нормы рабочего времени.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Конкретные размеры оплаты за работу в выходной или нерабочий праздничный день могут устанавливаться коллективным договором, локальным нормативным актом, принимаемым с учетом мнения представительного органа работников, трудовым договором.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Оплата в повышенном размере производится всем работникам за часы, фактически отработанные в выхо</w:t>
      </w:r>
      <w:r>
        <w:rPr>
          <w:sz w:val="24"/>
          <w:szCs w:val="24"/>
        </w:rPr>
        <w:t xml:space="preserve">дной или нерабочий праздничный день. Если на выходной или нерабочий праздничный день приходится часть рабочего дня (смены), в повышенном размере оплачиваются часы, фактически отработанные в выходной или нерабочий праздничный день (от 0 часов до 24 часов).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День отдыха, указанный </w:t>
      </w:r>
      <w:r>
        <w:rPr>
          <w:sz w:val="24"/>
          <w:szCs w:val="24"/>
        </w:rPr>
        <w:t xml:space="preserve">в части четвертой статьи 153 Трудового Кодекса Российской Федерации, по желанию работника может быть использован в течение одного года со дня работы в выходной или нерабочий праздничный день либо присоединен к отпуску, предоставляемому в указанный период.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случае, если на день увольнения работника имеется день</w:t>
      </w:r>
      <w:r>
        <w:rPr>
          <w:sz w:val="24"/>
          <w:szCs w:val="24"/>
        </w:rPr>
        <w:t xml:space="preserve"> отдыха за работу в выходной или нерабочий праздничный день, не использованный им в период трудовой деятельности у работодателя, с которым прекращается трудовой договор, в день увольнения работнику выплачивается разница между оплатой работы в выходной или </w:t>
      </w:r>
      <w:r>
        <w:rPr>
          <w:sz w:val="24"/>
          <w:szCs w:val="24"/>
        </w:rPr>
        <w:t xml:space="preserve">нерабочий праздничный день, полагавшейся ему в соответствии с частями первой - третьей статьи 153 Трудового Кодекса Российской</w:t>
      </w:r>
      <w:r>
        <w:rPr>
          <w:sz w:val="24"/>
          <w:szCs w:val="24"/>
        </w:rPr>
        <w:t xml:space="preserve"> Федерации, и фактически произведенной оплатой работы в этот день. Указанная разница выплачивается работнику за все дни отдыха за работу в выходные или нерабочие праздничные дни, не использованные им в период трудовой деятельности у данного работодателя.».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Пункт</w:t>
      </w:r>
      <w:r>
        <w:rPr>
          <w:sz w:val="24"/>
          <w:szCs w:val="24"/>
        </w:rPr>
        <w:t xml:space="preserve"> 5.10. раздела 5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«5.10. Сверхурочная работа оплачивается исходя из размера заработной платы, установленного в соответствии с действующими у данного работодателя системами оплаты труда, включая компенсационные и стимулирующие выплаты, за </w:t>
      </w:r>
      <w:r>
        <w:rPr>
          <w:sz w:val="24"/>
          <w:szCs w:val="24"/>
        </w:rPr>
        <w:t xml:space="preserve">первые два часа работы не менее чем в полуторном размере, за последующие часы - не менее чем в двойном размере. Конкретные размеры оплаты сверхурочной работы могут определяться коллективным договором, соглашением, локальным нормативным актом или трудовым д</w:t>
      </w:r>
      <w:r>
        <w:rPr>
          <w:sz w:val="24"/>
          <w:szCs w:val="24"/>
        </w:rPr>
        <w:t xml:space="preserve">оговором. По желанию работника сверхурочная работа вместо повышенной оплаты может компенсироваться предоставлением дополнительного времени отдыха, но не менее времени, отработанного сверхурочно, за исключением случаев, предусмотренных Трудовым кодексом РФ.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Работа, произведенная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</w:t>
      </w:r>
      <w:r>
        <w:rPr>
          <w:sz w:val="24"/>
          <w:szCs w:val="24"/>
        </w:rPr>
        <w:t xml:space="preserve">о статьей 153 Трудового </w:t>
        <w:br/>
        <w:t xml:space="preserve">кодекса РФ</w:t>
      </w:r>
      <w:r>
        <w:rPr>
          <w:sz w:val="24"/>
          <w:szCs w:val="24"/>
        </w:rPr>
        <w:t xml:space="preserve">, не учитывается при определении продолжительности сверхурочной работы, подлежащей оплате в повышенном размере в соответствии с частью </w:t>
      </w:r>
      <w:r>
        <w:rPr>
          <w:sz w:val="24"/>
          <w:szCs w:val="24"/>
        </w:rPr>
        <w:t xml:space="preserve">1 </w:t>
        <w:br/>
        <w:t xml:space="preserve">статьи 153 Трудового кодекса РФ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 xml:space="preserve">1.7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Пункт</w:t>
      </w:r>
      <w:r>
        <w:rPr>
          <w:sz w:val="24"/>
          <w:szCs w:val="24"/>
        </w:rPr>
        <w:t xml:space="preserve"> 5.11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раздела 5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5.11. В районах с неблагоприятными природными климатическими условиями к заработной плате работников применяются: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районные коэффициенты;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процентные надбавки за стаж работы в районах Крайнего Севера.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1.8. Р</w:t>
      </w:r>
      <w:r>
        <w:rPr>
          <w:sz w:val="24"/>
          <w:szCs w:val="24"/>
        </w:rPr>
        <w:t xml:space="preserve">аздел 5 дополнить пунктом 5.12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5.12. Размеры выплат компенсационного характера не могут быть ниже размеров, установленных трудовым законодательством и иными нормативными актами, содержащими нормы трудового права.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Подпункт 4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пункта 6.1. р</w:t>
      </w:r>
      <w:r>
        <w:rPr>
          <w:sz w:val="24"/>
          <w:szCs w:val="24"/>
        </w:rPr>
        <w:t xml:space="preserve">аздел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6 </w:t>
      </w:r>
      <w:r>
        <w:rPr>
          <w:sz w:val="24"/>
          <w:szCs w:val="24"/>
        </w:rPr>
        <w:t xml:space="preserve">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«4) иные поощрительные выплаты: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единовременная поощрительная выплата педагогу-молодому специалисту, статус которого закреплен Законом Мурманской области от 20.12.2013 № 1705-01-ЗМО, впервые приступившему к работе в учреждении после 31 августа 2023 года, отработавше</w:t>
      </w:r>
      <w:r>
        <w:rPr>
          <w:sz w:val="24"/>
          <w:szCs w:val="24"/>
        </w:rPr>
        <w:t xml:space="preserve">му непрерывно не менее 12 месяцев в данной организации и исполнившему свои трудовые обязанности (нормы труда), в размере 100 000 рублей. Единовременная поощрительная выплата педагогу-молодому специалисту устанавливается в абсолютном размере, который включа</w:t>
      </w:r>
      <w:r>
        <w:rPr>
          <w:sz w:val="24"/>
          <w:szCs w:val="24"/>
        </w:rPr>
        <w:t xml:space="preserve">ет в себя районный коэффициент и процентную надбавку за стаж работы в районах Крайнего Севера. Единовременная поощрительная выплата педагогу-молодому специалисту производится однократно по истечении 12 месяцев непрерывной работы. В период непрерывной работ</w:t>
      </w:r>
      <w:r>
        <w:rPr>
          <w:sz w:val="24"/>
          <w:szCs w:val="24"/>
        </w:rPr>
        <w:t xml:space="preserve">ы засчитывается фактически отработанное время по трудовому договору у конкретного работодателя в соответствии с табелем учета рабочего времени, а также периоды сохранения среднего заработка за время нахождения в очередном оплачиваемом отпуске, командировке</w:t>
      </w:r>
      <w:r>
        <w:rPr>
          <w:sz w:val="24"/>
          <w:szCs w:val="24"/>
        </w:rPr>
        <w:t xml:space="preserve">, курсах повышения квалификации;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единовременные;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ежемесячные;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ежегодные.».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Раздел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пунктом 6</w:t>
      </w:r>
      <w:r>
        <w:rPr>
          <w:sz w:val="24"/>
          <w:szCs w:val="24"/>
        </w:rPr>
        <w:t xml:space="preserve">.8.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«6</w:t>
      </w:r>
      <w:r>
        <w:rPr>
          <w:sz w:val="24"/>
          <w:szCs w:val="24"/>
        </w:rPr>
        <w:t xml:space="preserve">.8. Снижение размера премии работнику в связи с прим</w:t>
      </w:r>
      <w:r>
        <w:rPr>
          <w:sz w:val="24"/>
          <w:szCs w:val="24"/>
        </w:rPr>
        <w:t xml:space="preserve">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работника премий, которые начисляются за период, в котором к работнику было применено соответствующее </w:t>
      </w:r>
      <w:r>
        <w:rPr>
          <w:sz w:val="24"/>
          <w:szCs w:val="24"/>
        </w:rPr>
        <w:t xml:space="preserve">дисциплинарное взыскание, а размер такого снижения премии не может приводить к уменьшению размера месячной заработной платы работника более чем на 20 процентов.».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пункте 7.1. раздела 7</w:t>
      </w:r>
      <w:r>
        <w:rPr>
          <w:sz w:val="24"/>
          <w:szCs w:val="24"/>
        </w:rPr>
        <w:t xml:space="preserve"> слова «на всей территории Российской Федерации» исключить.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пункте 8.8. </w:t>
      </w:r>
      <w:r>
        <w:rPr>
          <w:sz w:val="24"/>
          <w:szCs w:val="24"/>
        </w:rPr>
        <w:t xml:space="preserve">слова «от 24.12.2007 № 922» заменить словами «от 24.04.2025 </w:t>
        <w:br/>
        <w:t xml:space="preserve">№ 540».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опубликования в газете «Печенг</w:t>
      </w:r>
      <w:r>
        <w:rPr>
          <w:sz w:val="24"/>
          <w:szCs w:val="24"/>
        </w:rPr>
        <w:t xml:space="preserve">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</w:t>
      </w:r>
      <w:r>
        <w:rPr>
          <w:sz w:val="24"/>
          <w:szCs w:val="24"/>
        </w:rPr>
        <w:t xml:space="preserve">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Стрелкова Т.И., 62165</w:t>
      </w:r>
      <w:r/>
      <w:r/>
      <w:r/>
      <w:r/>
    </w:p>
    <w:sectPr>
      <w:footnotePr/>
      <w:endnotePr/>
      <w:type w:val="nextPage"/>
      <w:pgSz w:w="11905" w:h="16838" w:orient="portrait"/>
      <w:pgMar w:top="851" w:right="851" w:bottom="851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8">
    <w:name w:val="Plain Table 1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9">
    <w:name w:val="Plain Table 2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0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3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7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8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9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2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5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6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7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78">
    <w:name w:val="Heading 1"/>
    <w:basedOn w:val="677"/>
    <w:next w:val="677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907"/>
    <w:qFormat/>
    <w:pPr>
      <w:ind w:firstLine="709"/>
      <w:keepNext/>
      <w:outlineLvl w:val="3"/>
    </w:pPr>
    <w:rPr>
      <w:rFonts w:eastAsia="Times New Roman"/>
      <w:color w:val="000000"/>
      <w:sz w:val="28"/>
    </w:rPr>
  </w:style>
  <w:style w:type="paragraph" w:styleId="682">
    <w:name w:val="Heading 5"/>
    <w:basedOn w:val="677"/>
    <w:next w:val="677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677"/>
    <w:next w:val="677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677"/>
    <w:next w:val="677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677"/>
    <w:next w:val="677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8" w:customStyle="1">
    <w:name w:val="Subtitle Char"/>
    <w:basedOn w:val="687"/>
    <w:uiPriority w:val="11"/>
    <w:rPr>
      <w:sz w:val="24"/>
      <w:szCs w:val="24"/>
    </w:rPr>
  </w:style>
  <w:style w:type="character" w:styleId="699" w:customStyle="1">
    <w:name w:val="Quote Char"/>
    <w:uiPriority w:val="29"/>
    <w:rPr>
      <w:i/>
    </w:rPr>
  </w:style>
  <w:style w:type="character" w:styleId="700" w:customStyle="1">
    <w:name w:val="Intense Quote Char"/>
    <w:uiPriority w:val="30"/>
    <w:rPr>
      <w:i/>
    </w:rPr>
  </w:style>
  <w:style w:type="character" w:styleId="701" w:customStyle="1">
    <w:name w:val="Header Char"/>
    <w:basedOn w:val="687"/>
    <w:uiPriority w:val="99"/>
  </w:style>
  <w:style w:type="character" w:styleId="702" w:customStyle="1">
    <w:name w:val="Caption Char"/>
    <w:uiPriority w:val="99"/>
  </w:style>
  <w:style w:type="table" w:styleId="703" w:customStyle="1">
    <w:name w:val="Таблица простая 1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 w:customStyle="1">
    <w:name w:val="Таблица простая 21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 w:customStyle="1">
    <w:name w:val="Таблица простая 3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 w:customStyle="1">
    <w:name w:val="Таблица простая 4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Таблица простая 5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 w:customStyle="1">
    <w:name w:val="Таблица-сетка 1 светл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Таблица-сетк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Таблица-сетк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Таблица-сетка 4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 w:customStyle="1">
    <w:name w:val="Таблица-сетк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3" w:customStyle="1">
    <w:name w:val="Таблица-сетк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4" w:customStyle="1">
    <w:name w:val="Таблица-сетк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5" w:customStyle="1">
    <w:name w:val="Список-таблица 1 светлая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Список-таблиц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7" w:customStyle="1">
    <w:name w:val="Список-таблиц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Список-таблица 4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Список-таблиц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0" w:customStyle="1">
    <w:name w:val="Список-таблиц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1" w:customStyle="1">
    <w:name w:val="Список-таблиц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2" w:customStyle="1">
    <w:name w:val="Footnote Text Char"/>
    <w:uiPriority w:val="99"/>
    <w:rPr>
      <w:sz w:val="18"/>
    </w:rPr>
  </w:style>
  <w:style w:type="character" w:styleId="723" w:customStyle="1">
    <w:name w:val="Endnote Text Char"/>
    <w:uiPriority w:val="99"/>
    <w:rPr>
      <w:sz w:val="20"/>
    </w:rPr>
  </w:style>
  <w:style w:type="character" w:styleId="724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No Spacing"/>
    <w:uiPriority w:val="1"/>
    <w:qFormat/>
    <w:pPr>
      <w:spacing w:after="0" w:line="240" w:lineRule="auto"/>
    </w:pPr>
  </w:style>
  <w:style w:type="character" w:styleId="734" w:customStyle="1">
    <w:name w:val="Title Char"/>
    <w:basedOn w:val="687"/>
    <w:uiPriority w:val="10"/>
    <w:rPr>
      <w:sz w:val="48"/>
      <w:szCs w:val="48"/>
    </w:rPr>
  </w:style>
  <w:style w:type="paragraph" w:styleId="735">
    <w:name w:val="Subtitle"/>
    <w:basedOn w:val="677"/>
    <w:next w:val="677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 w:customStyle="1">
    <w:name w:val="Подзаголовок Знак"/>
    <w:basedOn w:val="687"/>
    <w:link w:val="735"/>
    <w:uiPriority w:val="11"/>
    <w:rPr>
      <w:sz w:val="24"/>
      <w:szCs w:val="24"/>
    </w:rPr>
  </w:style>
  <w:style w:type="paragraph" w:styleId="737">
    <w:name w:val="Quote"/>
    <w:basedOn w:val="677"/>
    <w:next w:val="677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677"/>
    <w:next w:val="677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paragraph" w:styleId="741">
    <w:name w:val="Header"/>
    <w:basedOn w:val="677"/>
    <w:link w:val="74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2" w:customStyle="1">
    <w:name w:val="Верхний колонтитул Знак"/>
    <w:basedOn w:val="687"/>
    <w:link w:val="741"/>
    <w:uiPriority w:val="99"/>
  </w:style>
  <w:style w:type="paragraph" w:styleId="743">
    <w:name w:val="Footer"/>
    <w:basedOn w:val="677"/>
    <w:link w:val="74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4" w:customStyle="1">
    <w:name w:val="Footer Char"/>
    <w:basedOn w:val="687"/>
    <w:uiPriority w:val="99"/>
  </w:style>
  <w:style w:type="paragraph" w:styleId="745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Нижний колонтитул Знак"/>
    <w:link w:val="743"/>
    <w:uiPriority w:val="99"/>
  </w:style>
  <w:style w:type="table" w:styleId="747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8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 w:customStyle="1">
    <w:name w:val="Таблица простая 1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21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3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 w:customStyle="1">
    <w:name w:val="Таблица простая 4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 простая 5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1 светл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4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 w:customStyle="1">
    <w:name w:val="Таблица-сетк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 w:customStyle="1">
    <w:name w:val="Таблица-сетк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Таблица-сетк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 w:customStyle="1">
    <w:name w:val="Список-таблиц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4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Список-таблиц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 w:customStyle="1">
    <w:name w:val="Список-таблиц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paragraph" w:styleId="874">
    <w:name w:val="footnote text"/>
    <w:basedOn w:val="677"/>
    <w:link w:val="875"/>
    <w:uiPriority w:val="99"/>
    <w:semiHidden/>
    <w:unhideWhenUsed/>
    <w:pPr>
      <w:spacing w:after="40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basedOn w:val="687"/>
    <w:uiPriority w:val="99"/>
    <w:unhideWhenUsed/>
    <w:rPr>
      <w:vertAlign w:val="superscript"/>
    </w:rPr>
  </w:style>
  <w:style w:type="paragraph" w:styleId="877">
    <w:name w:val="endnote text"/>
    <w:basedOn w:val="677"/>
    <w:link w:val="878"/>
    <w:uiPriority w:val="99"/>
    <w:semiHidden/>
    <w:unhideWhenUsed/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basedOn w:val="687"/>
    <w:uiPriority w:val="99"/>
    <w:semiHidden/>
    <w:unhideWhenUsed/>
    <w:rPr>
      <w:vertAlign w:val="superscript"/>
    </w:rPr>
  </w:style>
  <w:style w:type="paragraph" w:styleId="880">
    <w:name w:val="toc 1"/>
    <w:basedOn w:val="677"/>
    <w:next w:val="677"/>
    <w:uiPriority w:val="39"/>
    <w:unhideWhenUsed/>
    <w:pPr>
      <w:spacing w:after="57"/>
    </w:pPr>
  </w:style>
  <w:style w:type="paragraph" w:styleId="88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8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8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8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8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8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8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8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677"/>
    <w:next w:val="677"/>
    <w:uiPriority w:val="99"/>
    <w:unhideWhenUsed/>
  </w:style>
  <w:style w:type="paragraph" w:styleId="89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3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4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5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6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7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98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9">
    <w:name w:val="Title"/>
    <w:basedOn w:val="677"/>
    <w:link w:val="900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900" w:customStyle="1">
    <w:name w:val="Заголовок Знак"/>
    <w:basedOn w:val="687"/>
    <w:link w:val="899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901">
    <w:name w:val="Balloon Text"/>
    <w:basedOn w:val="677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Текст выноски Знак"/>
    <w:basedOn w:val="687"/>
    <w:link w:val="901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903" w:customStyle="1">
    <w:name w:val="WW8Num1z0"/>
  </w:style>
  <w:style w:type="paragraph" w:styleId="904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5">
    <w:name w:val="Normal (Web)"/>
    <w:basedOn w:val="677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6" w:customStyle="1">
    <w:name w:val="Знак Знак"/>
    <w:basedOn w:val="677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07" w:customStyle="1">
    <w:name w:val="Заголовок 4 Знак"/>
    <w:basedOn w:val="687"/>
    <w:link w:val="68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08">
    <w:name w:val="List Paragraph"/>
    <w:basedOn w:val="677"/>
    <w:uiPriority w:val="34"/>
    <w:qFormat/>
    <w:pPr>
      <w:contextualSpacing/>
      <w:ind w:left="720"/>
    </w:pPr>
    <w:rPr>
      <w:rFonts w:eastAsia="Times New Roman"/>
      <w:color w:val="000000"/>
    </w:rPr>
  </w:style>
  <w:style w:type="paragraph" w:styleId="909">
    <w:name w:val="Body Text 3"/>
    <w:basedOn w:val="677"/>
    <w:link w:val="910"/>
    <w:pPr>
      <w:spacing w:after="120"/>
    </w:pPr>
    <w:rPr>
      <w:rFonts w:eastAsia="Times New Roman"/>
      <w:sz w:val="16"/>
      <w:szCs w:val="16"/>
    </w:rPr>
  </w:style>
  <w:style w:type="character" w:styleId="910" w:customStyle="1">
    <w:name w:val="Основной текст 3 Знак"/>
    <w:basedOn w:val="687"/>
    <w:link w:val="909"/>
    <w:rPr>
      <w:rFonts w:ascii="Times New Roman" w:hAnsi="Times New Roman" w:eastAsia="Times New Roman" w:cs="Times New Roman"/>
      <w:sz w:val="16"/>
      <w:szCs w:val="16"/>
      <w:lang w:eastAsia="ru-RU"/>
    </w:rPr>
  </w:style>
  <w:style w:type="table" w:styleId="911" w:customStyle="1">
    <w:name w:val="Сетка таблицы1"/>
    <w:basedOn w:val="688"/>
    <w:next w:val="74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D64A2-B70D-4DB9-9F9D-AD1D9DBF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14</cp:revision>
  <dcterms:created xsi:type="dcterms:W3CDTF">2026-05-06T08:40:00Z</dcterms:created>
  <dcterms:modified xsi:type="dcterms:W3CDTF">2026-05-28T09:41:07Z</dcterms:modified>
</cp:coreProperties>
</file>