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rPr>
      </w:pPr>
      <w:r>
        <w:rPr>
          <w:color w:val="000000"/>
        </w:rPr>
      </w:r>
      <w:r>
        <w:rPr>
          <w:color w:val="000000"/>
        </w:rPr>
      </w:r>
      <w:r>
        <w:rPr>
          <w:color w:val="000000"/>
        </w:rPr>
      </w:r>
    </w:p>
    <w:p>
      <w:pPr>
        <w:jc w:val="both"/>
        <w:widowControl w:val="off"/>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both"/>
        <w:widowControl w:val="off"/>
        <w:rPr>
          <w:b/>
          <w:color w:val="000000"/>
          <w:szCs w:val="20"/>
        </w:rPr>
      </w:pPr>
      <w:r>
        <w:rPr>
          <w:b/>
          <w:color w:val="000000"/>
          <w:szCs w:val="20"/>
        </w:rPr>
        <w:t xml:space="preserve">от 02.06.2026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 1002</w:t>
      </w:r>
      <w:r>
        <w:rPr>
          <w:b/>
          <w:color w:val="000000"/>
          <w:szCs w:val="20"/>
        </w:rPr>
      </w:r>
      <w:r>
        <w:rPr>
          <w:b/>
          <w:color w:val="000000"/>
          <w:szCs w:val="20"/>
        </w:rPr>
      </w:r>
    </w:p>
    <w:p>
      <w:pPr>
        <w:jc w:val="center"/>
        <w:widowControl w:val="off"/>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both"/>
        <w:widowControl w:val="off"/>
        <w:rPr>
          <w:b/>
          <w:bCs/>
          <w:color w:val="000000"/>
        </w:rPr>
      </w:pPr>
      <w:r>
        <w:rPr>
          <w:b/>
          <w:color w:val="000000"/>
        </w:rPr>
      </w:r>
      <w:r>
        <w:rPr>
          <w:b/>
          <w:color w:val="000000"/>
        </w:rPr>
      </w:r>
      <w:r>
        <w:rPr>
          <w:b/>
          <w:bCs/>
          <w:color w:val="000000"/>
        </w:rPr>
      </w:r>
    </w:p>
    <w:p>
      <w:pPr>
        <w:jc w:val="both"/>
        <w:widowControl w:val="off"/>
        <w:rPr>
          <w:b/>
          <w:bCs/>
          <w:color w:val="000000"/>
        </w:rPr>
      </w:pPr>
      <w:r>
        <w:rPr>
          <w:b/>
          <w:color w:val="000000"/>
        </w:rPr>
      </w:r>
      <w:r>
        <w:rPr>
          <w:b/>
          <w:bCs/>
          <w:color w:val="000000"/>
        </w:rPr>
      </w:r>
      <w:r>
        <w:rPr>
          <w:b/>
          <w:bCs/>
          <w:color w:val="000000"/>
        </w:rPr>
      </w:r>
    </w:p>
    <w:p>
      <w:pPr>
        <w:jc w:val="center"/>
        <w:tabs>
          <w:tab w:val="left" w:pos="720" w:leader="none"/>
        </w:tabs>
        <w:rPr>
          <w:b/>
          <w:bCs/>
          <w:sz w:val="20"/>
          <w:szCs w:val="20"/>
        </w:rPr>
      </w:pPr>
      <w:r>
        <w:rPr>
          <w:b/>
          <w:bCs/>
          <w:sz w:val="20"/>
          <w:szCs w:val="20"/>
        </w:rPr>
        <w:t xml:space="preserve">Об окончании отопительного периода 2025/2026 на территории пгт. Печенга,</w:t>
        <w:br/>
        <w:t xml:space="preserve"> ж/д станция Печенга (19 км), нп. Спутник, нп. Лиинахамари, нп. Корзуново, нп. Луостари, </w:t>
        <w:br/>
        <w:t xml:space="preserve">нп. Раякоски </w:t>
      </w:r>
      <w:r>
        <w:rPr>
          <w:b/>
          <w:bCs/>
          <w:sz w:val="20"/>
          <w:szCs w:val="20"/>
        </w:rPr>
        <w:t xml:space="preserve">Печенгского муниципального округа</w:t>
      </w:r>
      <w:r>
        <w:rPr>
          <w:b/>
          <w:bCs/>
          <w:sz w:val="20"/>
          <w:szCs w:val="20"/>
        </w:rPr>
      </w:r>
      <w:r>
        <w:rPr>
          <w:b/>
          <w:bCs/>
          <w:sz w:val="20"/>
          <w:szCs w:val="20"/>
        </w:rPr>
      </w:r>
    </w:p>
    <w:p>
      <w:pPr>
        <w:jc w:val="both"/>
        <w:tabs>
          <w:tab w:val="left" w:pos="720" w:leader="none"/>
        </w:tabs>
        <w:rPr>
          <w:b/>
          <w:bCs/>
        </w:rPr>
      </w:pPr>
      <w:r>
        <w:rPr>
          <w:b/>
          <w:bCs/>
        </w:rPr>
      </w:r>
      <w:r>
        <w:rPr>
          <w:b/>
          <w:bCs/>
        </w:rPr>
      </w:r>
      <w:r>
        <w:rPr>
          <w:b/>
          <w:bCs/>
        </w:rPr>
      </w:r>
    </w:p>
    <w:p>
      <w:pPr>
        <w:jc w:val="both"/>
        <w:tabs>
          <w:tab w:val="left" w:pos="720" w:leader="none"/>
        </w:tabs>
        <w:rPr>
          <w:b/>
          <w:bCs/>
        </w:rPr>
      </w:pPr>
      <w:r>
        <w:rPr>
          <w:b/>
          <w:bCs/>
        </w:rPr>
      </w:r>
      <w:r>
        <w:rPr>
          <w:b/>
          <w:bCs/>
        </w:rPr>
      </w:r>
      <w:r>
        <w:rPr>
          <w:b/>
          <w:bCs/>
        </w:rPr>
      </w:r>
    </w:p>
    <w:p>
      <w:pPr>
        <w:ind w:firstLine="709"/>
        <w:jc w:val="both"/>
        <w:rPr>
          <w:bCs/>
        </w:rPr>
      </w:pPr>
      <w:r>
        <w:rPr>
          <w:bCs/>
        </w:rPr>
        <w:t xml:space="preserve">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w:t>
      </w:r>
      <w:r>
        <w:rPr>
          <w:bCs/>
        </w:rPr>
        <w:t xml:space="preserve">й Федерации от 06.05.2011 № 354 </w:t>
        <w:br/>
      </w:r>
      <w:r>
        <w:rPr>
          <w:bCs/>
        </w:rPr>
        <w:t xml:space="preserve">«О предоставлении коммунальных услуг собственникам и пользователям помещений в многоквар</w:t>
      </w:r>
      <w:r>
        <w:rPr>
          <w:bCs/>
        </w:rPr>
        <w:t xml:space="preserve">тирных домах и жилых домов», Организационно-методическими рекомендациями по подготовке к проведению отопительного периода и повышению надежности систем коммунального теплоснабжения в городах и населенных пунктах Российской Федерации, утвержденными приказом</w:t>
      </w:r>
      <w:r>
        <w:rPr>
          <w:bCs/>
        </w:rPr>
        <w:t xml:space="preserve"> Госстроя Российской Федерации </w:t>
        <w:br/>
      </w:r>
      <w:r>
        <w:rPr>
          <w:bCs/>
        </w:rPr>
        <w:t xml:space="preserve">от 06.09.2000 № 203,</w:t>
      </w:r>
      <w:r>
        <w:rPr>
          <w:bCs/>
        </w:rPr>
      </w:r>
      <w:r>
        <w:rPr>
          <w:bCs/>
        </w:rPr>
      </w:r>
    </w:p>
    <w:p>
      <w:pPr>
        <w:ind w:firstLine="709"/>
        <w:jc w:val="both"/>
        <w:rPr>
          <w:b/>
        </w:rPr>
      </w:pPr>
      <w:r>
        <w:rPr>
          <w:b/>
        </w:rPr>
      </w:r>
      <w:r>
        <w:rPr>
          <w:b/>
        </w:rPr>
      </w:r>
      <w:r>
        <w:rPr>
          <w:b/>
        </w:rPr>
      </w:r>
    </w:p>
    <w:p>
      <w:pPr>
        <w:jc w:val="both"/>
        <w:rPr>
          <w:b/>
        </w:rPr>
      </w:pPr>
      <w:r>
        <w:rPr>
          <w:b/>
        </w:rPr>
        <w:t xml:space="preserve">ПОСТАНОВЛЯЮ:</w:t>
      </w:r>
      <w:r>
        <w:rPr>
          <w:b/>
        </w:rPr>
      </w:r>
      <w:r>
        <w:rPr>
          <w:b/>
        </w:rPr>
      </w:r>
    </w:p>
    <w:p>
      <w:pPr>
        <w:jc w:val="both"/>
        <w:rPr>
          <w:b/>
        </w:rPr>
      </w:pPr>
      <w:r>
        <w:rPr>
          <w:b/>
        </w:rPr>
      </w:r>
      <w:r>
        <w:rPr>
          <w:b/>
        </w:rPr>
      </w:r>
      <w:r>
        <w:rPr>
          <w:b/>
        </w:rPr>
      </w:r>
    </w:p>
    <w:p>
      <w:pPr>
        <w:ind w:firstLine="709"/>
        <w:jc w:val="both"/>
        <w:widowControl w:val="off"/>
        <w:tabs>
          <w:tab w:val="left" w:pos="709" w:leader="none"/>
        </w:tabs>
        <w:rPr>
          <w:bCs/>
        </w:rPr>
      </w:pPr>
      <w:r>
        <w:rPr>
          <w:bCs/>
        </w:rPr>
        <w:t xml:space="preserve">1. </w:t>
      </w:r>
      <w:r>
        <w:rPr>
          <w:bCs/>
        </w:rPr>
        <w:t xml:space="preserve">Установить дату окончания отопительного периода 2025/2026 на территории </w:t>
      </w:r>
      <w:r>
        <w:rPr>
          <w:bCs/>
        </w:rPr>
        <w:br/>
        <w:t xml:space="preserve">пгт. Печенга, ж/д станция Печенга (19 км), нп. Спутник, нп. Лиинахамари, нп. Корзуново, нп. Луостари, нп. Раякоски Печенгского муниципального округа с 09.00 час. «08» июня 2026 года.</w:t>
      </w:r>
      <w:r>
        <w:rPr>
          <w:bCs/>
        </w:rPr>
      </w:r>
      <w:r>
        <w:rPr>
          <w:bCs/>
        </w:rPr>
      </w:r>
    </w:p>
    <w:p>
      <w:pPr>
        <w:ind w:firstLine="709"/>
        <w:jc w:val="both"/>
        <w:widowControl w:val="off"/>
        <w:tabs>
          <w:tab w:val="left" w:pos="709" w:leader="none"/>
        </w:tabs>
        <w:rPr>
          <w:bCs/>
        </w:rPr>
      </w:pPr>
      <w:r>
        <w:rPr>
          <w:bCs/>
        </w:rPr>
        <w:t xml:space="preserve">Объекты образовательных учреждений, не подл</w:t>
      </w:r>
      <w:r>
        <w:rPr>
          <w:bCs/>
        </w:rPr>
        <w:t xml:space="preserve">ежащие отключению от отопления </w:t>
      </w:r>
      <w:r>
        <w:rPr>
          <w:bCs/>
        </w:rPr>
        <w:t xml:space="preserve">по окончании отопительного периода 2025/2026 годов, указаны в Приложении к настоящему постановлению.</w:t>
      </w:r>
      <w:r>
        <w:rPr>
          <w:bCs/>
        </w:rPr>
      </w:r>
      <w:r>
        <w:rPr>
          <w:bCs/>
        </w:rPr>
      </w:r>
    </w:p>
    <w:p>
      <w:pPr>
        <w:pStyle w:val="766"/>
        <w:ind w:firstLine="709"/>
        <w:jc w:val="both"/>
        <w:rPr>
          <w:bCs/>
        </w:rPr>
      </w:pPr>
      <w:r>
        <w:rPr>
          <w:sz w:val="24"/>
          <w:szCs w:val="24"/>
        </w:rPr>
        <w:t xml:space="preserve">2. </w:t>
      </w:r>
      <w:r>
        <w:rPr>
          <w:sz w:val="24"/>
          <w:szCs w:val="24"/>
        </w:rPr>
        <w:t xml:space="preserve">В целях выявления дефектов не позже, чем через две недели после окончания отопительного периода на территории пгт. Печенга, ж/д станц</w:t>
      </w:r>
      <w:r>
        <w:rPr>
          <w:sz w:val="24"/>
          <w:szCs w:val="24"/>
        </w:rPr>
        <w:t xml:space="preserve">ия Печенга (19 км),</w:t>
      </w:r>
      <w:r>
        <w:rPr>
          <w:sz w:val="24"/>
          <w:szCs w:val="24"/>
        </w:rPr>
        <w:t xml:space="preserve"> </w:t>
        <w:br/>
        <w:t xml:space="preserve">нп. Спутник, нп. Лиинахамари, нп. Корзуново, нп. Луостари, нп. Раякоски Печенгского муниципального округа рекомендовать руководителям теплоснаб</w:t>
      </w:r>
      <w:r>
        <w:rPr>
          <w:sz w:val="24"/>
          <w:szCs w:val="24"/>
        </w:rPr>
        <w:t xml:space="preserve">жающих, теплосетевых организаций</w:t>
      </w:r>
      <w:r>
        <w:rPr>
          <w:sz w:val="24"/>
          <w:szCs w:val="24"/>
        </w:rPr>
        <w:t xml:space="preserve"> ООО «ПромВоенСтрой», ООО «Теплонорд», Каскад Пазских ГЭС филиал «Кольский» ПАО «ТГК-1»</w:t>
      </w:r>
      <w:r>
        <w:rPr>
          <w:bCs/>
        </w:rPr>
        <w:t xml:space="preserve">:</w:t>
      </w:r>
      <w:r>
        <w:rPr>
          <w:bCs/>
        </w:rPr>
      </w:r>
      <w:r>
        <w:rPr>
          <w:bCs/>
        </w:rPr>
      </w:r>
    </w:p>
    <w:p>
      <w:pPr>
        <w:ind w:firstLine="709"/>
        <w:jc w:val="both"/>
        <w:widowControl w:val="off"/>
        <w:tabs>
          <w:tab w:val="left" w:pos="709" w:leader="none"/>
        </w:tabs>
      </w:pPr>
      <w:r>
        <w:t xml:space="preserve">- произвести работы, связанные с подготовкой к гидравлическим испытаниям тепловых сетей; </w:t>
      </w:r>
      <w:r/>
    </w:p>
    <w:p>
      <w:pPr>
        <w:ind w:firstLine="709"/>
        <w:jc w:val="both"/>
        <w:widowControl w:val="off"/>
        <w:tabs>
          <w:tab w:val="left" w:pos="709" w:leader="none"/>
        </w:tabs>
      </w:pPr>
      <w:r>
        <w:t xml:space="preserve">- провести гидравлические испытания тепловых сетей;</w:t>
      </w:r>
      <w:r/>
    </w:p>
    <w:p>
      <w:pPr>
        <w:ind w:firstLine="709"/>
        <w:jc w:val="both"/>
        <w:widowControl w:val="off"/>
        <w:tabs>
          <w:tab w:val="left" w:pos="709" w:leader="none"/>
        </w:tabs>
      </w:pPr>
      <w:r>
        <w:t xml:space="preserve">- перевести схему теплоснабжения на летний режим работы;</w:t>
      </w:r>
      <w:r/>
    </w:p>
    <w:p>
      <w:pPr>
        <w:ind w:firstLine="709"/>
        <w:jc w:val="both"/>
        <w:widowControl w:val="off"/>
        <w:tabs>
          <w:tab w:val="left" w:pos="709" w:leader="none"/>
        </w:tabs>
      </w:pPr>
      <w:r>
        <w:t xml:space="preserve">- обеспечить подачу горячего водоснабжения потребителям на территории Печенгского муниципального округа;</w:t>
      </w:r>
      <w:r/>
    </w:p>
    <w:p>
      <w:pPr>
        <w:ind w:firstLine="709"/>
        <w:jc w:val="both"/>
        <w:widowControl w:val="off"/>
        <w:tabs>
          <w:tab w:val="left" w:pos="709" w:leader="none"/>
        </w:tabs>
      </w:pPr>
      <w:r>
        <w:t xml:space="preserve">- обеспечить запас топлива для бесперебойной подачи горячего водоснабжения до начала отопительного периода 2026/2027.</w:t>
      </w:r>
      <w:r/>
    </w:p>
    <w:p>
      <w:pPr>
        <w:ind w:firstLine="709"/>
        <w:jc w:val="both"/>
        <w:widowControl w:val="off"/>
        <w:tabs>
          <w:tab w:val="left" w:pos="709" w:leader="none"/>
        </w:tabs>
      </w:pPr>
      <w:r>
        <w:t xml:space="preserve">3. Рекомендовать руководителям жилищно-коммунальных организаций приступить к выполнению ремонтных, наладочных и других работ, с учетом устранения выявленных дефектов в результате проведения гидравлических испытаний тепловых сетей.</w:t>
      </w:r>
      <w:r/>
    </w:p>
    <w:p>
      <w:pPr>
        <w:ind w:firstLine="709"/>
        <w:jc w:val="both"/>
        <w:widowControl w:val="off"/>
        <w:tabs>
          <w:tab w:val="left" w:pos="709" w:leader="none"/>
        </w:tabs>
      </w:pPr>
      <w:r>
        <w:t xml:space="preserve">4. С учетом сроков, установленных в пункте 1 настоящего постановления, рекомендовать руководителю управляющей компании </w:t>
      </w:r>
      <w:r>
        <w:rPr>
          <w:bCs/>
        </w:rPr>
        <w:t xml:space="preserve">МУП «Жилищный сервис» и председателю ТСЖ «Раякоски»</w:t>
      </w:r>
      <w:r>
        <w:t xml:space="preserve">:</w:t>
      </w:r>
      <w:r/>
    </w:p>
    <w:p>
      <w:pPr>
        <w:ind w:firstLine="709"/>
        <w:jc w:val="both"/>
        <w:widowControl w:val="off"/>
        <w:tabs>
          <w:tab w:val="left" w:pos="709" w:leader="none"/>
        </w:tabs>
      </w:pPr>
      <w:r>
        <w:t xml:space="preserve">- информировать население о дате окончания отопительного периода 2025/2026;</w:t>
      </w:r>
      <w:r/>
    </w:p>
    <w:p>
      <w:pPr>
        <w:ind w:firstLine="709"/>
        <w:jc w:val="both"/>
        <w:widowControl w:val="off"/>
        <w:tabs>
          <w:tab w:val="left" w:pos="709" w:leader="none"/>
        </w:tabs>
      </w:pPr>
      <w:r>
        <w:t xml:space="preserve">- обеспечить комплекс мероприятий по переводу на летний режим работы внутренних инженерных сетей жилищного фонда. </w:t>
      </w:r>
      <w:r/>
    </w:p>
    <w:p>
      <w:pPr>
        <w:ind w:firstLine="709"/>
        <w:jc w:val="both"/>
        <w:widowControl w:val="off"/>
        <w:tabs>
          <w:tab w:val="left" w:pos="709" w:leader="none"/>
        </w:tabs>
      </w:pPr>
      <w:r>
        <w:t xml:space="preserve">5. Настоящее постановление опубликовать газете «Печенга» и разместить на официальном сайте Печенгского муниципального округа </w:t>
      </w:r>
      <w:hyperlink r:id="rId11" w:tooltip="http://pechengamr.gov-murman.ru/" w:history="1">
        <w:r>
          <w:t xml:space="preserve">http://pechengamr.gov-murman.ru/</w:t>
        </w:r>
      </w:hyperlink>
      <w:r>
        <w:t xml:space="preserve">.</w:t>
      </w:r>
      <w:r/>
    </w:p>
    <w:p>
      <w:pPr>
        <w:ind w:firstLine="709"/>
        <w:jc w:val="both"/>
        <w:widowControl w:val="off"/>
        <w:tabs>
          <w:tab w:val="left" w:pos="709" w:leader="none"/>
        </w:tabs>
      </w:pPr>
      <w:r>
        <w:t xml:space="preserve">6. Настоящее постановление вступает в силу с момента подписания.</w:t>
      </w:r>
      <w:r/>
    </w:p>
    <w:p>
      <w:pPr>
        <w:ind w:firstLine="709"/>
        <w:jc w:val="both"/>
        <w:widowControl w:val="off"/>
        <w:tabs>
          <w:tab w:val="left" w:pos="709" w:leader="none"/>
        </w:tabs>
      </w:pPr>
      <w:r>
        <w:t xml:space="preserve">7. </w:t>
      </w:r>
      <w:r>
        <w:rPr>
          <w:bCs/>
        </w:rPr>
        <w:t xml:space="preserve">К</w:t>
      </w:r>
      <w:r>
        <w:t xml:space="preserve">онтроль за исполнением настоящего постановления оставляю за собой. </w:t>
      </w:r>
      <w:r/>
    </w:p>
    <w:p>
      <w:pPr>
        <w:jc w:val="both"/>
        <w:tabs>
          <w:tab w:val="left" w:pos="709" w:leader="none"/>
        </w:tabs>
      </w:pPr>
      <w:r/>
      <w:r/>
    </w:p>
    <w:p>
      <w:pPr>
        <w:jc w:val="both"/>
        <w:tabs>
          <w:tab w:val="left" w:pos="709" w:leader="none"/>
        </w:tabs>
        <w:rPr>
          <w:b/>
        </w:rPr>
      </w:pPr>
      <w:r>
        <w:rPr>
          <w:b/>
        </w:rPr>
      </w:r>
      <w:r>
        <w:rPr>
          <w:b/>
        </w:rPr>
      </w:r>
      <w:r>
        <w:rPr>
          <w:b/>
        </w:rPr>
      </w:r>
    </w:p>
    <w:p>
      <w:pPr>
        <w:jc w:val="both"/>
        <w:widowControl w:val="off"/>
      </w:pPr>
      <w:r>
        <w:t xml:space="preserve">Глава Печенгского муниципального округа                                                         А.С. Пеньшин</w:t>
      </w:r>
      <w:r/>
    </w:p>
    <w:p>
      <w:pPr>
        <w:widowControl w:val="off"/>
        <w:rPr>
          <w:b/>
          <w:sz w:val="20"/>
          <w:szCs w:val="20"/>
        </w:rPr>
      </w:pPr>
      <w:r>
        <w:rPr>
          <w:b/>
          <w:sz w:val="20"/>
          <w:szCs w:val="20"/>
        </w:rPr>
      </w:r>
      <w:r>
        <w:rPr>
          <w:b/>
          <w:sz w:val="20"/>
          <w:szCs w:val="20"/>
        </w:rPr>
      </w:r>
      <w:r>
        <w:rPr>
          <w:b/>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t xml:space="preserve">Шавырова Ю.В., 51291</w:t>
      </w:r>
      <w:r>
        <w:rPr>
          <w:sz w:val="20"/>
          <w:szCs w:val="20"/>
        </w:rPr>
      </w:r>
      <w:r>
        <w:rPr>
          <w:sz w:val="20"/>
          <w:szCs w:val="20"/>
        </w:rPr>
      </w:r>
    </w:p>
    <w:p>
      <w:pPr>
        <w:ind w:left="5528"/>
        <w:jc w:val="left"/>
        <w:widowControl w:val="off"/>
        <w:rPr>
          <w:sz w:val="20"/>
          <w:szCs w:val="20"/>
        </w:rPr>
        <w:suppressLineNumbers w:val="0"/>
      </w:pPr>
      <w:r>
        <w:t xml:space="preserve">Приложение </w:t>
      </w:r>
      <w:r>
        <w:rPr>
          <w:sz w:val="20"/>
          <w:szCs w:val="20"/>
        </w:rPr>
      </w:r>
      <w:r>
        <w:rPr>
          <w:sz w:val="20"/>
          <w:szCs w:val="20"/>
        </w:rPr>
      </w:r>
    </w:p>
    <w:p>
      <w:pPr>
        <w:ind w:left="5528"/>
        <w:jc w:val="left"/>
        <w:suppressLineNumbers w:val="0"/>
      </w:pPr>
      <w:r>
        <w:t xml:space="preserve">к постановлению администрации </w:t>
      </w:r>
      <w:r/>
    </w:p>
    <w:p>
      <w:pPr>
        <w:ind w:left="5528"/>
        <w:jc w:val="left"/>
        <w:suppressLineNumbers w:val="0"/>
      </w:pPr>
      <w:r>
        <w:t xml:space="preserve">Печенгского муниципального округа</w:t>
      </w:r>
      <w:r/>
    </w:p>
    <w:p>
      <w:pPr>
        <w:ind w:left="5528"/>
        <w:jc w:val="left"/>
        <w:suppressLineNumbers w:val="0"/>
      </w:pPr>
      <w:r>
        <w:t xml:space="preserve">от 02.06.2026 № 1002</w:t>
      </w: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tbl>
      <w:tblPr>
        <w:tblStyle w:val="948"/>
        <w:tblW w:w="10065" w:type="dxa"/>
        <w:jc w:val="center"/>
        <w:tblLook w:val="04A0" w:firstRow="1" w:lastRow="0" w:firstColumn="1" w:lastColumn="0" w:noHBand="0" w:noVBand="1"/>
      </w:tblPr>
      <w:tblGrid>
        <w:gridCol w:w="560"/>
        <w:gridCol w:w="5493"/>
        <w:gridCol w:w="2190"/>
        <w:gridCol w:w="1822"/>
      </w:tblGrid>
      <w:tr>
        <w:tblPrEx/>
        <w:trPr>
          <w:jc w:val="center"/>
        </w:trPr>
        <w:tc>
          <w:tcPr>
            <w:tcW w:w="278" w:type="pct"/>
            <w:vAlign w:val="center"/>
            <w:textDirection w:val="lrTb"/>
            <w:noWrap w:val="false"/>
          </w:tcPr>
          <w:p>
            <w:pPr>
              <w:jc w:val="center"/>
              <w:rPr>
                <w:rFonts w:ascii="Times New Roman" w:hAnsi="Times New Roman"/>
                <w:b/>
                <w:sz w:val="23"/>
                <w:szCs w:val="23"/>
              </w:rPr>
            </w:pPr>
            <w:r>
              <w:rPr>
                <w:rFonts w:ascii="Times New Roman" w:hAnsi="Times New Roman"/>
                <w:b/>
                <w:sz w:val="23"/>
                <w:szCs w:val="23"/>
              </w:rPr>
              <w:t xml:space="preserve">№</w:t>
            </w:r>
            <w:r>
              <w:rPr>
                <w:rFonts w:ascii="Times New Roman" w:hAnsi="Times New Roman"/>
                <w:b/>
                <w:sz w:val="23"/>
                <w:szCs w:val="23"/>
              </w:rPr>
            </w:r>
            <w:r>
              <w:rPr>
                <w:rFonts w:ascii="Times New Roman" w:hAnsi="Times New Roman"/>
                <w:b/>
                <w:sz w:val="23"/>
                <w:szCs w:val="23"/>
              </w:rPr>
            </w:r>
          </w:p>
          <w:p>
            <w:pPr>
              <w:jc w:val="center"/>
              <w:rPr>
                <w:rFonts w:ascii="Times New Roman" w:hAnsi="Times New Roman"/>
                <w:b/>
                <w:sz w:val="23"/>
                <w:szCs w:val="23"/>
              </w:rPr>
            </w:pPr>
            <w:r>
              <w:rPr>
                <w:rFonts w:ascii="Times New Roman" w:hAnsi="Times New Roman"/>
                <w:b/>
                <w:sz w:val="23"/>
                <w:szCs w:val="23"/>
              </w:rPr>
              <w:t xml:space="preserve">п/п</w:t>
            </w:r>
            <w:r>
              <w:rPr>
                <w:rFonts w:ascii="Times New Roman" w:hAnsi="Times New Roman"/>
                <w:b/>
                <w:sz w:val="23"/>
                <w:szCs w:val="23"/>
              </w:rPr>
            </w:r>
            <w:r>
              <w:rPr>
                <w:rFonts w:ascii="Times New Roman" w:hAnsi="Times New Roman"/>
                <w:b/>
                <w:sz w:val="23"/>
                <w:szCs w:val="23"/>
              </w:rPr>
            </w:r>
          </w:p>
        </w:tc>
        <w:tc>
          <w:tcPr>
            <w:tcW w:w="2729" w:type="pct"/>
            <w:vAlign w:val="center"/>
            <w:textDirection w:val="lrTb"/>
            <w:noWrap w:val="false"/>
          </w:tcPr>
          <w:p>
            <w:pPr>
              <w:jc w:val="center"/>
              <w:rPr>
                <w:rFonts w:ascii="Times New Roman" w:hAnsi="Times New Roman"/>
                <w:b/>
                <w:sz w:val="23"/>
                <w:szCs w:val="23"/>
              </w:rPr>
            </w:pPr>
            <w:r>
              <w:rPr>
                <w:rFonts w:ascii="Times New Roman" w:hAnsi="Times New Roman"/>
                <w:b/>
                <w:sz w:val="23"/>
                <w:szCs w:val="23"/>
              </w:rPr>
              <w:t xml:space="preserve">Наименование учреждения</w:t>
            </w:r>
            <w:r>
              <w:rPr>
                <w:rFonts w:ascii="Times New Roman" w:hAnsi="Times New Roman"/>
                <w:b/>
                <w:sz w:val="23"/>
                <w:szCs w:val="23"/>
              </w:rPr>
            </w:r>
            <w:r>
              <w:rPr>
                <w:rFonts w:ascii="Times New Roman" w:hAnsi="Times New Roman"/>
                <w:b/>
                <w:sz w:val="23"/>
                <w:szCs w:val="23"/>
              </w:rPr>
            </w:r>
          </w:p>
        </w:tc>
        <w:tc>
          <w:tcPr>
            <w:tcW w:w="1088" w:type="pct"/>
            <w:vAlign w:val="center"/>
            <w:textDirection w:val="lrTb"/>
            <w:noWrap w:val="false"/>
          </w:tcPr>
          <w:p>
            <w:pPr>
              <w:jc w:val="center"/>
              <w:rPr>
                <w:rFonts w:ascii="Times New Roman" w:hAnsi="Times New Roman"/>
                <w:b/>
                <w:sz w:val="23"/>
                <w:szCs w:val="23"/>
              </w:rPr>
            </w:pPr>
            <w:r>
              <w:rPr>
                <w:rFonts w:ascii="Times New Roman" w:hAnsi="Times New Roman"/>
                <w:b/>
                <w:sz w:val="23"/>
                <w:szCs w:val="23"/>
              </w:rPr>
              <w:t xml:space="preserve">Адрес</w:t>
            </w:r>
            <w:r>
              <w:rPr>
                <w:rFonts w:ascii="Times New Roman" w:hAnsi="Times New Roman"/>
                <w:b/>
                <w:sz w:val="23"/>
                <w:szCs w:val="23"/>
              </w:rPr>
            </w:r>
            <w:r>
              <w:rPr>
                <w:rFonts w:ascii="Times New Roman" w:hAnsi="Times New Roman"/>
                <w:b/>
                <w:sz w:val="23"/>
                <w:szCs w:val="23"/>
              </w:rPr>
            </w:r>
          </w:p>
        </w:tc>
        <w:tc>
          <w:tcPr>
            <w:tcW w:w="905" w:type="pct"/>
            <w:vAlign w:val="center"/>
            <w:textDirection w:val="lrTb"/>
            <w:noWrap w:val="false"/>
          </w:tcPr>
          <w:p>
            <w:pPr>
              <w:jc w:val="center"/>
              <w:rPr>
                <w:rFonts w:ascii="Times New Roman" w:hAnsi="Times New Roman"/>
                <w:b/>
                <w:sz w:val="23"/>
                <w:szCs w:val="23"/>
              </w:rPr>
            </w:pPr>
            <w:r>
              <w:rPr>
                <w:rFonts w:ascii="Times New Roman" w:hAnsi="Times New Roman"/>
                <w:b/>
                <w:sz w:val="23"/>
                <w:szCs w:val="23"/>
              </w:rPr>
              <w:t xml:space="preserve">Дата отключения</w:t>
            </w:r>
            <w:r>
              <w:rPr>
                <w:rFonts w:ascii="Times New Roman" w:hAnsi="Times New Roman"/>
                <w:b/>
                <w:sz w:val="23"/>
                <w:szCs w:val="23"/>
              </w:rPr>
            </w:r>
            <w:r>
              <w:rPr>
                <w:rFonts w:ascii="Times New Roman" w:hAnsi="Times New Roman"/>
                <w:b/>
                <w:sz w:val="23"/>
                <w:szCs w:val="23"/>
              </w:rPr>
            </w:r>
          </w:p>
        </w:tc>
      </w:tr>
      <w:tr>
        <w:tblPrEx/>
        <w:trPr>
          <w:jc w:val="center"/>
          <w:trHeight w:val="473"/>
        </w:trPr>
        <w:tc>
          <w:tcPr>
            <w:tcW w:w="278" w:type="pct"/>
            <w:vAlign w:val="center"/>
            <w:textDirection w:val="lrTb"/>
            <w:noWrap w:val="false"/>
          </w:tcPr>
          <w:p>
            <w:pPr>
              <w:jc w:val="center"/>
              <w:rPr>
                <w:rFonts w:ascii="Times New Roman" w:hAnsi="Times New Roman"/>
                <w:sz w:val="23"/>
                <w:szCs w:val="23"/>
              </w:rPr>
            </w:pPr>
            <w:r>
              <w:rPr>
                <w:rFonts w:ascii="Times New Roman" w:hAnsi="Times New Roman"/>
                <w:sz w:val="23"/>
                <w:szCs w:val="23"/>
              </w:rPr>
              <w:t xml:space="preserve">1.</w:t>
            </w:r>
            <w:r>
              <w:rPr>
                <w:rFonts w:ascii="Times New Roman" w:hAnsi="Times New Roman"/>
                <w:sz w:val="23"/>
                <w:szCs w:val="23"/>
              </w:rPr>
            </w:r>
            <w:r>
              <w:rPr>
                <w:rFonts w:ascii="Times New Roman" w:hAnsi="Times New Roman"/>
                <w:sz w:val="23"/>
                <w:szCs w:val="23"/>
              </w:rPr>
            </w:r>
          </w:p>
        </w:tc>
        <w:tc>
          <w:tcPr>
            <w:tcW w:w="2729" w:type="pct"/>
            <w:vAlign w:val="center"/>
            <w:textDirection w:val="lrTb"/>
            <w:noWrap w:val="false"/>
          </w:tcPr>
          <w:p>
            <w:pPr>
              <w:rPr>
                <w:rFonts w:ascii="Times New Roman" w:hAnsi="Times New Roman" w:eastAsia="Times New Roman"/>
                <w:lang w:eastAsia="ru-RU"/>
              </w:rPr>
            </w:pPr>
            <w:r>
              <w:rPr>
                <w:rFonts w:ascii="Times New Roman" w:hAnsi="Times New Roman" w:eastAsia="Times New Roman"/>
                <w:lang w:eastAsia="ru-RU"/>
              </w:rPr>
              <w:t xml:space="preserve">Муниципальное бюджетное дошкольное образовательное учреждение «Детский сад № 11»</w:t>
            </w:r>
            <w:r>
              <w:rPr>
                <w:rFonts w:ascii="Times New Roman" w:hAnsi="Times New Roman" w:eastAsia="Times New Roman"/>
                <w:lang w:eastAsia="ru-RU"/>
              </w:rPr>
            </w:r>
            <w:r>
              <w:rPr>
                <w:rFonts w:ascii="Times New Roman" w:hAnsi="Times New Roman" w:eastAsia="Times New Roman"/>
                <w:lang w:eastAsia="ru-RU"/>
              </w:rPr>
            </w:r>
          </w:p>
        </w:tc>
        <w:tc>
          <w:tcPr>
            <w:tcW w:w="1088" w:type="pct"/>
            <w:vAlign w:val="center"/>
            <w:textDirection w:val="lrTb"/>
            <w:noWrap w:val="false"/>
          </w:tcPr>
          <w:p>
            <w:pPr>
              <w:jc w:val="center"/>
              <w:rPr>
                <w:rFonts w:ascii="Times New Roman" w:hAnsi="Times New Roman"/>
                <w:color w:val="000000"/>
              </w:rPr>
            </w:pPr>
            <w:r>
              <w:rPr>
                <w:rFonts w:ascii="Times New Roman" w:hAnsi="Times New Roman"/>
                <w:color w:val="000000"/>
              </w:rPr>
              <w:t xml:space="preserve">нп. Луостари, </w:t>
              <w:br/>
              <w:t xml:space="preserve">ул. Нижняя 1</w:t>
            </w:r>
            <w:r>
              <w:rPr>
                <w:rFonts w:ascii="Times New Roman" w:hAnsi="Times New Roman"/>
                <w:color w:val="000000"/>
              </w:rPr>
            </w:r>
            <w:r>
              <w:rPr>
                <w:rFonts w:ascii="Times New Roman" w:hAnsi="Times New Roman"/>
                <w:color w:val="000000"/>
              </w:rPr>
            </w:r>
          </w:p>
        </w:tc>
        <w:tc>
          <w:tcPr>
            <w:tcW w:w="905" w:type="pct"/>
            <w:vAlign w:val="center"/>
            <w:textDirection w:val="lrTb"/>
            <w:noWrap w:val="false"/>
          </w:tcPr>
          <w:p>
            <w:pPr>
              <w:jc w:val="center"/>
              <w:rPr>
                <w:rFonts w:ascii="Times New Roman" w:hAnsi="Times New Roman" w:eastAsia="Times New Roman"/>
                <w:lang w:eastAsia="ru-RU"/>
              </w:rPr>
            </w:pPr>
            <w:r>
              <w:rPr>
                <w:rFonts w:ascii="Times New Roman" w:hAnsi="Times New Roman" w:eastAsia="Times New Roman"/>
                <w:lang w:eastAsia="ru-RU"/>
              </w:rPr>
              <w:t xml:space="preserve">не отключать</w:t>
            </w:r>
            <w:r>
              <w:rPr>
                <w:rFonts w:ascii="Times New Roman" w:hAnsi="Times New Roman" w:eastAsia="Times New Roman"/>
                <w:lang w:eastAsia="ru-RU"/>
              </w:rPr>
            </w:r>
            <w:r>
              <w:rPr>
                <w:rFonts w:ascii="Times New Roman" w:hAnsi="Times New Roman" w:eastAsia="Times New Roman"/>
                <w:lang w:eastAsia="ru-RU"/>
              </w:rPr>
            </w:r>
          </w:p>
          <w:p>
            <w:pPr>
              <w:jc w:val="center"/>
              <w:rPr>
                <w:rFonts w:ascii="Times New Roman" w:hAnsi="Times New Roman" w:eastAsia="Times New Roman"/>
                <w:lang w:eastAsia="ru-RU"/>
              </w:rPr>
            </w:pPr>
            <w:r>
              <w:rPr>
                <w:rFonts w:ascii="Times New Roman" w:hAnsi="Times New Roman" w:eastAsia="Times New Roman"/>
                <w:lang w:eastAsia="ru-RU"/>
              </w:rPr>
              <w:t xml:space="preserve">до 15.06.2026</w:t>
            </w:r>
            <w:r>
              <w:rPr>
                <w:rFonts w:ascii="Times New Roman" w:hAnsi="Times New Roman" w:eastAsia="Times New Roman"/>
                <w:lang w:eastAsia="ru-RU"/>
              </w:rPr>
            </w:r>
            <w:r>
              <w:rPr>
                <w:rFonts w:ascii="Times New Roman" w:hAnsi="Times New Roman" w:eastAsia="Times New Roman"/>
                <w:lang w:eastAsia="ru-RU"/>
              </w:rPr>
            </w:r>
          </w:p>
        </w:tc>
      </w:tr>
      <w:tr>
        <w:tblPrEx/>
        <w:trPr>
          <w:jc w:val="center"/>
        </w:trPr>
        <w:tc>
          <w:tcPr>
            <w:tcW w:w="278" w:type="pct"/>
            <w:vAlign w:val="center"/>
            <w:textDirection w:val="lrTb"/>
            <w:noWrap w:val="false"/>
          </w:tcPr>
          <w:p>
            <w:pPr>
              <w:jc w:val="center"/>
              <w:rPr>
                <w:rFonts w:ascii="Times New Roman" w:hAnsi="Times New Roman"/>
                <w:sz w:val="23"/>
                <w:szCs w:val="23"/>
              </w:rPr>
            </w:pPr>
            <w:r>
              <w:rPr>
                <w:rFonts w:ascii="Times New Roman" w:hAnsi="Times New Roman"/>
                <w:sz w:val="23"/>
                <w:szCs w:val="23"/>
              </w:rPr>
              <w:t xml:space="preserve">2.</w:t>
            </w:r>
            <w:r>
              <w:rPr>
                <w:rFonts w:ascii="Times New Roman" w:hAnsi="Times New Roman"/>
                <w:sz w:val="23"/>
                <w:szCs w:val="23"/>
              </w:rPr>
            </w:r>
            <w:r>
              <w:rPr>
                <w:rFonts w:ascii="Times New Roman" w:hAnsi="Times New Roman"/>
                <w:sz w:val="23"/>
                <w:szCs w:val="23"/>
              </w:rPr>
            </w:r>
          </w:p>
        </w:tc>
        <w:tc>
          <w:tcPr>
            <w:tcW w:w="2729" w:type="pct"/>
            <w:vAlign w:val="center"/>
            <w:textDirection w:val="lrTb"/>
            <w:noWrap w:val="false"/>
          </w:tcPr>
          <w:p>
            <w:pPr>
              <w:rPr>
                <w:rFonts w:ascii="Times New Roman" w:hAnsi="Times New Roman" w:eastAsia="Times New Roman"/>
                <w:lang w:eastAsia="ru-RU"/>
              </w:rPr>
            </w:pPr>
            <w:r>
              <w:rPr>
                <w:rFonts w:ascii="Times New Roman" w:hAnsi="Times New Roman" w:eastAsia="Times New Roman"/>
                <w:lang w:eastAsia="ru-RU"/>
              </w:rPr>
              <w:t xml:space="preserve">Муниципальное бюджетное общеобразовательное учреждение «Средняя общеобразовательная школа № 11»</w:t>
            </w:r>
            <w:r>
              <w:rPr>
                <w:rFonts w:ascii="Times New Roman" w:hAnsi="Times New Roman" w:eastAsia="Times New Roman"/>
                <w:lang w:eastAsia="ru-RU"/>
              </w:rPr>
            </w:r>
            <w:r>
              <w:rPr>
                <w:rFonts w:ascii="Times New Roman" w:hAnsi="Times New Roman" w:eastAsia="Times New Roman"/>
                <w:lang w:eastAsia="ru-RU"/>
              </w:rPr>
            </w:r>
          </w:p>
        </w:tc>
        <w:tc>
          <w:tcPr>
            <w:tcW w:w="1088" w:type="pct"/>
            <w:vAlign w:val="center"/>
            <w:textDirection w:val="lrTb"/>
            <w:noWrap w:val="false"/>
          </w:tcPr>
          <w:p>
            <w:pPr>
              <w:jc w:val="center"/>
              <w:rPr>
                <w:rFonts w:ascii="Times New Roman" w:hAnsi="Times New Roman"/>
                <w:color w:val="000000"/>
              </w:rPr>
            </w:pPr>
            <w:r>
              <w:rPr>
                <w:rFonts w:ascii="Times New Roman" w:hAnsi="Times New Roman"/>
                <w:color w:val="000000"/>
              </w:rPr>
              <w:t xml:space="preserve">нп. Раякоски</w:t>
            </w:r>
            <w:r>
              <w:rPr>
                <w:rFonts w:ascii="Times New Roman" w:hAnsi="Times New Roman"/>
                <w:color w:val="000000"/>
              </w:rPr>
            </w:r>
            <w:r>
              <w:rPr>
                <w:rFonts w:ascii="Times New Roman" w:hAnsi="Times New Roman"/>
                <w:color w:val="000000"/>
              </w:rPr>
            </w:r>
          </w:p>
          <w:p>
            <w:pPr>
              <w:jc w:val="center"/>
              <w:rPr>
                <w:rFonts w:ascii="Times New Roman" w:hAnsi="Times New Roman"/>
                <w:color w:val="000000"/>
              </w:rPr>
            </w:pPr>
            <w:r>
              <w:rPr>
                <w:rFonts w:ascii="Times New Roman" w:hAnsi="Times New Roman"/>
                <w:color w:val="000000"/>
              </w:rPr>
              <w:t xml:space="preserve">(сад)</w:t>
            </w:r>
            <w:r>
              <w:rPr>
                <w:rFonts w:ascii="Times New Roman" w:hAnsi="Times New Roman"/>
                <w:color w:val="000000"/>
              </w:rPr>
            </w:r>
            <w:r>
              <w:rPr>
                <w:rFonts w:ascii="Times New Roman" w:hAnsi="Times New Roman"/>
                <w:color w:val="000000"/>
              </w:rPr>
            </w:r>
          </w:p>
        </w:tc>
        <w:tc>
          <w:tcPr>
            <w:tcW w:w="905" w:type="pct"/>
            <w:vAlign w:val="center"/>
            <w:textDirection w:val="lrTb"/>
            <w:noWrap w:val="false"/>
          </w:tcPr>
          <w:p>
            <w:pPr>
              <w:jc w:val="center"/>
              <w:rPr>
                <w:rFonts w:ascii="Times New Roman" w:hAnsi="Times New Roman" w:eastAsia="Times New Roman"/>
                <w:lang w:eastAsia="ru-RU"/>
              </w:rPr>
            </w:pPr>
            <w:r>
              <w:rPr>
                <w:rFonts w:ascii="Times New Roman" w:hAnsi="Times New Roman" w:eastAsia="Times New Roman"/>
                <w:lang w:eastAsia="ru-RU"/>
              </w:rPr>
              <w:t xml:space="preserve">не отключать</w:t>
            </w:r>
            <w:r>
              <w:rPr>
                <w:rFonts w:ascii="Times New Roman" w:hAnsi="Times New Roman" w:eastAsia="Times New Roman"/>
                <w:lang w:eastAsia="ru-RU"/>
              </w:rPr>
            </w:r>
            <w:r>
              <w:rPr>
                <w:rFonts w:ascii="Times New Roman" w:hAnsi="Times New Roman" w:eastAsia="Times New Roman"/>
                <w:lang w:eastAsia="ru-RU"/>
              </w:rPr>
            </w:r>
          </w:p>
        </w:tc>
      </w:tr>
      <w:tr>
        <w:tblPrEx/>
        <w:trPr>
          <w:jc w:val="center"/>
        </w:trPr>
        <w:tc>
          <w:tcPr>
            <w:tcW w:w="278" w:type="pct"/>
            <w:vAlign w:val="center"/>
            <w:textDirection w:val="lrTb"/>
            <w:noWrap w:val="false"/>
          </w:tcPr>
          <w:p>
            <w:pPr>
              <w:jc w:val="center"/>
              <w:rPr>
                <w:rFonts w:ascii="Times New Roman" w:hAnsi="Times New Roman"/>
                <w:sz w:val="23"/>
                <w:szCs w:val="23"/>
              </w:rPr>
            </w:pPr>
            <w:r>
              <w:rPr>
                <w:rFonts w:ascii="Times New Roman" w:hAnsi="Times New Roman"/>
                <w:sz w:val="23"/>
                <w:szCs w:val="23"/>
              </w:rPr>
              <w:t xml:space="preserve">3.</w:t>
            </w:r>
            <w:r>
              <w:rPr>
                <w:rFonts w:ascii="Times New Roman" w:hAnsi="Times New Roman"/>
                <w:sz w:val="23"/>
                <w:szCs w:val="23"/>
              </w:rPr>
            </w:r>
            <w:r>
              <w:rPr>
                <w:rFonts w:ascii="Times New Roman" w:hAnsi="Times New Roman"/>
                <w:sz w:val="23"/>
                <w:szCs w:val="23"/>
              </w:rPr>
            </w:r>
          </w:p>
        </w:tc>
        <w:tc>
          <w:tcPr>
            <w:tcW w:w="2729" w:type="pct"/>
            <w:vAlign w:val="center"/>
            <w:textDirection w:val="lrTb"/>
            <w:noWrap w:val="false"/>
          </w:tcPr>
          <w:p>
            <w:pPr>
              <w:rPr>
                <w:rFonts w:ascii="Times New Roman" w:hAnsi="Times New Roman" w:eastAsia="Times New Roman"/>
                <w:lang w:eastAsia="ru-RU"/>
              </w:rPr>
            </w:pPr>
            <w:r>
              <w:rPr>
                <w:rFonts w:ascii="Times New Roman" w:hAnsi="Times New Roman" w:eastAsia="Times New Roman"/>
                <w:lang w:eastAsia="ru-RU"/>
              </w:rPr>
              <w:t xml:space="preserve">Муниципальное бюджетное общеобразовательное учреждение «Средняя общеобразовательная школа № 23»</w:t>
            </w:r>
            <w:r>
              <w:rPr>
                <w:rFonts w:ascii="Times New Roman" w:hAnsi="Times New Roman" w:eastAsia="Times New Roman"/>
                <w:lang w:eastAsia="ru-RU"/>
              </w:rPr>
            </w:r>
            <w:r>
              <w:rPr>
                <w:rFonts w:ascii="Times New Roman" w:hAnsi="Times New Roman" w:eastAsia="Times New Roman"/>
                <w:lang w:eastAsia="ru-RU"/>
              </w:rPr>
            </w:r>
          </w:p>
        </w:tc>
        <w:tc>
          <w:tcPr>
            <w:tcW w:w="1088" w:type="pct"/>
            <w:vAlign w:val="center"/>
            <w:textDirection w:val="lrTb"/>
            <w:noWrap w:val="false"/>
          </w:tcPr>
          <w:p>
            <w:pPr>
              <w:jc w:val="center"/>
              <w:rPr>
                <w:rFonts w:ascii="Times New Roman" w:hAnsi="Times New Roman"/>
                <w:color w:val="000000"/>
              </w:rPr>
            </w:pPr>
            <w:r>
              <w:rPr>
                <w:rFonts w:ascii="Times New Roman" w:hAnsi="Times New Roman"/>
                <w:color w:val="000000"/>
              </w:rPr>
              <w:t xml:space="preserve">нп. Лиинахамари, ул. Шабалина,</w:t>
            </w:r>
            <w:r>
              <w:rPr>
                <w:rFonts w:ascii="Times New Roman" w:hAnsi="Times New Roman"/>
                <w:color w:val="000000"/>
              </w:rPr>
            </w:r>
            <w:r>
              <w:rPr>
                <w:rFonts w:ascii="Times New Roman" w:hAnsi="Times New Roman"/>
                <w:color w:val="000000"/>
              </w:rPr>
            </w:r>
          </w:p>
          <w:p>
            <w:pPr>
              <w:jc w:val="center"/>
              <w:rPr>
                <w:rFonts w:ascii="Times New Roman" w:hAnsi="Times New Roman"/>
                <w:color w:val="000000"/>
              </w:rPr>
            </w:pPr>
            <w:r>
              <w:rPr>
                <w:rFonts w:ascii="Times New Roman" w:hAnsi="Times New Roman"/>
                <w:color w:val="000000"/>
              </w:rPr>
              <w:t xml:space="preserve">д. 3А</w:t>
            </w:r>
            <w:r>
              <w:rPr>
                <w:rFonts w:ascii="Times New Roman" w:hAnsi="Times New Roman"/>
                <w:color w:val="000000"/>
              </w:rPr>
            </w:r>
            <w:r>
              <w:rPr>
                <w:rFonts w:ascii="Times New Roman" w:hAnsi="Times New Roman"/>
                <w:color w:val="000000"/>
              </w:rPr>
            </w:r>
          </w:p>
        </w:tc>
        <w:tc>
          <w:tcPr>
            <w:tcW w:w="905" w:type="pct"/>
            <w:vAlign w:val="center"/>
            <w:textDirection w:val="lrTb"/>
            <w:noWrap w:val="false"/>
          </w:tcPr>
          <w:p>
            <w:pPr>
              <w:jc w:val="center"/>
              <w:rPr>
                <w:rFonts w:ascii="Times New Roman" w:hAnsi="Times New Roman" w:eastAsia="Times New Roman"/>
                <w:lang w:eastAsia="ru-RU"/>
              </w:rPr>
            </w:pPr>
            <w:r>
              <w:rPr>
                <w:rFonts w:ascii="Times New Roman" w:hAnsi="Times New Roman" w:eastAsia="Times New Roman"/>
                <w:lang w:eastAsia="ru-RU"/>
              </w:rPr>
              <w:t xml:space="preserve">не отключать до 17.06.2026</w:t>
            </w:r>
            <w:r>
              <w:rPr>
                <w:rFonts w:ascii="Times New Roman" w:hAnsi="Times New Roman" w:eastAsia="Times New Roman"/>
                <w:lang w:eastAsia="ru-RU"/>
              </w:rPr>
            </w:r>
            <w:r>
              <w:rPr>
                <w:rFonts w:ascii="Times New Roman" w:hAnsi="Times New Roman" w:eastAsia="Times New Roman"/>
                <w:lang w:eastAsia="ru-RU"/>
              </w:rPr>
            </w:r>
          </w:p>
        </w:tc>
      </w:tr>
    </w:tbl>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sectPr>
      <w:footnotePr/>
      <w:endnotePr/>
      <w:type w:val="nextPage"/>
      <w:pgSz w:w="11906" w:h="16838" w:orient="portrait"/>
      <w:pgMar w:top="1134" w:right="850" w:bottom="1135" w:left="1701" w:header="624" w:footer="62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 New Roman">
    <w:panose1 w:val="02020603050405020304"/>
  </w:font>
  <w:font w:name="Tahoma">
    <w:panose1 w:val="020B0604030504040204"/>
  </w:font>
  <w:font w:name="Calibri">
    <w:panose1 w:val="020F0502020204030204"/>
  </w:font>
  <w:font w:name="Verdan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4">
    <w:multiLevelType w:val="hybridMultilevel"/>
    <w:lvl w:ilvl="0">
      <w:start w:val="7"/>
      <w:numFmt w:val="decimal"/>
      <w:isLgl w:val="false"/>
      <w:suff w:val="tab"/>
      <w:lvlText w:val="%1."/>
      <w:lvlJc w:val="left"/>
      <w:pPr>
        <w:ind w:left="360" w:hanging="360"/>
      </w:pPr>
      <w:rPr>
        <w:rFonts w:hint="default"/>
      </w:rPr>
    </w:lvl>
    <w:lvl w:ilvl="1">
      <w:start w:val="1"/>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6">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2.%2"/>
      <w:lvlJc w:val="left"/>
      <w:pPr>
        <w:ind w:left="432"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8">
    <w:multiLevelType w:val="hybridMultilevel"/>
    <w:lvl w:ilvl="0">
      <w:start w:val="4"/>
      <w:numFmt w:val="decimal"/>
      <w:isLgl w:val="false"/>
      <w:suff w:val="tab"/>
      <w:lvlText w:val="%1."/>
      <w:lvlJc w:val="left"/>
      <w:pPr>
        <w:ind w:left="360" w:hanging="360"/>
      </w:pPr>
      <w:rPr>
        <w:rFonts w:hint="default"/>
      </w:rPr>
    </w:lvl>
    <w:lvl w:ilvl="1">
      <w:start w:val="4"/>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9">
    <w:multiLevelType w:val="hybridMultilevel"/>
    <w:lvl w:ilvl="0">
      <w:start w:val="1"/>
      <w:numFmt w:val="decimal"/>
      <w:isLgl w:val="false"/>
      <w:suff w:val="tab"/>
      <w:lvlText w:val="%1."/>
      <w:lvlJc w:val="left"/>
      <w:pPr>
        <w:ind w:left="-851" w:hanging="360"/>
      </w:pPr>
    </w:lvl>
    <w:lvl w:ilvl="1">
      <w:start w:val="1"/>
      <w:numFmt w:val="lowerLetter"/>
      <w:isLgl w:val="false"/>
      <w:suff w:val="tab"/>
      <w:lvlText w:val="%2."/>
      <w:lvlJc w:val="left"/>
      <w:pPr>
        <w:ind w:left="-131" w:hanging="360"/>
      </w:pPr>
    </w:lvl>
    <w:lvl w:ilvl="2">
      <w:start w:val="1"/>
      <w:numFmt w:val="lowerRoman"/>
      <w:isLgl w:val="false"/>
      <w:suff w:val="tab"/>
      <w:lvlText w:val="%3."/>
      <w:lvlJc w:val="right"/>
      <w:pPr>
        <w:ind w:left="589" w:hanging="180"/>
      </w:pPr>
    </w:lvl>
    <w:lvl w:ilvl="3">
      <w:start w:val="1"/>
      <w:numFmt w:val="decimal"/>
      <w:isLgl w:val="false"/>
      <w:suff w:val="tab"/>
      <w:lvlText w:val="%4."/>
      <w:lvlJc w:val="left"/>
      <w:pPr>
        <w:ind w:left="1309" w:hanging="360"/>
      </w:pPr>
    </w:lvl>
    <w:lvl w:ilvl="4">
      <w:start w:val="1"/>
      <w:numFmt w:val="lowerLetter"/>
      <w:isLgl w:val="false"/>
      <w:suff w:val="tab"/>
      <w:lvlText w:val="%5."/>
      <w:lvlJc w:val="left"/>
      <w:pPr>
        <w:ind w:left="2029" w:hanging="360"/>
      </w:pPr>
    </w:lvl>
    <w:lvl w:ilvl="5">
      <w:start w:val="1"/>
      <w:numFmt w:val="lowerRoman"/>
      <w:isLgl w:val="false"/>
      <w:suff w:val="tab"/>
      <w:lvlText w:val="%6."/>
      <w:lvlJc w:val="right"/>
      <w:pPr>
        <w:ind w:left="2749" w:hanging="180"/>
      </w:pPr>
    </w:lvl>
    <w:lvl w:ilvl="6">
      <w:start w:val="1"/>
      <w:numFmt w:val="decimal"/>
      <w:isLgl w:val="false"/>
      <w:suff w:val="tab"/>
      <w:lvlText w:val="%7."/>
      <w:lvlJc w:val="left"/>
      <w:pPr>
        <w:ind w:left="3469" w:hanging="360"/>
      </w:pPr>
    </w:lvl>
    <w:lvl w:ilvl="7">
      <w:start w:val="1"/>
      <w:numFmt w:val="lowerLetter"/>
      <w:isLgl w:val="false"/>
      <w:suff w:val="tab"/>
      <w:lvlText w:val="%8."/>
      <w:lvlJc w:val="left"/>
      <w:pPr>
        <w:ind w:left="4189" w:hanging="360"/>
      </w:pPr>
    </w:lvl>
    <w:lvl w:ilvl="8">
      <w:start w:val="1"/>
      <w:numFmt w:val="lowerRoman"/>
      <w:isLgl w:val="false"/>
      <w:suff w:val="tab"/>
      <w:lvlText w:val="%9."/>
      <w:lvlJc w:val="right"/>
      <w:pPr>
        <w:ind w:left="4909" w:hanging="180"/>
      </w:pPr>
    </w:lvl>
  </w:abstractNum>
  <w:abstractNum w:abstractNumId="10">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Times New Roman" w:hAnsi="Times New Roman" w:cs="Times New Roman"/>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1"/>
      <w:numFmt w:val="decimal"/>
      <w:isLgl w:val="false"/>
      <w:suff w:val="tab"/>
      <w:lvlText w:val="%1."/>
      <w:lvlJc w:val="left"/>
      <w:pPr>
        <w:ind w:left="720" w:hanging="360"/>
      </w:pPr>
      <w:rPr>
        <w:rFonts w:hint="default"/>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left"/>
      <w:pPr>
        <w:ind w:left="1070" w:hanging="360"/>
      </w:pPr>
      <w:rPr>
        <w:rFonts w:hint="default" w:eastAsia="Times New Roman"/>
        <w:color w:val="auto"/>
      </w:rPr>
    </w:lvl>
    <w:lvl w:ilvl="1">
      <w:start w:val="1"/>
      <w:numFmt w:val="lowerLetter"/>
      <w:isLgl w:val="false"/>
      <w:suff w:val="tab"/>
      <w:lvlText w:val="%2."/>
      <w:lvlJc w:val="left"/>
      <w:pPr>
        <w:ind w:left="1740" w:hanging="360"/>
      </w:pPr>
    </w:lvl>
    <w:lvl w:ilvl="2">
      <w:start w:val="1"/>
      <w:numFmt w:val="lowerRoman"/>
      <w:isLgl w:val="false"/>
      <w:suff w:val="tab"/>
      <w:lvlText w:val="%3."/>
      <w:lvlJc w:val="right"/>
      <w:pPr>
        <w:ind w:left="2460" w:hanging="180"/>
      </w:pPr>
    </w:lvl>
    <w:lvl w:ilvl="3">
      <w:start w:val="1"/>
      <w:numFmt w:val="decimal"/>
      <w:isLgl w:val="false"/>
      <w:suff w:val="tab"/>
      <w:lvlText w:val="%4."/>
      <w:lvlJc w:val="left"/>
      <w:pPr>
        <w:ind w:left="3180" w:hanging="360"/>
      </w:pPr>
    </w:lvl>
    <w:lvl w:ilvl="4">
      <w:start w:val="1"/>
      <w:numFmt w:val="lowerLetter"/>
      <w:isLgl w:val="false"/>
      <w:suff w:val="tab"/>
      <w:lvlText w:val="%5."/>
      <w:lvlJc w:val="left"/>
      <w:pPr>
        <w:ind w:left="3900" w:hanging="360"/>
      </w:pPr>
    </w:lvl>
    <w:lvl w:ilvl="5">
      <w:start w:val="1"/>
      <w:numFmt w:val="lowerRoman"/>
      <w:isLgl w:val="false"/>
      <w:suff w:val="tab"/>
      <w:lvlText w:val="%6."/>
      <w:lvlJc w:val="right"/>
      <w:pPr>
        <w:ind w:left="4620" w:hanging="180"/>
      </w:pPr>
    </w:lvl>
    <w:lvl w:ilvl="6">
      <w:start w:val="1"/>
      <w:numFmt w:val="decimal"/>
      <w:isLgl w:val="false"/>
      <w:suff w:val="tab"/>
      <w:lvlText w:val="%7."/>
      <w:lvlJc w:val="left"/>
      <w:pPr>
        <w:ind w:left="5340" w:hanging="360"/>
      </w:pPr>
    </w:lvl>
    <w:lvl w:ilvl="7">
      <w:start w:val="1"/>
      <w:numFmt w:val="lowerLetter"/>
      <w:isLgl w:val="false"/>
      <w:suff w:val="tab"/>
      <w:lvlText w:val="%8."/>
      <w:lvlJc w:val="left"/>
      <w:pPr>
        <w:ind w:left="6060" w:hanging="360"/>
      </w:pPr>
    </w:lvl>
    <w:lvl w:ilvl="8">
      <w:start w:val="1"/>
      <w:numFmt w:val="lowerRoman"/>
      <w:isLgl w:val="false"/>
      <w:suff w:val="tab"/>
      <w:lvlText w:val="%9."/>
      <w:lvlJc w:val="right"/>
      <w:pPr>
        <w:ind w:left="6780" w:hanging="180"/>
      </w:pPr>
    </w:lvl>
  </w:abstractNum>
  <w:abstractNum w:abstractNumId="14">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2."/>
      <w:lvlJc w:val="left"/>
      <w:pPr>
        <w:ind w:left="1283" w:hanging="432"/>
      </w:pPr>
      <w:rPr>
        <w:rFonts w:hint="default"/>
      </w:rPr>
    </w:lvl>
    <w:lvl w:ilvl="2">
      <w:start w:val="1"/>
      <w:numFmt w:val="decimal"/>
      <w:isLgl w:val="false"/>
      <w:suff w:val="tab"/>
      <w:lvlText w:val="%1.%2.%3."/>
      <w:lvlJc w:val="left"/>
      <w:pPr>
        <w:ind w:left="1224" w:hanging="504"/>
      </w:pPr>
      <w:rPr>
        <w:rFonts w:hint="default"/>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6">
    <w:multiLevelType w:val="hybridMultilevel"/>
    <w:lvl w:ilvl="0">
      <w:start w:val="1"/>
      <w:numFmt w:val="decimal"/>
      <w:isLgl w:val="false"/>
      <w:suff w:val="tab"/>
      <w:lvlText w:val="%1."/>
      <w:lvlJc w:val="left"/>
      <w:pPr>
        <w:ind w:left="1384" w:hanging="390"/>
      </w:pPr>
      <w:rPr>
        <w:rFonts w:hint="default"/>
      </w:rPr>
    </w:lvl>
    <w:lvl w:ilvl="1">
      <w:start w:val="1"/>
      <w:numFmt w:val="decimal"/>
      <w:isLgl w:val="false"/>
      <w:suff w:val="tab"/>
      <w:lvlText w:val="%1.%2."/>
      <w:lvlJc w:val="left"/>
      <w:pPr>
        <w:ind w:left="1713" w:hanging="720"/>
      </w:pPr>
      <w:rPr>
        <w:rFonts w:hint="default"/>
      </w:rPr>
    </w:lvl>
    <w:lvl w:ilvl="2">
      <w:start w:val="1"/>
      <w:numFmt w:val="decimal"/>
      <w:isLgl w:val="false"/>
      <w:suff w:val="tab"/>
      <w:lvlText w:val="%1.%2.%3."/>
      <w:lvlJc w:val="left"/>
      <w:pPr>
        <w:ind w:left="1572" w:hanging="720"/>
      </w:pPr>
      <w:rPr>
        <w:rFonts w:hint="default"/>
      </w:rPr>
    </w:lvl>
    <w:lvl w:ilvl="3">
      <w:start w:val="1"/>
      <w:numFmt w:val="decimal"/>
      <w:isLgl w:val="false"/>
      <w:suff w:val="tab"/>
      <w:lvlText w:val="%1.%2.%3.%4."/>
      <w:lvlJc w:val="left"/>
      <w:pPr>
        <w:ind w:left="1932" w:hanging="1080"/>
      </w:pPr>
      <w:rPr>
        <w:rFonts w:hint="default"/>
      </w:rPr>
    </w:lvl>
    <w:lvl w:ilvl="4">
      <w:start w:val="1"/>
      <w:numFmt w:val="decimal"/>
      <w:isLgl w:val="false"/>
      <w:suff w:val="tab"/>
      <w:lvlText w:val="%1.%2.%3.%4.%5."/>
      <w:lvlJc w:val="left"/>
      <w:pPr>
        <w:ind w:left="1932" w:hanging="1080"/>
      </w:pPr>
      <w:rPr>
        <w:rFonts w:hint="default"/>
      </w:rPr>
    </w:lvl>
    <w:lvl w:ilvl="5">
      <w:start w:val="1"/>
      <w:numFmt w:val="decimal"/>
      <w:isLgl w:val="false"/>
      <w:suff w:val="tab"/>
      <w:lvlText w:val="%1.%2.%3.%4.%5.%6."/>
      <w:lvlJc w:val="left"/>
      <w:pPr>
        <w:ind w:left="2292" w:hanging="1440"/>
      </w:pPr>
      <w:rPr>
        <w:rFonts w:hint="default"/>
      </w:rPr>
    </w:lvl>
    <w:lvl w:ilvl="6">
      <w:start w:val="1"/>
      <w:numFmt w:val="decimal"/>
      <w:isLgl w:val="false"/>
      <w:suff w:val="tab"/>
      <w:lvlText w:val="%1.%2.%3.%4.%5.%6.%7."/>
      <w:lvlJc w:val="left"/>
      <w:pPr>
        <w:ind w:left="2292" w:hanging="1440"/>
      </w:pPr>
      <w:rPr>
        <w:rFonts w:hint="default"/>
      </w:rPr>
    </w:lvl>
    <w:lvl w:ilvl="7">
      <w:start w:val="1"/>
      <w:numFmt w:val="decimal"/>
      <w:isLgl w:val="false"/>
      <w:suff w:val="tab"/>
      <w:lvlText w:val="%1.%2.%3.%4.%5.%6.%7.%8."/>
      <w:lvlJc w:val="left"/>
      <w:pPr>
        <w:ind w:left="2652" w:hanging="1800"/>
      </w:pPr>
      <w:rPr>
        <w:rFonts w:hint="default"/>
      </w:rPr>
    </w:lvl>
    <w:lvl w:ilvl="8">
      <w:start w:val="1"/>
      <w:numFmt w:val="decimal"/>
      <w:isLgl w:val="false"/>
      <w:suff w:val="tab"/>
      <w:lvlText w:val="%1.%2.%3.%4.%5.%6.%7.%8.%9."/>
      <w:lvlJc w:val="left"/>
      <w:pPr>
        <w:ind w:left="2652" w:hanging="1800"/>
      </w:pPr>
      <w:rPr>
        <w:rFonts w:hint="default"/>
      </w:rPr>
    </w:lvl>
  </w:abstractNum>
  <w:abstractNum w:abstractNumId="17">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894" w:hanging="1185"/>
      </w:pPr>
      <w:rPr>
        <w:rFonts w:hint="default"/>
      </w:rPr>
    </w:lvl>
    <w:lvl w:ilvl="2">
      <w:start w:val="1"/>
      <w:numFmt w:val="decimal"/>
      <w:isLgl/>
      <w:suff w:val="tab"/>
      <w:lvlText w:val="%1.%2.%3."/>
      <w:lvlJc w:val="left"/>
      <w:pPr>
        <w:ind w:left="1894" w:hanging="1185"/>
      </w:pPr>
      <w:rPr>
        <w:rFonts w:hint="default"/>
      </w:rPr>
    </w:lvl>
    <w:lvl w:ilvl="3">
      <w:start w:val="1"/>
      <w:numFmt w:val="decimal"/>
      <w:isLgl/>
      <w:suff w:val="tab"/>
      <w:lvlText w:val="%1.%2.%3.%4."/>
      <w:lvlJc w:val="left"/>
      <w:pPr>
        <w:ind w:left="1894" w:hanging="1185"/>
      </w:pPr>
      <w:rPr>
        <w:rFonts w:hint="default"/>
      </w:rPr>
    </w:lvl>
    <w:lvl w:ilvl="4">
      <w:start w:val="1"/>
      <w:numFmt w:val="decimal"/>
      <w:isLgl/>
      <w:suff w:val="tab"/>
      <w:lvlText w:val="%1.%2.%3.%4.%5."/>
      <w:lvlJc w:val="left"/>
      <w:pPr>
        <w:ind w:left="1894" w:hanging="1185"/>
      </w:pPr>
      <w:rPr>
        <w:rFonts w:hint="default"/>
      </w:rPr>
    </w:lvl>
    <w:lvl w:ilvl="5">
      <w:start w:val="1"/>
      <w:numFmt w:val="decimal"/>
      <w:isLgl/>
      <w:suff w:val="tab"/>
      <w:lvlText w:val="%1.%2.%3.%4.%5.%6."/>
      <w:lvlJc w:val="left"/>
      <w:pPr>
        <w:ind w:left="1894" w:hanging="1185"/>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19">
    <w:multiLevelType w:val="hybridMultilevel"/>
    <w:lvl w:ilvl="0">
      <w:start w:val="1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rPr>
        <w:rFonts w:hint="default"/>
      </w:rPr>
    </w:lvl>
    <w:lvl w:ilvl="3">
      <w:start w:val="1"/>
      <w:numFmt w:val="decimal"/>
      <w:isLgl w:val="false"/>
      <w:suff w:val="tab"/>
      <w:lvlText w:val="%4."/>
      <w:lvlJc w:val="left"/>
      <w:pPr>
        <w:ind w:left="2880" w:hanging="360"/>
      </w:pPr>
      <w:rPr>
        <w:rFonts w:hint="default"/>
      </w:rPr>
    </w:lvl>
    <w:lvl w:ilvl="4">
      <w:start w:val="1"/>
      <w:numFmt w:val="lowerLetter"/>
      <w:isLgl w:val="false"/>
      <w:suff w:val="tab"/>
      <w:lvlText w:val="%5."/>
      <w:lvlJc w:val="left"/>
      <w:pPr>
        <w:ind w:left="3600" w:hanging="360"/>
      </w:pPr>
      <w:rPr>
        <w:rFonts w:hint="default"/>
      </w:rPr>
    </w:lvl>
    <w:lvl w:ilvl="5">
      <w:start w:val="1"/>
      <w:numFmt w:val="lowerRoman"/>
      <w:isLgl w:val="false"/>
      <w:suff w:val="tab"/>
      <w:lvlText w:val="%6."/>
      <w:lvlJc w:val="right"/>
      <w:pPr>
        <w:ind w:left="4320" w:hanging="180"/>
      </w:pPr>
      <w:rPr>
        <w:rFonts w:hint="default"/>
      </w:rPr>
    </w:lvl>
    <w:lvl w:ilvl="6">
      <w:start w:val="1"/>
      <w:numFmt w:val="decimal"/>
      <w:isLgl w:val="false"/>
      <w:suff w:val="tab"/>
      <w:lvlText w:val="%7."/>
      <w:lvlJc w:val="left"/>
      <w:pPr>
        <w:ind w:left="5040" w:hanging="360"/>
      </w:pPr>
      <w:rPr>
        <w:rFonts w:hint="default"/>
      </w:rPr>
    </w:lvl>
    <w:lvl w:ilvl="7">
      <w:start w:val="1"/>
      <w:numFmt w:val="lowerLetter"/>
      <w:isLgl w:val="false"/>
      <w:suff w:val="tab"/>
      <w:lvlText w:val="%8."/>
      <w:lvlJc w:val="left"/>
      <w:pPr>
        <w:ind w:left="5760" w:hanging="360"/>
      </w:pPr>
      <w:rPr>
        <w:rFonts w:hint="default"/>
      </w:rPr>
    </w:lvl>
    <w:lvl w:ilvl="8">
      <w:start w:val="1"/>
      <w:numFmt w:val="lowerRoman"/>
      <w:isLgl w:val="false"/>
      <w:suff w:val="tab"/>
      <w:lvlText w:val="%9."/>
      <w:lvlJc w:val="right"/>
      <w:pPr>
        <w:ind w:left="6480" w:hanging="180"/>
      </w:pPr>
      <w:rPr>
        <w:rFonts w:hint="default"/>
      </w:rPr>
    </w:lvl>
  </w:abstractNum>
  <w:num w:numId="1">
    <w:abstractNumId w:val="18"/>
  </w:num>
  <w:num w:numId="2">
    <w:abstractNumId w:val="15"/>
  </w:num>
  <w:num w:numId="3">
    <w:abstractNumId w:val="7"/>
  </w:num>
  <w:num w:numId="4">
    <w:abstractNumId w:val="1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4"/>
  </w:num>
  <w:num w:numId="9">
    <w:abstractNumId w:val="19"/>
  </w:num>
  <w:num w:numId="10">
    <w:abstractNumId w:val="12"/>
  </w:num>
  <w:num w:numId="11">
    <w:abstractNumId w:val="5"/>
  </w:num>
  <w:num w:numId="12">
    <w:abstractNumId w:val="0"/>
  </w:num>
  <w:num w:numId="13">
    <w:abstractNumId w:val="2"/>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8"/>
  </w:num>
  <w:num w:numId="17">
    <w:abstractNumId w:val="4"/>
  </w:num>
  <w:num w:numId="18">
    <w:abstractNumId w:val="6"/>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ocumentProtection/>
  <w:defaultTabStop w:val="284"/>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2">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1" w:default="1">
    <w:name w:val="Normal"/>
    <w:qFormat/>
    <w:rPr>
      <w:sz w:val="24"/>
      <w:szCs w:val="24"/>
    </w:rPr>
  </w:style>
  <w:style w:type="paragraph" w:styleId="732">
    <w:name w:val="Heading 1"/>
    <w:basedOn w:val="731"/>
    <w:next w:val="731"/>
    <w:link w:val="921"/>
    <w:uiPriority w:val="99"/>
    <w:qFormat/>
    <w:pPr>
      <w:keepNext/>
      <w:outlineLvl w:val="0"/>
    </w:pPr>
    <w:rPr>
      <w:sz w:val="28"/>
      <w:szCs w:val="20"/>
    </w:rPr>
  </w:style>
  <w:style w:type="paragraph" w:styleId="733">
    <w:name w:val="Heading 2"/>
    <w:basedOn w:val="731"/>
    <w:next w:val="731"/>
    <w:link w:val="922"/>
    <w:qFormat/>
    <w:pPr>
      <w:ind w:firstLine="709"/>
      <w:keepLines/>
      <w:keepNext/>
      <w:spacing w:before="200" w:after="120" w:line="276" w:lineRule="auto"/>
      <w:outlineLvl w:val="1"/>
    </w:pPr>
    <w:rPr>
      <w:bCs/>
      <w:sz w:val="28"/>
      <w:szCs w:val="26"/>
      <w:lang w:eastAsia="en-US"/>
    </w:rPr>
  </w:style>
  <w:style w:type="paragraph" w:styleId="734">
    <w:name w:val="Heading 3"/>
    <w:basedOn w:val="731"/>
    <w:next w:val="731"/>
    <w:link w:val="759"/>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60"/>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61"/>
    <w:uiPriority w:val="9"/>
    <w:unhideWhenUsed/>
    <w:qFormat/>
    <w:pPr>
      <w:keepLines/>
      <w:keepNext/>
      <w:spacing w:before="320" w:after="200"/>
      <w:outlineLvl w:val="4"/>
    </w:pPr>
    <w:rPr>
      <w:rFonts w:ascii="Arial" w:hAnsi="Arial" w:eastAsia="Arial" w:cs="Arial"/>
      <w:b/>
      <w:bCs/>
    </w:rPr>
  </w:style>
  <w:style w:type="paragraph" w:styleId="737">
    <w:name w:val="Heading 6"/>
    <w:basedOn w:val="731"/>
    <w:next w:val="731"/>
    <w:link w:val="762"/>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64"/>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65"/>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1"/>
    <w:semiHidden/>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character" w:styleId="744" w:customStyle="1">
    <w:name w:val="Heading 3 Char"/>
    <w:basedOn w:val="741"/>
    <w:uiPriority w:val="9"/>
    <w:rPr>
      <w:rFonts w:ascii="Arial" w:hAnsi="Arial" w:eastAsia="Arial" w:cs="Arial"/>
      <w:sz w:val="30"/>
      <w:szCs w:val="30"/>
    </w:rPr>
  </w:style>
  <w:style w:type="character" w:styleId="745" w:customStyle="1">
    <w:name w:val="Heading 4 Char"/>
    <w:basedOn w:val="741"/>
    <w:uiPriority w:val="9"/>
    <w:rPr>
      <w:rFonts w:ascii="Arial" w:hAnsi="Arial" w:eastAsia="Arial" w:cs="Arial"/>
      <w:b/>
      <w:bCs/>
      <w:sz w:val="26"/>
      <w:szCs w:val="26"/>
    </w:rPr>
  </w:style>
  <w:style w:type="character" w:styleId="746" w:customStyle="1">
    <w:name w:val="Heading 5 Char"/>
    <w:basedOn w:val="741"/>
    <w:uiPriority w:val="9"/>
    <w:rPr>
      <w:rFonts w:ascii="Arial" w:hAnsi="Arial" w:eastAsia="Arial" w:cs="Arial"/>
      <w:b/>
      <w:bCs/>
      <w:sz w:val="24"/>
      <w:szCs w:val="24"/>
    </w:rPr>
  </w:style>
  <w:style w:type="character" w:styleId="747" w:customStyle="1">
    <w:name w:val="Heading 6 Char"/>
    <w:basedOn w:val="741"/>
    <w:uiPriority w:val="9"/>
    <w:rPr>
      <w:rFonts w:ascii="Arial" w:hAnsi="Arial" w:eastAsia="Arial" w:cs="Arial"/>
      <w:b/>
      <w:bCs/>
      <w:sz w:val="22"/>
      <w:szCs w:val="22"/>
    </w:rPr>
  </w:style>
  <w:style w:type="character" w:styleId="748" w:customStyle="1">
    <w:name w:val="Heading 7 Char"/>
    <w:basedOn w:val="741"/>
    <w:uiPriority w:val="9"/>
    <w:rPr>
      <w:rFonts w:ascii="Arial" w:hAnsi="Arial" w:eastAsia="Arial" w:cs="Arial"/>
      <w:b/>
      <w:bCs/>
      <w:i/>
      <w:iCs/>
      <w:sz w:val="22"/>
      <w:szCs w:val="22"/>
    </w:rPr>
  </w:style>
  <w:style w:type="character" w:styleId="749" w:customStyle="1">
    <w:name w:val="Heading 8 Char"/>
    <w:basedOn w:val="741"/>
    <w:uiPriority w:val="9"/>
    <w:rPr>
      <w:rFonts w:ascii="Arial" w:hAnsi="Arial" w:eastAsia="Arial" w:cs="Arial"/>
      <w:i/>
      <w:iCs/>
      <w:sz w:val="22"/>
      <w:szCs w:val="22"/>
    </w:rPr>
  </w:style>
  <w:style w:type="character" w:styleId="750" w:customStyle="1">
    <w:name w:val="Heading 9 Char"/>
    <w:basedOn w:val="741"/>
    <w:uiPriority w:val="9"/>
    <w:rPr>
      <w:rFonts w:ascii="Arial" w:hAnsi="Arial" w:eastAsia="Arial" w:cs="Arial"/>
      <w:i/>
      <w:iCs/>
      <w:sz w:val="21"/>
      <w:szCs w:val="21"/>
    </w:rPr>
  </w:style>
  <w:style w:type="character" w:styleId="751" w:customStyle="1">
    <w:name w:val="Title Char"/>
    <w:basedOn w:val="741"/>
    <w:uiPriority w:val="10"/>
    <w:rPr>
      <w:sz w:val="48"/>
      <w:szCs w:val="48"/>
    </w:rPr>
  </w:style>
  <w:style w:type="character" w:styleId="752" w:customStyle="1">
    <w:name w:val="Subtitle Char"/>
    <w:basedOn w:val="741"/>
    <w:uiPriority w:val="11"/>
    <w:rPr>
      <w:sz w:val="24"/>
      <w:szCs w:val="24"/>
    </w:rPr>
  </w:style>
  <w:style w:type="character" w:styleId="753" w:customStyle="1">
    <w:name w:val="Quote Char"/>
    <w:uiPriority w:val="29"/>
    <w:rPr>
      <w:i/>
    </w:rPr>
  </w:style>
  <w:style w:type="character" w:styleId="754" w:customStyle="1">
    <w:name w:val="Intense Quote Char"/>
    <w:uiPriority w:val="30"/>
    <w:rPr>
      <w:i/>
    </w:rPr>
  </w:style>
  <w:style w:type="character" w:styleId="755" w:customStyle="1">
    <w:name w:val="Footnote Text Char"/>
    <w:uiPriority w:val="99"/>
    <w:rPr>
      <w:sz w:val="18"/>
    </w:rPr>
  </w:style>
  <w:style w:type="character" w:styleId="756" w:customStyle="1">
    <w:name w:val="Endnote Text Char"/>
    <w:uiPriority w:val="99"/>
    <w:rPr>
      <w:sz w:val="20"/>
    </w:rPr>
  </w:style>
  <w:style w:type="character" w:styleId="757" w:customStyle="1">
    <w:name w:val="Heading 1 Char"/>
    <w:basedOn w:val="741"/>
    <w:uiPriority w:val="9"/>
    <w:rPr>
      <w:rFonts w:ascii="Arial" w:hAnsi="Arial" w:eastAsia="Arial" w:cs="Arial"/>
      <w:sz w:val="40"/>
      <w:szCs w:val="40"/>
    </w:rPr>
  </w:style>
  <w:style w:type="character" w:styleId="758" w:customStyle="1">
    <w:name w:val="Heading 2 Char"/>
    <w:basedOn w:val="741"/>
    <w:uiPriority w:val="9"/>
    <w:rPr>
      <w:rFonts w:ascii="Arial" w:hAnsi="Arial" w:eastAsia="Arial" w:cs="Arial"/>
      <w:sz w:val="34"/>
    </w:rPr>
  </w:style>
  <w:style w:type="character" w:styleId="759" w:customStyle="1">
    <w:name w:val="Заголовок 3 Знак"/>
    <w:basedOn w:val="741"/>
    <w:link w:val="734"/>
    <w:uiPriority w:val="9"/>
    <w:rPr>
      <w:rFonts w:ascii="Arial" w:hAnsi="Arial" w:eastAsia="Arial" w:cs="Arial"/>
      <w:sz w:val="30"/>
      <w:szCs w:val="30"/>
    </w:rPr>
  </w:style>
  <w:style w:type="character" w:styleId="760" w:customStyle="1">
    <w:name w:val="Заголовок 4 Знак"/>
    <w:basedOn w:val="741"/>
    <w:link w:val="735"/>
    <w:uiPriority w:val="9"/>
    <w:rPr>
      <w:rFonts w:ascii="Arial" w:hAnsi="Arial" w:eastAsia="Arial" w:cs="Arial"/>
      <w:b/>
      <w:bCs/>
      <w:sz w:val="26"/>
      <w:szCs w:val="26"/>
    </w:rPr>
  </w:style>
  <w:style w:type="character" w:styleId="761" w:customStyle="1">
    <w:name w:val="Заголовок 5 Знак"/>
    <w:basedOn w:val="741"/>
    <w:link w:val="736"/>
    <w:uiPriority w:val="9"/>
    <w:rPr>
      <w:rFonts w:ascii="Arial" w:hAnsi="Arial" w:eastAsia="Arial" w:cs="Arial"/>
      <w:b/>
      <w:bCs/>
      <w:sz w:val="24"/>
      <w:szCs w:val="24"/>
    </w:rPr>
  </w:style>
  <w:style w:type="character" w:styleId="762" w:customStyle="1">
    <w:name w:val="Заголовок 6 Знак"/>
    <w:basedOn w:val="741"/>
    <w:link w:val="737"/>
    <w:uiPriority w:val="9"/>
    <w:rPr>
      <w:rFonts w:ascii="Arial" w:hAnsi="Arial" w:eastAsia="Arial" w:cs="Arial"/>
      <w:b/>
      <w:bCs/>
      <w:sz w:val="22"/>
      <w:szCs w:val="22"/>
    </w:rPr>
  </w:style>
  <w:style w:type="character" w:styleId="763" w:customStyle="1">
    <w:name w:val="Заголовок 7 Знак"/>
    <w:basedOn w:val="741"/>
    <w:link w:val="738"/>
    <w:uiPriority w:val="9"/>
    <w:rPr>
      <w:rFonts w:ascii="Arial" w:hAnsi="Arial" w:eastAsia="Arial" w:cs="Arial"/>
      <w:b/>
      <w:bCs/>
      <w:i/>
      <w:iCs/>
      <w:sz w:val="22"/>
      <w:szCs w:val="22"/>
    </w:rPr>
  </w:style>
  <w:style w:type="character" w:styleId="764" w:customStyle="1">
    <w:name w:val="Заголовок 8 Знак"/>
    <w:basedOn w:val="741"/>
    <w:link w:val="739"/>
    <w:uiPriority w:val="9"/>
    <w:rPr>
      <w:rFonts w:ascii="Arial" w:hAnsi="Arial" w:eastAsia="Arial" w:cs="Arial"/>
      <w:i/>
      <w:iCs/>
      <w:sz w:val="22"/>
      <w:szCs w:val="22"/>
    </w:rPr>
  </w:style>
  <w:style w:type="character" w:styleId="765" w:customStyle="1">
    <w:name w:val="Заголовок 9 Знак"/>
    <w:basedOn w:val="741"/>
    <w:link w:val="740"/>
    <w:uiPriority w:val="9"/>
    <w:rPr>
      <w:rFonts w:ascii="Arial" w:hAnsi="Arial" w:eastAsia="Arial" w:cs="Arial"/>
      <w:i/>
      <w:iCs/>
      <w:sz w:val="21"/>
      <w:szCs w:val="21"/>
    </w:rPr>
  </w:style>
  <w:style w:type="paragraph" w:styleId="766">
    <w:name w:val="No Spacing"/>
    <w:uiPriority w:val="1"/>
    <w:qFormat/>
  </w:style>
  <w:style w:type="paragraph" w:styleId="767">
    <w:name w:val="Title"/>
    <w:basedOn w:val="731"/>
    <w:next w:val="731"/>
    <w:link w:val="768"/>
    <w:uiPriority w:val="10"/>
    <w:qFormat/>
    <w:pPr>
      <w:contextualSpacing/>
      <w:spacing w:before="300" w:after="200"/>
    </w:pPr>
    <w:rPr>
      <w:sz w:val="48"/>
      <w:szCs w:val="48"/>
    </w:rPr>
  </w:style>
  <w:style w:type="character" w:styleId="768" w:customStyle="1">
    <w:name w:val="Заголовок Знак"/>
    <w:basedOn w:val="741"/>
    <w:link w:val="767"/>
    <w:uiPriority w:val="10"/>
    <w:rPr>
      <w:sz w:val="48"/>
      <w:szCs w:val="48"/>
    </w:rPr>
  </w:style>
  <w:style w:type="paragraph" w:styleId="769">
    <w:name w:val="Subtitle"/>
    <w:basedOn w:val="731"/>
    <w:next w:val="731"/>
    <w:link w:val="770"/>
    <w:uiPriority w:val="11"/>
    <w:qFormat/>
    <w:pPr>
      <w:spacing w:before="200" w:after="200"/>
    </w:pPr>
  </w:style>
  <w:style w:type="character" w:styleId="770" w:customStyle="1">
    <w:name w:val="Подзаголовок Знак"/>
    <w:basedOn w:val="741"/>
    <w:link w:val="769"/>
    <w:uiPriority w:val="11"/>
    <w:rPr>
      <w:sz w:val="24"/>
      <w:szCs w:val="24"/>
    </w:rPr>
  </w:style>
  <w:style w:type="paragraph" w:styleId="771">
    <w:name w:val="Quote"/>
    <w:basedOn w:val="731"/>
    <w:next w:val="731"/>
    <w:link w:val="772"/>
    <w:uiPriority w:val="29"/>
    <w:qFormat/>
    <w:pPr>
      <w:ind w:left="720" w:right="720"/>
    </w:pPr>
    <w:rPr>
      <w:i/>
    </w:rPr>
  </w:style>
  <w:style w:type="character" w:styleId="772" w:customStyle="1">
    <w:name w:val="Цитата 2 Знак"/>
    <w:link w:val="771"/>
    <w:uiPriority w:val="29"/>
    <w:rPr>
      <w:i/>
    </w:rPr>
  </w:style>
  <w:style w:type="paragraph" w:styleId="773">
    <w:name w:val="Intense Quote"/>
    <w:basedOn w:val="731"/>
    <w:next w:val="731"/>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Выделенная цитата Знак"/>
    <w:link w:val="773"/>
    <w:uiPriority w:val="30"/>
    <w:rPr>
      <w:i/>
    </w:rPr>
  </w:style>
  <w:style w:type="character" w:styleId="775" w:customStyle="1">
    <w:name w:val="Header Char"/>
    <w:basedOn w:val="741"/>
    <w:uiPriority w:val="99"/>
  </w:style>
  <w:style w:type="character" w:styleId="776" w:customStyle="1">
    <w:name w:val="Footer Char"/>
    <w:basedOn w:val="741"/>
    <w:uiPriority w:val="99"/>
  </w:style>
  <w:style w:type="paragraph" w:styleId="777">
    <w:name w:val="Caption"/>
    <w:basedOn w:val="731"/>
    <w:next w:val="731"/>
    <w:uiPriority w:val="35"/>
    <w:semiHidden/>
    <w:unhideWhenUsed/>
    <w:qFormat/>
    <w:pPr>
      <w:spacing w:line="276" w:lineRule="auto"/>
    </w:pPr>
    <w:rPr>
      <w:b/>
      <w:bCs/>
      <w:color w:val="4f81bd" w:themeColor="accent1"/>
      <w:sz w:val="18"/>
      <w:szCs w:val="18"/>
    </w:rPr>
  </w:style>
  <w:style w:type="character" w:styleId="778" w:customStyle="1">
    <w:name w:val="Caption Char"/>
    <w:uiPriority w:val="99"/>
  </w:style>
  <w:style w:type="table" w:styleId="779" w:customStyle="1">
    <w:name w:val="Table Grid Light"/>
    <w:basedOn w:val="7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0" w:customStyle="1">
    <w:name w:val="Таблица простая 11"/>
    <w:basedOn w:val="7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Таблица простая 21"/>
    <w:basedOn w:val="74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Таблица простая 31"/>
    <w:basedOn w:val="7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Таблица простая 41"/>
    <w:basedOn w:val="7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Таблица простая 51"/>
    <w:basedOn w:val="7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Таблица-сетка 1 светлая1"/>
    <w:basedOn w:val="74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42"/>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4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42"/>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42"/>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42"/>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42"/>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Таблица-сетка 21"/>
    <w:basedOn w:val="74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42"/>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4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42"/>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42"/>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42"/>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42"/>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Таблица-сетка 31"/>
    <w:basedOn w:val="74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42"/>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4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42"/>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42"/>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42"/>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42"/>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Таблица-сетка 41"/>
    <w:basedOn w:val="74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42"/>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8" w:customStyle="1">
    <w:name w:val="Grid Table 4 - Accent 2"/>
    <w:basedOn w:val="742"/>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9" w:customStyle="1">
    <w:name w:val="Grid Table 4 - Accent 3"/>
    <w:basedOn w:val="742"/>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0" w:customStyle="1">
    <w:name w:val="Grid Table 4 - Accent 4"/>
    <w:basedOn w:val="742"/>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basedOn w:val="742"/>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basedOn w:val="742"/>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Таблица-сетка 5 темная1"/>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Таблица-сетка 6 цветная1"/>
    <w:basedOn w:val="74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1" w:customStyle="1">
    <w:name w:val="Grid Table 6 Colorful - Accent 1"/>
    <w:basedOn w:val="742"/>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2" w:customStyle="1">
    <w:name w:val="Grid Table 6 Colorful - Accent 2"/>
    <w:basedOn w:val="74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3" w:customStyle="1">
    <w:name w:val="Grid Table 6 Colorful - Accent 3"/>
    <w:basedOn w:val="742"/>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4" w:customStyle="1">
    <w:name w:val="Grid Table 6 Colorful - Accent 4"/>
    <w:basedOn w:val="742"/>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5" w:customStyle="1">
    <w:name w:val="Grid Table 6 Colorful - Accent 5"/>
    <w:basedOn w:val="742"/>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customStyle="1">
    <w:name w:val="Grid Table 6 Colorful - Accent 6"/>
    <w:basedOn w:val="742"/>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Таблица-сетка 7 цветная1"/>
    <w:basedOn w:val="74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42"/>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42"/>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42"/>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42"/>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42"/>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42"/>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Список-таблица 1 светлая1"/>
    <w:basedOn w:val="74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42"/>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42"/>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42"/>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42"/>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42"/>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42"/>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Список-таблица 21"/>
    <w:basedOn w:val="74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2" w:customStyle="1">
    <w:name w:val="List Table 2 - Accent 1"/>
    <w:basedOn w:val="742"/>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basedOn w:val="742"/>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4" w:customStyle="1">
    <w:name w:val="List Table 2 - Accent 3"/>
    <w:basedOn w:val="742"/>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basedOn w:val="742"/>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basedOn w:val="742"/>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basedOn w:val="742"/>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Список-таблица 31"/>
    <w:basedOn w:val="74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42"/>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basedOn w:val="74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42"/>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42"/>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42"/>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42"/>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Список-таблица 41"/>
    <w:basedOn w:val="74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42"/>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basedOn w:val="742"/>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basedOn w:val="742"/>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basedOn w:val="742"/>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basedOn w:val="742"/>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basedOn w:val="742"/>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Список-таблица 5 темная1"/>
    <w:basedOn w:val="74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basedOn w:val="742"/>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basedOn w:val="742"/>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basedOn w:val="742"/>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basedOn w:val="742"/>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basedOn w:val="742"/>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basedOn w:val="742"/>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9" w:customStyle="1">
    <w:name w:val="Список-таблица 6 цветная1"/>
    <w:basedOn w:val="74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0" w:customStyle="1">
    <w:name w:val="List Table 6 Colorful - Accent 1"/>
    <w:basedOn w:val="742"/>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1" w:customStyle="1">
    <w:name w:val="List Table 6 Colorful - Accent 2"/>
    <w:basedOn w:val="742"/>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2" w:customStyle="1">
    <w:name w:val="List Table 6 Colorful - Accent 3"/>
    <w:basedOn w:val="742"/>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3" w:customStyle="1">
    <w:name w:val="List Table 6 Colorful - Accent 4"/>
    <w:basedOn w:val="742"/>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4" w:customStyle="1">
    <w:name w:val="List Table 6 Colorful - Accent 5"/>
    <w:basedOn w:val="742"/>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5" w:customStyle="1">
    <w:name w:val="List Table 6 Colorful - Accent 6"/>
    <w:basedOn w:val="742"/>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6" w:customStyle="1">
    <w:name w:val="Список-таблица 7 цветная1"/>
    <w:basedOn w:val="74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42"/>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42"/>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42"/>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42"/>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42"/>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42"/>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4" w:customStyle="1">
    <w:name w:val="Lined - Accent 1"/>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5" w:customStyle="1">
    <w:name w:val="Lined - Accent 2"/>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6" w:customStyle="1">
    <w:name w:val="Lined - Accent 3"/>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7" w:customStyle="1">
    <w:name w:val="Lined - Accent 4"/>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basedOn w:val="74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basedOn w:val="74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Bordered &amp; Lined - Accent 1"/>
    <w:basedOn w:val="742"/>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2" w:customStyle="1">
    <w:name w:val="Bordered &amp; Lined - Accent 2"/>
    <w:basedOn w:val="742"/>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3" w:customStyle="1">
    <w:name w:val="Bordered &amp; Lined - Accent 3"/>
    <w:basedOn w:val="742"/>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4" w:customStyle="1">
    <w:name w:val="Bordered &amp; Lined - Accent 4"/>
    <w:basedOn w:val="742"/>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basedOn w:val="742"/>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basedOn w:val="742"/>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basedOn w:val="74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8" w:customStyle="1">
    <w:name w:val="Bordered - Accent 1"/>
    <w:basedOn w:val="742"/>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basedOn w:val="74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0" w:customStyle="1">
    <w:name w:val="Bordered - Accent 3"/>
    <w:basedOn w:val="742"/>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1" w:customStyle="1">
    <w:name w:val="Bordered - Accent 4"/>
    <w:basedOn w:val="742"/>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basedOn w:val="742"/>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basedOn w:val="742"/>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4">
    <w:name w:val="footnote text"/>
    <w:basedOn w:val="731"/>
    <w:link w:val="905"/>
    <w:uiPriority w:val="99"/>
    <w:semiHidden/>
    <w:unhideWhenUsed/>
    <w:pPr>
      <w:spacing w:after="40"/>
    </w:pPr>
    <w:rPr>
      <w:sz w:val="18"/>
    </w:rPr>
  </w:style>
  <w:style w:type="character" w:styleId="905" w:customStyle="1">
    <w:name w:val="Текст сноски Знак"/>
    <w:link w:val="904"/>
    <w:uiPriority w:val="99"/>
    <w:rPr>
      <w:sz w:val="18"/>
    </w:rPr>
  </w:style>
  <w:style w:type="character" w:styleId="906">
    <w:name w:val="footnote reference"/>
    <w:basedOn w:val="741"/>
    <w:uiPriority w:val="99"/>
    <w:unhideWhenUsed/>
    <w:rPr>
      <w:vertAlign w:val="superscript"/>
    </w:rPr>
  </w:style>
  <w:style w:type="paragraph" w:styleId="907">
    <w:name w:val="endnote text"/>
    <w:basedOn w:val="731"/>
    <w:link w:val="908"/>
    <w:uiPriority w:val="99"/>
    <w:semiHidden/>
    <w:unhideWhenUsed/>
    <w:rPr>
      <w:sz w:val="20"/>
    </w:rPr>
  </w:style>
  <w:style w:type="character" w:styleId="908" w:customStyle="1">
    <w:name w:val="Текст концевой сноски Знак"/>
    <w:link w:val="907"/>
    <w:uiPriority w:val="99"/>
    <w:rPr>
      <w:sz w:val="20"/>
    </w:rPr>
  </w:style>
  <w:style w:type="character" w:styleId="909">
    <w:name w:val="endnote reference"/>
    <w:basedOn w:val="741"/>
    <w:uiPriority w:val="99"/>
    <w:semiHidden/>
    <w:unhideWhenUsed/>
    <w:rPr>
      <w:vertAlign w:val="superscript"/>
    </w:rPr>
  </w:style>
  <w:style w:type="paragraph" w:styleId="910">
    <w:name w:val="toc 1"/>
    <w:basedOn w:val="731"/>
    <w:next w:val="731"/>
    <w:uiPriority w:val="39"/>
    <w:unhideWhenUsed/>
    <w:pPr>
      <w:spacing w:after="57"/>
    </w:pPr>
  </w:style>
  <w:style w:type="paragraph" w:styleId="911">
    <w:name w:val="toc 2"/>
    <w:basedOn w:val="731"/>
    <w:next w:val="731"/>
    <w:uiPriority w:val="39"/>
    <w:unhideWhenUsed/>
    <w:pPr>
      <w:ind w:left="283"/>
      <w:spacing w:after="57"/>
    </w:pPr>
  </w:style>
  <w:style w:type="paragraph" w:styleId="912">
    <w:name w:val="toc 3"/>
    <w:basedOn w:val="731"/>
    <w:next w:val="731"/>
    <w:uiPriority w:val="39"/>
    <w:unhideWhenUsed/>
    <w:pPr>
      <w:ind w:left="567"/>
      <w:spacing w:after="57"/>
    </w:pPr>
  </w:style>
  <w:style w:type="paragraph" w:styleId="913">
    <w:name w:val="toc 4"/>
    <w:basedOn w:val="731"/>
    <w:next w:val="731"/>
    <w:uiPriority w:val="39"/>
    <w:unhideWhenUsed/>
    <w:pPr>
      <w:ind w:left="850"/>
      <w:spacing w:after="57"/>
    </w:pPr>
  </w:style>
  <w:style w:type="paragraph" w:styleId="914">
    <w:name w:val="toc 5"/>
    <w:basedOn w:val="731"/>
    <w:next w:val="731"/>
    <w:uiPriority w:val="39"/>
    <w:unhideWhenUsed/>
    <w:pPr>
      <w:ind w:left="1134"/>
      <w:spacing w:after="57"/>
    </w:pPr>
  </w:style>
  <w:style w:type="paragraph" w:styleId="915">
    <w:name w:val="toc 6"/>
    <w:basedOn w:val="731"/>
    <w:next w:val="731"/>
    <w:uiPriority w:val="39"/>
    <w:unhideWhenUsed/>
    <w:pPr>
      <w:ind w:left="1417"/>
      <w:spacing w:after="57"/>
    </w:pPr>
  </w:style>
  <w:style w:type="paragraph" w:styleId="916">
    <w:name w:val="toc 7"/>
    <w:basedOn w:val="731"/>
    <w:next w:val="731"/>
    <w:uiPriority w:val="39"/>
    <w:unhideWhenUsed/>
    <w:pPr>
      <w:ind w:left="1701"/>
      <w:spacing w:after="57"/>
    </w:pPr>
  </w:style>
  <w:style w:type="paragraph" w:styleId="917">
    <w:name w:val="toc 8"/>
    <w:basedOn w:val="731"/>
    <w:next w:val="731"/>
    <w:uiPriority w:val="39"/>
    <w:unhideWhenUsed/>
    <w:pPr>
      <w:ind w:left="1984"/>
      <w:spacing w:after="57"/>
    </w:pPr>
  </w:style>
  <w:style w:type="paragraph" w:styleId="918">
    <w:name w:val="toc 9"/>
    <w:basedOn w:val="731"/>
    <w:next w:val="731"/>
    <w:uiPriority w:val="39"/>
    <w:unhideWhenUsed/>
    <w:pPr>
      <w:ind w:left="2268"/>
      <w:spacing w:after="57"/>
    </w:pPr>
  </w:style>
  <w:style w:type="paragraph" w:styleId="919">
    <w:name w:val="TOC Heading"/>
    <w:uiPriority w:val="39"/>
    <w:unhideWhenUsed/>
  </w:style>
  <w:style w:type="paragraph" w:styleId="920">
    <w:name w:val="table of figures"/>
    <w:basedOn w:val="731"/>
    <w:next w:val="731"/>
    <w:uiPriority w:val="99"/>
    <w:unhideWhenUsed/>
  </w:style>
  <w:style w:type="character" w:styleId="921" w:customStyle="1">
    <w:name w:val="Заголовок 1 Знак"/>
    <w:link w:val="732"/>
    <w:uiPriority w:val="99"/>
    <w:rPr>
      <w:sz w:val="28"/>
      <w:lang w:val="ru-RU" w:eastAsia="ru-RU" w:bidi="ar-SA"/>
    </w:rPr>
  </w:style>
  <w:style w:type="character" w:styleId="922" w:customStyle="1">
    <w:name w:val="Заголовок 2 Знак"/>
    <w:link w:val="733"/>
    <w:semiHidden/>
    <w:rPr>
      <w:bCs/>
      <w:sz w:val="28"/>
      <w:szCs w:val="26"/>
      <w:lang w:val="ru-RU" w:eastAsia="en-US" w:bidi="ar-SA"/>
    </w:rPr>
  </w:style>
  <w:style w:type="paragraph" w:styleId="923" w:customStyle="1">
    <w:name w:val="Знак Знак3 Знак Знак Знак Знак Знак Знак Знак Знак Знак Знак Знак Знак"/>
    <w:basedOn w:val="731"/>
    <w:pPr>
      <w:spacing w:after="160" w:line="240" w:lineRule="exact"/>
    </w:pPr>
    <w:rPr>
      <w:rFonts w:ascii="Verdana" w:hAnsi="Verdana" w:cs="Verdana"/>
      <w:sz w:val="20"/>
      <w:szCs w:val="20"/>
      <w:lang w:val="en-US" w:eastAsia="en-US"/>
    </w:rPr>
  </w:style>
  <w:style w:type="table" w:styleId="924">
    <w:name w:val="Table Grid"/>
    <w:basedOn w:val="74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31"/>
    <w:pPr>
      <w:jc w:val="right"/>
      <w:spacing w:after="160" w:line="240" w:lineRule="exact"/>
      <w:widowControl w:val="off"/>
    </w:pPr>
    <w:rPr>
      <w:sz w:val="20"/>
      <w:szCs w:val="20"/>
      <w:lang w:val="en-GB" w:eastAsia="en-US"/>
    </w:rPr>
  </w:style>
  <w:style w:type="character" w:styleId="926">
    <w:name w:val="Hyperlink"/>
    <w:rPr>
      <w:color w:val="0000ff"/>
      <w:u w:val="single"/>
    </w:rPr>
  </w:style>
  <w:style w:type="paragraph" w:styleId="927" w:customStyle="1">
    <w:name w:val="Абзац списка1"/>
    <w:basedOn w:val="731"/>
    <w:pPr>
      <w:ind w:left="720"/>
    </w:pPr>
    <w:rPr>
      <w:rFonts w:eastAsia="Calibri"/>
    </w:rPr>
  </w:style>
  <w:style w:type="character" w:styleId="928" w:customStyle="1">
    <w:name w:val="Гипертекстовая ссылка"/>
    <w:uiPriority w:val="99"/>
    <w:rPr>
      <w:color w:val="008000"/>
    </w:rPr>
  </w:style>
  <w:style w:type="paragraph" w:styleId="929">
    <w:name w:val="Body Text Indent 2"/>
    <w:basedOn w:val="731"/>
    <w:link w:val="930"/>
    <w:unhideWhenUsed/>
    <w:pPr>
      <w:ind w:left="283"/>
      <w:spacing w:after="120" w:line="480" w:lineRule="auto"/>
    </w:pPr>
    <w:rPr>
      <w:lang w:eastAsia="ar-SA"/>
    </w:rPr>
  </w:style>
  <w:style w:type="character" w:styleId="930" w:customStyle="1">
    <w:name w:val="Основной текст с отступом 2 Знак"/>
    <w:link w:val="929"/>
    <w:rPr>
      <w:sz w:val="24"/>
      <w:szCs w:val="24"/>
      <w:lang w:val="ru-RU" w:eastAsia="ar-SA" w:bidi="ar-SA"/>
    </w:rPr>
  </w:style>
  <w:style w:type="character" w:styleId="931" w:customStyle="1">
    <w:name w:val="Основной текст (3)_"/>
    <w:link w:val="932"/>
    <w:rPr>
      <w:b/>
      <w:bCs/>
      <w:i/>
      <w:iCs/>
      <w:sz w:val="26"/>
      <w:szCs w:val="26"/>
      <w:shd w:val="clear" w:color="auto" w:fill="ffffff"/>
      <w:lang w:bidi="ar-SA"/>
    </w:rPr>
  </w:style>
  <w:style w:type="paragraph" w:styleId="932" w:customStyle="1">
    <w:name w:val="Основной текст (3)"/>
    <w:basedOn w:val="731"/>
    <w:link w:val="931"/>
    <w:pPr>
      <w:jc w:val="center"/>
      <w:spacing w:after="300" w:line="317" w:lineRule="exact"/>
      <w:shd w:val="clear" w:color="auto" w:fill="ffffff"/>
      <w:widowControl w:val="off"/>
    </w:pPr>
    <w:rPr>
      <w:b/>
      <w:bCs/>
      <w:i/>
      <w:iCs/>
      <w:sz w:val="26"/>
      <w:szCs w:val="26"/>
      <w:shd w:val="clear" w:color="auto" w:fill="ffffff"/>
    </w:rPr>
  </w:style>
  <w:style w:type="paragraph" w:styleId="933">
    <w:name w:val="Body Text"/>
    <w:basedOn w:val="731"/>
    <w:pPr>
      <w:spacing w:after="120"/>
    </w:pPr>
  </w:style>
  <w:style w:type="paragraph" w:styleId="934">
    <w:name w:val="Body Text Indent"/>
    <w:basedOn w:val="731"/>
    <w:link w:val="944"/>
    <w:pPr>
      <w:ind w:left="283"/>
      <w:spacing w:after="120"/>
    </w:pPr>
  </w:style>
  <w:style w:type="paragraph" w:styleId="935" w:customStyle="1">
    <w:name w:val="регистрационные поля"/>
    <w:basedOn w:val="731"/>
    <w:pPr>
      <w:jc w:val="center"/>
      <w:spacing w:line="240" w:lineRule="exact"/>
    </w:pPr>
    <w:rPr>
      <w:sz w:val="28"/>
      <w:szCs w:val="20"/>
      <w:lang w:val="en-US"/>
    </w:rPr>
  </w:style>
  <w:style w:type="paragraph" w:styleId="936">
    <w:name w:val="Header"/>
    <w:basedOn w:val="731"/>
    <w:link w:val="937"/>
    <w:uiPriority w:val="99"/>
    <w:pPr>
      <w:tabs>
        <w:tab w:val="center" w:pos="4677" w:leader="none"/>
        <w:tab w:val="right" w:pos="9355" w:leader="none"/>
      </w:tabs>
    </w:pPr>
  </w:style>
  <w:style w:type="character" w:styleId="937" w:customStyle="1">
    <w:name w:val="Верхний колонтитул Знак"/>
    <w:link w:val="936"/>
    <w:uiPriority w:val="99"/>
    <w:rPr>
      <w:sz w:val="24"/>
      <w:szCs w:val="24"/>
    </w:rPr>
  </w:style>
  <w:style w:type="paragraph" w:styleId="938">
    <w:name w:val="Footer"/>
    <w:basedOn w:val="731"/>
    <w:link w:val="939"/>
    <w:pPr>
      <w:tabs>
        <w:tab w:val="center" w:pos="4677" w:leader="none"/>
        <w:tab w:val="right" w:pos="9355" w:leader="none"/>
      </w:tabs>
    </w:pPr>
  </w:style>
  <w:style w:type="character" w:styleId="939" w:customStyle="1">
    <w:name w:val="Нижний колонтитул Знак"/>
    <w:link w:val="938"/>
    <w:rPr>
      <w:sz w:val="24"/>
      <w:szCs w:val="24"/>
    </w:rPr>
  </w:style>
  <w:style w:type="paragraph" w:styleId="940" w:customStyle="1">
    <w:name w:val="1"/>
    <w:basedOn w:val="731"/>
    <w:pPr>
      <w:spacing w:after="160" w:line="240" w:lineRule="exact"/>
    </w:pPr>
    <w:rPr>
      <w:rFonts w:ascii="Verdana" w:hAnsi="Verdana" w:cs="Verdana"/>
      <w:sz w:val="20"/>
      <w:szCs w:val="20"/>
      <w:lang w:val="en-US" w:eastAsia="en-US"/>
    </w:rPr>
  </w:style>
  <w:style w:type="paragraph" w:styleId="941">
    <w:name w:val="Balloon Text"/>
    <w:basedOn w:val="731"/>
    <w:link w:val="942"/>
    <w:rPr>
      <w:rFonts w:ascii="Tahoma" w:hAnsi="Tahoma" w:cs="Tahoma"/>
      <w:sz w:val="16"/>
      <w:szCs w:val="16"/>
    </w:rPr>
  </w:style>
  <w:style w:type="character" w:styleId="942" w:customStyle="1">
    <w:name w:val="Текст выноски Знак"/>
    <w:link w:val="941"/>
    <w:rPr>
      <w:rFonts w:ascii="Tahoma" w:hAnsi="Tahoma" w:cs="Tahoma"/>
      <w:sz w:val="16"/>
      <w:szCs w:val="16"/>
    </w:rPr>
  </w:style>
  <w:style w:type="numbering" w:styleId="943" w:customStyle="1">
    <w:name w:val="Нет списка1"/>
    <w:next w:val="743"/>
    <w:uiPriority w:val="99"/>
    <w:semiHidden/>
    <w:unhideWhenUsed/>
  </w:style>
  <w:style w:type="character" w:styleId="944" w:customStyle="1">
    <w:name w:val="Основной текст с отступом Знак"/>
    <w:link w:val="934"/>
    <w:rPr>
      <w:sz w:val="24"/>
      <w:szCs w:val="24"/>
    </w:rPr>
  </w:style>
  <w:style w:type="paragraph" w:styleId="945">
    <w:name w:val="List Paragraph"/>
    <w:basedOn w:val="731"/>
    <w:uiPriority w:val="34"/>
    <w:qFormat/>
    <w:pPr>
      <w:contextualSpacing/>
      <w:ind w:left="720"/>
    </w:pPr>
  </w:style>
  <w:style w:type="character" w:styleId="946" w:customStyle="1">
    <w:name w:val="blk"/>
    <w:basedOn w:val="741"/>
  </w:style>
  <w:style w:type="character" w:styleId="947" w:customStyle="1">
    <w:name w:val="Font Style18"/>
    <w:uiPriority w:val="99"/>
    <w:rPr>
      <w:rFonts w:ascii="Times New Roman" w:hAnsi="Times New Roman" w:cs="Times New Roman"/>
      <w:sz w:val="26"/>
      <w:szCs w:val="26"/>
    </w:rPr>
  </w:style>
  <w:style w:type="table" w:styleId="948" w:customStyle="1">
    <w:name w:val="Сетка таблицы1"/>
    <w:basedOn w:val="742"/>
    <w:next w:val="924"/>
    <w:uiPriority w:val="59"/>
    <w:rPr>
      <w:rFonts w:ascii="Calibri" w:hAnsi="Calibri" w:eastAsia="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96322-D789-4237-94AA-DA5D2C781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Kraftway</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Чечель</dc:creator>
  <cp:revision>5</cp:revision>
  <dcterms:created xsi:type="dcterms:W3CDTF">2026-06-02T12:34:00Z</dcterms:created>
  <dcterms:modified xsi:type="dcterms:W3CDTF">2026-06-03T11:03:47Z</dcterms:modified>
</cp:coreProperties>
</file>