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rPr>
      </w:r>
      <w:r>
        <w:rPr>
          <w:b/>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44"/>
          <w:szCs w:val="44"/>
        </w:rPr>
      </w:pPr>
      <w:r>
        <w:rPr>
          <w:b/>
          <w:sz w:val="44"/>
          <w:szCs w:val="44"/>
        </w:rPr>
        <w:t xml:space="preserve">АДМИНИСТРАЦИЯ </w:t>
      </w:r>
      <w:r>
        <w:rPr>
          <w:b/>
          <w:sz w:val="44"/>
          <w:szCs w:val="44"/>
        </w:rPr>
      </w:r>
      <w:r>
        <w:rPr>
          <w:b/>
          <w:sz w:val="44"/>
          <w:szCs w:val="44"/>
        </w:rPr>
      </w:r>
    </w:p>
    <w:p>
      <w:pPr>
        <w:jc w:val="center"/>
        <w:rPr>
          <w:b/>
          <w:sz w:val="28"/>
        </w:rPr>
      </w:pPr>
      <w:r>
        <w:rPr>
          <w:b/>
          <w:sz w:val="28"/>
        </w:rPr>
        <w:t xml:space="preserve">ПЕЧЕНГСКОГО МУНИЦИПАЛЬНОГО ОКРУГА</w:t>
      </w:r>
      <w:r>
        <w:rPr>
          <w:b/>
          <w:sz w:val="28"/>
        </w:rPr>
      </w:r>
      <w:r>
        <w:rPr>
          <w:b/>
          <w:sz w:val="28"/>
        </w:rPr>
      </w:r>
    </w:p>
    <w:p>
      <w:pPr>
        <w:jc w:val="center"/>
        <w:rPr>
          <w:b/>
          <w:sz w:val="28"/>
        </w:rPr>
      </w:pPr>
      <w:r>
        <w:rPr>
          <w:b/>
          <w:sz w:val="28"/>
        </w:rPr>
        <w:t xml:space="preserve">МУРМАНСКОЙ ОБЛАСТИ</w:t>
      </w:r>
      <w:r>
        <w:rPr>
          <w:b/>
          <w:sz w:val="28"/>
        </w:rPr>
      </w:r>
      <w:r>
        <w:rPr>
          <w:b/>
          <w:sz w:val="28"/>
        </w:rPr>
      </w:r>
    </w:p>
    <w:p>
      <w:pPr>
        <w:jc w:val="center"/>
        <w:rPr>
          <w:b/>
          <w:sz w:val="16"/>
          <w:szCs w:val="16"/>
        </w:rPr>
      </w:pPr>
      <w:r>
        <w:rPr>
          <w:b/>
          <w:sz w:val="16"/>
          <w:szCs w:val="16"/>
        </w:rPr>
      </w: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r>
        <w:rPr>
          <w:b/>
          <w:sz w:val="44"/>
          <w:szCs w:val="44"/>
        </w:rPr>
      </w:r>
    </w:p>
    <w:p>
      <w:pPr>
        <w:jc w:val="center"/>
      </w:pPr>
      <w:r/>
      <w:r/>
    </w:p>
    <w:p>
      <w:pPr>
        <w:jc w:val="center"/>
      </w:pPr>
      <w:r/>
      <w:r/>
    </w:p>
    <w:p>
      <w:pPr>
        <w:jc w:val="both"/>
        <w:rPr>
          <w:b/>
          <w:color w:val="000000"/>
          <w:szCs w:val="20"/>
        </w:rPr>
      </w:pPr>
      <w:r>
        <w:rPr>
          <w:b/>
          <w:color w:val="000000"/>
          <w:szCs w:val="20"/>
        </w:rPr>
        <w:t xml:space="preserve">от </w:t>
      </w:r>
      <w:r>
        <w:rPr>
          <w:b/>
          <w:color w:val="000000"/>
          <w:szCs w:val="20"/>
        </w:rPr>
        <w:t xml:space="preserve">08.06.2026 </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t xml:space="preserve">           </w:t>
      </w:r>
      <w:r>
        <w:rPr>
          <w:b/>
          <w:color w:val="000000"/>
          <w:szCs w:val="20"/>
        </w:rPr>
        <w:tab/>
        <w:t xml:space="preserve"> </w:t>
      </w:r>
      <w:r>
        <w:rPr>
          <w:b/>
          <w:color w:val="000000"/>
          <w:szCs w:val="20"/>
        </w:rPr>
        <w:t xml:space="preserve">№ 1044</w:t>
      </w:r>
      <w:r>
        <w:rPr>
          <w:b/>
          <w:color w:val="000000"/>
          <w:szCs w:val="20"/>
        </w:rPr>
      </w:r>
      <w:r>
        <w:rPr>
          <w:b/>
          <w:color w:val="000000"/>
          <w:szCs w:val="20"/>
        </w:rPr>
      </w:r>
    </w:p>
    <w:p>
      <w:pPr>
        <w:jc w:val="center"/>
        <w:rPr>
          <w:b/>
          <w:color w:val="000000"/>
          <w:sz w:val="28"/>
          <w:szCs w:val="20"/>
        </w:rPr>
      </w:pPr>
      <w:r>
        <w:rPr>
          <w:b/>
          <w:color w:val="000000"/>
          <w:szCs w:val="20"/>
        </w:rPr>
        <w:t xml:space="preserve">п.г.т. Никель</w:t>
      </w:r>
      <w:r>
        <w:rPr>
          <w:b/>
          <w:color w:val="000000"/>
          <w:sz w:val="28"/>
          <w:szCs w:val="20"/>
        </w:rPr>
      </w:r>
      <w:r>
        <w:rPr>
          <w:b/>
          <w:color w:val="000000"/>
          <w:sz w:val="28"/>
          <w:szCs w:val="20"/>
        </w:rPr>
      </w:r>
    </w:p>
    <w:p>
      <w:pPr>
        <w:jc w:val="center"/>
        <w:rPr>
          <w:b/>
          <w:bCs/>
        </w:rPr>
      </w:pPr>
      <w:r>
        <w:rPr>
          <w:b/>
        </w:rPr>
      </w:r>
      <w:r>
        <w:rPr>
          <w:b/>
        </w:rPr>
      </w:r>
      <w:r>
        <w:rPr>
          <w:b/>
          <w:bCs/>
        </w:rPr>
      </w:r>
    </w:p>
    <w:p>
      <w:pPr>
        <w:jc w:val="center"/>
        <w:rPr>
          <w:b/>
          <w:bCs/>
        </w:rPr>
      </w:pPr>
      <w:r>
        <w:rPr>
          <w:b/>
        </w:rPr>
      </w:r>
      <w:r>
        <w:rPr>
          <w:b/>
          <w:bCs/>
        </w:rPr>
      </w:r>
      <w:r>
        <w:rPr>
          <w:b/>
          <w:bCs/>
        </w:rPr>
      </w:r>
    </w:p>
    <w:p>
      <w:pPr>
        <w:jc w:val="center"/>
        <w:widowControl/>
        <w:tabs>
          <w:tab w:val="left" w:pos="993" w:leader="none"/>
        </w:tabs>
        <w:rPr>
          <w:rFonts w:eastAsia="Calibri"/>
          <w:b/>
          <w:bCs/>
          <w:sz w:val="20"/>
          <w:szCs w:val="20"/>
        </w:rPr>
      </w:pPr>
      <w:r>
        <w:rPr>
          <w:rFonts w:eastAsia="Calibri"/>
          <w:b/>
          <w:bCs/>
          <w:sz w:val="20"/>
          <w:szCs w:val="20"/>
        </w:rPr>
        <w:t xml:space="preserve">О введении режима функционирования повышенной готовности для органов управления, сил</w:t>
      </w:r>
      <w:r>
        <w:rPr>
          <w:rFonts w:eastAsia="Calibri"/>
          <w:b/>
          <w:bCs/>
          <w:sz w:val="20"/>
          <w:szCs w:val="20"/>
        </w:rPr>
      </w:r>
      <w:r>
        <w:rPr>
          <w:rFonts w:eastAsia="Calibri"/>
          <w:b/>
          <w:bCs/>
          <w:sz w:val="20"/>
          <w:szCs w:val="20"/>
        </w:rPr>
      </w:r>
    </w:p>
    <w:p>
      <w:pPr>
        <w:jc w:val="center"/>
        <w:widowControl/>
        <w:tabs>
          <w:tab w:val="left" w:pos="993" w:leader="none"/>
        </w:tabs>
        <w:rPr>
          <w:rFonts w:eastAsia="Calibri"/>
          <w:b/>
          <w:bCs/>
          <w:sz w:val="20"/>
          <w:szCs w:val="20"/>
        </w:rPr>
      </w:pPr>
      <w:r>
        <w:rPr>
          <w:rFonts w:eastAsia="Calibri"/>
          <w:b/>
          <w:bCs/>
          <w:sz w:val="20"/>
          <w:szCs w:val="20"/>
        </w:rPr>
        <w:t xml:space="preserve">и средств Печенгского звена единой государственной системы предупреждения и ликвидации чрезвычайных ситуаций на территории пгт. Печенга, ж/д ст. Печенга и н.п. Спутник</w:t>
      </w:r>
      <w:r>
        <w:rPr>
          <w:rFonts w:eastAsia="Calibri"/>
          <w:b/>
          <w:bCs/>
          <w:sz w:val="20"/>
          <w:szCs w:val="20"/>
        </w:rPr>
      </w:r>
      <w:r>
        <w:rPr>
          <w:rFonts w:eastAsia="Calibri"/>
          <w:b/>
          <w:bCs/>
          <w:sz w:val="20"/>
          <w:szCs w:val="20"/>
        </w:rPr>
      </w:r>
    </w:p>
    <w:p>
      <w:pPr>
        <w:jc w:val="center"/>
        <w:widowControl/>
        <w:tabs>
          <w:tab w:val="left" w:pos="993" w:leader="none"/>
        </w:tabs>
        <w:rPr>
          <w:rFonts w:eastAsia="Calibri"/>
          <w:bCs/>
          <w:sz w:val="20"/>
          <w:szCs w:val="20"/>
        </w:rPr>
      </w:pPr>
      <w:r>
        <w:rPr>
          <w:rFonts w:eastAsia="Calibri"/>
          <w:b/>
          <w:bCs/>
          <w:sz w:val="20"/>
          <w:szCs w:val="20"/>
        </w:rPr>
        <w:t xml:space="preserve">Печенгского муниципального округа</w:t>
      </w:r>
      <w:r>
        <w:rPr>
          <w:rFonts w:eastAsia="Calibri"/>
          <w:bCs/>
          <w:sz w:val="20"/>
          <w:szCs w:val="20"/>
        </w:rPr>
      </w:r>
      <w:r>
        <w:rPr>
          <w:rFonts w:eastAsia="Calibri"/>
          <w:bCs/>
          <w:sz w:val="20"/>
          <w:szCs w:val="20"/>
        </w:rPr>
      </w:r>
    </w:p>
    <w:p>
      <w:pPr>
        <w:ind w:firstLine="720"/>
        <w:jc w:val="both"/>
        <w:widowControl/>
        <w:tabs>
          <w:tab w:val="left" w:pos="993" w:leader="none"/>
        </w:tabs>
        <w:rPr>
          <w:rFonts w:eastAsia="Calibri"/>
          <w:sz w:val="20"/>
          <w:szCs w:val="20"/>
        </w:rPr>
      </w:pPr>
      <w:r>
        <w:rPr>
          <w:rFonts w:eastAsia="Calibri"/>
          <w:bCs/>
          <w:sz w:val="20"/>
          <w:szCs w:val="20"/>
        </w:rPr>
      </w:r>
      <w:r>
        <w:rPr>
          <w:rFonts w:eastAsia="Calibri"/>
          <w:bCs/>
          <w:sz w:val="20"/>
          <w:szCs w:val="20"/>
        </w:rPr>
      </w:r>
      <w:r>
        <w:rPr>
          <w:rFonts w:eastAsia="Calibri"/>
          <w:sz w:val="20"/>
          <w:szCs w:val="20"/>
        </w:rPr>
      </w:r>
    </w:p>
    <w:p>
      <w:pPr>
        <w:ind w:firstLine="720"/>
        <w:jc w:val="both"/>
        <w:widowControl/>
        <w:tabs>
          <w:tab w:val="left" w:pos="993" w:leader="none"/>
        </w:tabs>
        <w:rPr>
          <w:rFonts w:eastAsia="Calibri"/>
          <w:sz w:val="20"/>
          <w:szCs w:val="20"/>
        </w:rPr>
      </w:pPr>
      <w:r>
        <w:rPr>
          <w:rFonts w:eastAsia="Calibri"/>
          <w:bCs/>
          <w:sz w:val="20"/>
          <w:szCs w:val="20"/>
        </w:rPr>
      </w:r>
      <w:r>
        <w:rPr>
          <w:rFonts w:eastAsia="Calibri"/>
          <w:sz w:val="20"/>
          <w:szCs w:val="20"/>
        </w:rPr>
      </w:r>
      <w:r>
        <w:rPr>
          <w:rFonts w:eastAsia="Calibri"/>
          <w:sz w:val="20"/>
          <w:szCs w:val="20"/>
        </w:rPr>
      </w:r>
    </w:p>
    <w:p>
      <w:pPr>
        <w:ind w:left="0" w:right="0" w:firstLine="709"/>
        <w:jc w:val="both"/>
        <w:widowControl/>
        <w:tabs>
          <w:tab w:val="left" w:pos="993" w:leader="none"/>
        </w:tabs>
        <w:rPr>
          <w:rFonts w:eastAsia="Calibri"/>
          <w:bCs/>
        </w:rPr>
      </w:pPr>
      <w:r>
        <w:rPr>
          <w:rFonts w:eastAsia="Calibri"/>
          <w:bCs/>
        </w:rPr>
        <w:t xml:space="preserve">Р</w:t>
      </w:r>
      <w:r>
        <w:rPr>
          <w:rFonts w:eastAsia="Calibri"/>
          <w:bCs/>
        </w:rPr>
        <w:t xml:space="preserve">у</w:t>
      </w:r>
      <w:r>
        <w:rPr>
          <w:rFonts w:eastAsia="Calibri"/>
          <w:bCs/>
        </w:rPr>
        <w:t xml:space="preserve">ководствуясь Федеральным законом от 27.07.2010 № 190-ФЗ </w:t>
        <w:br/>
        <w:t xml:space="preserve">«О теплоснабжении», Федеральным законом от 06.10.2003 № 131-ФЗ «Об общих принципах организации местного самоуправления в Российской Федерации», в соответствии с Федеральным законом от 21.12.1994 № 68</w:t>
      </w:r>
      <w:r>
        <w:rPr>
          <w:rFonts w:eastAsia="Calibri"/>
          <w:bCs/>
        </w:rPr>
        <w:t xml:space="preserve">-ФЗ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w:t>
      </w:r>
      <w:r>
        <w:rPr>
          <w:rFonts w:eastAsia="Calibri"/>
          <w:bCs/>
        </w:rPr>
        <w:t xml:space="preserve">протоколом заседания комиссии по предупреждению и ликвидации чрезвычайных ситуаций и обеспечения пожарной безопасности Печенгского муниципального округа </w:t>
        <w:br/>
        <w:t xml:space="preserve">от </w:t>
      </w:r>
      <w:r>
        <w:rPr>
          <w:rFonts w:eastAsia="Calibri"/>
          <w:bCs/>
        </w:rPr>
        <w:t xml:space="preserve">08</w:t>
      </w:r>
      <w:r>
        <w:rPr>
          <w:rFonts w:eastAsia="Calibri"/>
          <w:bCs/>
        </w:rPr>
        <w:t xml:space="preserve">.</w:t>
      </w:r>
      <w:r>
        <w:rPr>
          <w:rFonts w:eastAsia="Calibri"/>
          <w:bCs/>
        </w:rPr>
        <w:t xml:space="preserve">06</w:t>
      </w:r>
      <w:r>
        <w:rPr>
          <w:rFonts w:eastAsia="Calibri"/>
          <w:bCs/>
        </w:rPr>
        <w:t xml:space="preserve">.2026 № </w:t>
      </w:r>
      <w:r>
        <w:rPr>
          <w:rFonts w:eastAsia="Calibri"/>
          <w:bCs/>
        </w:rPr>
        <w:t xml:space="preserve">25</w:t>
      </w:r>
      <w:r>
        <w:rPr>
          <w:rFonts w:eastAsia="Calibri"/>
          <w:bCs/>
        </w:rPr>
        <w:t xml:space="preserve">, </w:t>
      </w:r>
      <w:r>
        <w:rPr>
          <w:rFonts w:eastAsia="Calibri"/>
          <w:bCs/>
        </w:rPr>
        <w:t xml:space="preserve">в связи с выявленной угрозой возникновения чрезвычайной ситуации, связанной со срывом подготовки к о</w:t>
      </w:r>
      <w:r>
        <w:rPr>
          <w:rFonts w:eastAsia="Calibri"/>
          <w:bCs/>
        </w:rPr>
        <w:t xml:space="preserve">т</w:t>
      </w:r>
      <w:r>
        <w:rPr>
          <w:rFonts w:eastAsia="Calibri"/>
          <w:bCs/>
        </w:rPr>
        <w:t xml:space="preserve">опительному сезону 2026/2027 годов в результате ненадлежащего технического состояния котельных и тепловых сетей, в целях обеспечения теплоснабжения потребителей в населенных пунктах Печенга, ж/д ст. Печенга и Спутник, во избежание социальной напряженности,</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936"/>
        <w:numPr>
          <w:ilvl w:val="0"/>
          <w:numId w:val="28"/>
        </w:numPr>
        <w:ind w:left="0" w:right="0" w:firstLine="709"/>
        <w:jc w:val="both"/>
        <w:widowControl/>
        <w:tabs>
          <w:tab w:val="left" w:pos="993" w:leader="none"/>
        </w:tabs>
        <w:rPr>
          <w:rFonts w:eastAsia="Calibri"/>
          <w:bCs/>
        </w:rPr>
      </w:pPr>
      <w:r>
        <w:rPr>
          <w:rFonts w:eastAsia="Calibri"/>
          <w:bCs/>
        </w:rPr>
        <w:t xml:space="preserve">Ввести</w:t>
      </w:r>
      <w:r>
        <w:rPr>
          <w:rFonts w:eastAsia="Calibri"/>
          <w:bCs/>
        </w:rPr>
        <w:t xml:space="preserve"> на территории пгт. Печенга, ж/д ст. Печенга и н.п. Спутник Печенгского муниципального округа с </w:t>
      </w:r>
      <w:r>
        <w:rPr>
          <w:rFonts w:eastAsia="Calibri"/>
          <w:bCs/>
        </w:rPr>
        <w:t xml:space="preserve">10.00</w:t>
      </w:r>
      <w:r>
        <w:rPr>
          <w:rFonts w:eastAsia="Calibri"/>
          <w:bCs/>
        </w:rPr>
        <w:t xml:space="preserve"> час. </w:t>
      </w:r>
      <w:r>
        <w:rPr>
          <w:rFonts w:eastAsia="Calibri"/>
          <w:bCs/>
        </w:rPr>
        <w:t xml:space="preserve">08</w:t>
      </w:r>
      <w:r>
        <w:rPr>
          <w:rFonts w:eastAsia="Calibri"/>
          <w:bCs/>
        </w:rPr>
        <w:t xml:space="preserve">.</w:t>
      </w:r>
      <w:r>
        <w:rPr>
          <w:rFonts w:eastAsia="Calibri"/>
          <w:bCs/>
        </w:rPr>
        <w:t xml:space="preserve">06</w:t>
      </w:r>
      <w:r>
        <w:rPr>
          <w:rFonts w:eastAsia="Calibri"/>
          <w:bCs/>
        </w:rPr>
        <w:t xml:space="preserve">.2026</w:t>
      </w:r>
      <w:r>
        <w:rPr>
          <w:rFonts w:eastAsia="Calibri"/>
          <w:bCs/>
        </w:rPr>
        <w:t xml:space="preserve"> до особого решения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936"/>
        <w:numPr>
          <w:ilvl w:val="0"/>
          <w:numId w:val="28"/>
        </w:numPr>
        <w:ind w:left="0" w:right="0" w:firstLine="709"/>
        <w:jc w:val="both"/>
        <w:widowControl/>
        <w:tabs>
          <w:tab w:val="left" w:pos="993" w:leader="none"/>
        </w:tabs>
        <w:rPr>
          <w:rFonts w:eastAsia="Calibri"/>
          <w:bCs/>
        </w:rPr>
      </w:pPr>
      <w:r>
        <w:rPr>
          <w:rFonts w:eastAsia="Calibri"/>
          <w:bCs/>
        </w:rPr>
        <w:t xml:space="preserve">О</w:t>
      </w:r>
      <w:r>
        <w:rPr>
          <w:rFonts w:eastAsia="Calibri"/>
          <w:bCs/>
        </w:rPr>
        <w:t xml:space="preserve">рганизовать выполнение компле</w:t>
      </w:r>
      <w:r>
        <w:rPr>
          <w:rFonts w:eastAsia="Calibri"/>
          <w:bCs/>
        </w:rPr>
        <w:t xml:space="preserve">кса мер </w:t>
      </w:r>
      <w:r>
        <w:rPr>
          <w:rFonts w:eastAsia="Calibri"/>
          <w:bCs/>
        </w:rPr>
        <w:t xml:space="preserve">по предотвращению угрозы возникновения чрезвычайной ситуации, обусловленной риском возникновения чрезвычайной ситуации, вызванной </w:t>
      </w:r>
      <w:r>
        <w:rPr>
          <w:rFonts w:eastAsia="Calibri"/>
          <w:bCs/>
        </w:rPr>
        <w:t xml:space="preserve">ненадлежащ</w:t>
      </w:r>
      <w:r>
        <w:rPr>
          <w:rFonts w:eastAsia="Calibri"/>
          <w:bCs/>
        </w:rPr>
        <w:t xml:space="preserve">им</w:t>
      </w:r>
      <w:r>
        <w:rPr>
          <w:rFonts w:eastAsia="Calibri"/>
          <w:bCs/>
        </w:rPr>
        <w:t xml:space="preserve"> техническ</w:t>
      </w:r>
      <w:r>
        <w:rPr>
          <w:rFonts w:eastAsia="Calibri"/>
          <w:bCs/>
        </w:rPr>
        <w:t xml:space="preserve">им</w:t>
      </w:r>
      <w:r>
        <w:rPr>
          <w:rFonts w:eastAsia="Calibri"/>
          <w:bCs/>
        </w:rPr>
        <w:t xml:space="preserve"> состояни</w:t>
      </w:r>
      <w:r>
        <w:rPr>
          <w:rFonts w:eastAsia="Calibri"/>
          <w:bCs/>
        </w:rPr>
        <w:t xml:space="preserve">ем</w:t>
      </w:r>
      <w:r>
        <w:rPr>
          <w:rFonts w:eastAsia="Calibri"/>
          <w:bCs/>
        </w:rPr>
        <w:t xml:space="preserve"> котельных и тепловых сетей</w:t>
      </w:r>
      <w:r>
        <w:rPr>
          <w:rFonts w:eastAsia="Calibri"/>
          <w:bCs/>
        </w:rPr>
        <w:t xml:space="preserve"> в период отопительного сезона </w:t>
      </w:r>
      <w:r>
        <w:rPr>
          <w:rFonts w:eastAsia="Calibri"/>
          <w:bCs/>
        </w:rPr>
        <w:t xml:space="preserve">2025 - 2026 гг</w:t>
      </w:r>
      <w:r>
        <w:rPr>
          <w:rFonts w:eastAsia="Calibri"/>
          <w:bCs/>
        </w:rPr>
        <w:t xml:space="preserve">.</w:t>
      </w:r>
      <w:r>
        <w:rPr>
          <w:rFonts w:eastAsia="Calibri"/>
          <w:bCs/>
        </w:rPr>
        <w:t xml:space="preserve">,</w:t>
      </w:r>
      <w:r>
        <w:rPr>
          <w:rFonts w:eastAsia="Calibri"/>
          <w:bCs/>
        </w:rPr>
        <w:t xml:space="preserve"> которые могут повлечь нарушение жизнедеятельности населения</w:t>
      </w:r>
      <w:r>
        <w:rPr>
          <w:rFonts w:eastAsia="Calibri"/>
          <w:bCs/>
        </w:rPr>
        <w:t xml:space="preserve">.</w:t>
      </w:r>
      <w:r>
        <w:rPr>
          <w:rFonts w:eastAsia="Calibri"/>
          <w:bCs/>
        </w:rPr>
      </w:r>
      <w:r>
        <w:rPr>
          <w:rFonts w:eastAsia="Calibri"/>
          <w:bCs/>
        </w:rPr>
      </w:r>
    </w:p>
    <w:p>
      <w:pPr>
        <w:pStyle w:val="936"/>
        <w:numPr>
          <w:ilvl w:val="0"/>
          <w:numId w:val="28"/>
        </w:numPr>
        <w:ind w:left="0" w:right="0" w:firstLine="709"/>
        <w:jc w:val="both"/>
        <w:widowControl/>
        <w:tabs>
          <w:tab w:val="left" w:pos="993" w:leader="none"/>
        </w:tabs>
        <w:rPr>
          <w:rFonts w:eastAsia="Calibri"/>
          <w:bCs/>
        </w:rPr>
      </w:pPr>
      <w:r>
        <w:rPr>
          <w:rFonts w:eastAsia="Calibri"/>
          <w:bCs/>
        </w:rPr>
        <w:t xml:space="preserve">МУП «Тепловые сети»</w:t>
      </w:r>
      <w:r>
        <w:rPr>
          <w:rFonts w:eastAsia="Calibri"/>
          <w:bCs/>
        </w:rPr>
        <w:t xml:space="preserve"> организовать работу по приведению работы котельных (№ 13/73, № 13/55, № 4/152, № 42/138) в штатный режим с выходом на нормативные параметры подачи </w:t>
      </w:r>
      <w:r>
        <w:rPr>
          <w:rFonts w:eastAsia="Calibri"/>
          <w:bCs/>
        </w:rPr>
        <w:t xml:space="preserve">теплоносителя</w:t>
      </w:r>
      <w:r>
        <w:rPr>
          <w:rFonts w:eastAsia="Calibri"/>
          <w:bCs/>
        </w:rPr>
        <w:t xml:space="preserve"> в многоквартирные дома и социальные объекты. </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w:t>
      </w:r>
      <w:r>
        <w:t xml:space="preserve"> В целях бесперебойного и надлежащего обеспечения теплоснабжением социально значимых объектов</w:t>
      </w:r>
      <w:r>
        <w:rPr>
          <w:rFonts w:eastAsia="Calibri"/>
        </w:rPr>
        <w:t xml:space="preserve"> </w:t>
      </w:r>
      <w:r>
        <w:rPr>
          <w:rFonts w:eastAsia="Calibri"/>
          <w:bCs/>
        </w:rPr>
        <w:t xml:space="preserve">и</w:t>
      </w:r>
      <w:r>
        <w:rPr>
          <w:rFonts w:eastAsia="Calibri"/>
          <w:bCs/>
        </w:rPr>
        <w:t xml:space="preserve"> выполнении необходимых мероприятий по надлежащей работе теплового оборудования и достижения нормативных параметров температуры теплоносителя на следующих объектах теплоснабжения: </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 пгт. Печенга, ул. Стадионная (котельная № 13/73), </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  пгт. Печенга, ул. Печенгское шоссе (котельная № 13/55); </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 ж/д ст. Печенга (котельная № 4/152);</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 н.</w:t>
      </w:r>
      <w:r>
        <w:rPr>
          <w:rFonts w:eastAsia="Calibri"/>
          <w:bCs/>
        </w:rPr>
        <w:t xml:space="preserve">п. Спутник (котельная № 42/138),</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заключить с МУП «Тепловые сети» соглашение о предоставлении субсидии на возмещение затрат, связанных с </w:t>
      </w:r>
      <w:r>
        <w:rPr>
          <w:rFonts w:eastAsia="Calibri"/>
          <w:bCs/>
        </w:rPr>
        <w:t xml:space="preserve">ремонтом и модернизацией </w:t>
      </w:r>
      <w:r>
        <w:rPr>
          <w:rFonts w:eastAsia="Calibri"/>
          <w:bCs/>
        </w:rPr>
        <w:t xml:space="preserve">котельных</w:t>
      </w:r>
      <w:r>
        <w:rPr>
          <w:rFonts w:eastAsia="Calibri"/>
          <w:bCs/>
        </w:rPr>
        <w:t xml:space="preserve"> и приобретение</w:t>
      </w:r>
      <w:r>
        <w:rPr>
          <w:rFonts w:eastAsia="Calibri"/>
          <w:bCs/>
        </w:rPr>
        <w:t xml:space="preserve">м</w:t>
      </w:r>
      <w:r>
        <w:rPr>
          <w:rFonts w:eastAsia="Calibri"/>
          <w:bCs/>
        </w:rPr>
        <w:t xml:space="preserve"> угля</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 </w:t>
      </w:r>
      <w:r>
        <w:rPr>
          <w:rFonts w:eastAsia="Calibri"/>
          <w:bCs/>
        </w:rPr>
        <w:t xml:space="preserve">МУП «Тепловые сети» (Пономарев А.Ю.)</w:t>
      </w:r>
      <w:r>
        <w:rPr>
          <w:rFonts w:eastAsia="Calibri"/>
          <w:bCs/>
        </w:rPr>
        <w:t xml:space="preserve"> </w:t>
      </w:r>
      <w:r>
        <w:rPr>
          <w:rFonts w:eastAsia="Calibri"/>
          <w:bCs/>
        </w:rPr>
        <w:t xml:space="preserve">во исполнение мероприятий</w:t>
      </w:r>
      <w:r>
        <w:rPr>
          <w:rFonts w:eastAsia="Calibri"/>
          <w:bCs/>
        </w:rPr>
        <w:t xml:space="preserve">,</w:t>
      </w:r>
      <w:r>
        <w:rPr>
          <w:rFonts w:eastAsia="Calibri"/>
          <w:bCs/>
        </w:rPr>
        <w:t xml:space="preserve"> указанных в пунктах 3,</w:t>
      </w:r>
      <w:r>
        <w:rPr>
          <w:rFonts w:eastAsia="Calibri"/>
          <w:bCs/>
        </w:rPr>
        <w:t xml:space="preserve"> </w:t>
      </w:r>
      <w:r>
        <w:rPr>
          <w:rFonts w:eastAsia="Calibri"/>
          <w:bCs/>
        </w:rPr>
        <w:t xml:space="preserve">4 настоящего постановления </w:t>
      </w:r>
      <w:r>
        <w:rPr>
          <w:rFonts w:eastAsia="Calibri"/>
          <w:bCs/>
        </w:rPr>
        <w:t xml:space="preserve">заключ</w:t>
      </w:r>
      <w:r>
        <w:rPr>
          <w:rFonts w:eastAsia="Calibri"/>
          <w:bCs/>
        </w:rPr>
        <w:t xml:space="preserve">ить</w:t>
      </w:r>
      <w:r>
        <w:rPr>
          <w:rFonts w:eastAsia="Calibri"/>
          <w:bCs/>
        </w:rPr>
        <w:t xml:space="preserve"> прямы</w:t>
      </w:r>
      <w:r>
        <w:rPr>
          <w:rFonts w:eastAsia="Calibri"/>
          <w:bCs/>
        </w:rPr>
        <w:t xml:space="preserve">е</w:t>
      </w:r>
      <w:r>
        <w:rPr>
          <w:rFonts w:eastAsia="Calibri"/>
          <w:bCs/>
        </w:rPr>
        <w:t xml:space="preserve"> договор</w:t>
      </w:r>
      <w:r>
        <w:rPr>
          <w:rFonts w:eastAsia="Calibri"/>
          <w:bCs/>
        </w:rPr>
        <w:t xml:space="preserve">ы</w:t>
      </w:r>
      <w:r>
        <w:rPr>
          <w:rFonts w:eastAsia="Calibri"/>
          <w:bCs/>
        </w:rPr>
        <w:t xml:space="preserve"> с подрядчиками (поставщиками)</w:t>
      </w:r>
      <w:r>
        <w:rPr>
          <w:rFonts w:eastAsia="Calibri"/>
          <w:bCs/>
        </w:rPr>
        <w:t xml:space="preserve"> (без проведения конкурентных процедур во избежание срыва сроков запуска оборудования д</w:t>
      </w:r>
      <w:r>
        <w:rPr>
          <w:rFonts w:eastAsia="Calibri"/>
          <w:bCs/>
        </w:rPr>
        <w:t xml:space="preserve">ля начала отопительного сезона). </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w:t>
      </w:r>
      <w:r>
        <w:rPr>
          <w:rFonts w:eastAsia="Calibri"/>
          <w:bCs/>
        </w:rPr>
        <w:t xml:space="preserve">МУП «Тепловые сети» (Пономарев А.Ю.) произвести работы по </w:t>
      </w:r>
      <w:r>
        <w:rPr>
          <w:rFonts w:eastAsia="Calibri"/>
          <w:bCs/>
        </w:rPr>
        <w:t xml:space="preserve">ремонту и модернизации</w:t>
      </w:r>
      <w:r>
        <w:rPr>
          <w:rFonts w:eastAsia="Calibri"/>
          <w:bCs/>
        </w:rPr>
        <w:t xml:space="preserve"> котельных до начала отопительного сезона 2026 - 2027 годов</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Признать утратившим</w:t>
      </w:r>
      <w:r>
        <w:rPr>
          <w:rFonts w:eastAsia="Calibri"/>
          <w:bCs/>
        </w:rPr>
        <w:t xml:space="preserve"> силу постановлени</w:t>
      </w:r>
      <w:r>
        <w:rPr>
          <w:rFonts w:eastAsia="Calibri"/>
          <w:bCs/>
        </w:rPr>
        <w:t xml:space="preserve">е</w:t>
      </w:r>
      <w:r>
        <w:rPr>
          <w:rFonts w:eastAsia="Calibri"/>
          <w:bCs/>
        </w:rPr>
        <w:t xml:space="preserve"> администрации Печенгского муниципального округа</w:t>
      </w:r>
      <w:r>
        <w:rPr>
          <w:rFonts w:eastAsia="Calibri"/>
          <w:bCs/>
        </w:rPr>
        <w:t xml:space="preserve"> от 03.01.2026 № 1 «</w:t>
      </w:r>
      <w:r>
        <w:rPr>
          <w:rFonts w:eastAsia="Calibri"/>
          <w:bCs/>
        </w:rPr>
        <w:t xml:space="preserve">О введении режима функционирования повышенной готовнос</w:t>
      </w:r>
      <w:r>
        <w:rPr>
          <w:rFonts w:eastAsia="Calibri"/>
          <w:bCs/>
        </w:rPr>
        <w:t xml:space="preserve">ти для органов управления, сил </w:t>
      </w:r>
      <w:r>
        <w:rPr>
          <w:rFonts w:eastAsia="Calibri"/>
          <w:bCs/>
        </w:rPr>
        <w:t xml:space="preserve">и средств Печенгского звена единой государственной системы предупреждения и ликвидации чрезвычайных ситуаций на территории пгт. Печенга, ж/д ст. Печенга и н.п. Спутник</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lang w:eastAsia="ar-SA"/>
        </w:rPr>
        <w:t xml:space="preserve">8</w:t>
      </w:r>
      <w:r>
        <w:rPr>
          <w:rFonts w:eastAsia="Calibri"/>
          <w:lang w:eastAsia="ar-SA"/>
        </w:rPr>
        <w:t xml:space="preserve">. Настоящее постановление вступает в силу после его подписания.</w:t>
      </w:r>
      <w:r>
        <w:rPr>
          <w:rFonts w:eastAsia="Calibri"/>
          <w:bCs/>
        </w:rPr>
      </w:r>
      <w:r>
        <w:rPr>
          <w:rFonts w:eastAsia="Calibri"/>
          <w:bCs/>
        </w:rPr>
      </w:r>
    </w:p>
    <w:p>
      <w:pPr>
        <w:ind w:firstLine="709"/>
        <w:jc w:val="both"/>
        <w:widowControl/>
        <w:tabs>
          <w:tab w:val="left" w:pos="1080" w:leader="none"/>
        </w:tabs>
        <w:rPr>
          <w:bCs/>
          <w:iCs/>
        </w:rPr>
      </w:pPr>
      <w:r>
        <w:rPr>
          <w:rFonts w:eastAsia="Calibri"/>
          <w:lang w:eastAsia="ar-SA"/>
        </w:rPr>
        <w:t xml:space="preserve">9</w:t>
      </w:r>
      <w:r>
        <w:rPr>
          <w:rFonts w:eastAsia="Calibri"/>
          <w:lang w:eastAsia="ar-SA"/>
        </w:rPr>
        <w:t xml:space="preserve">. Настоящее постановление разместить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52"/>
        <w:ind w:firstLine="720"/>
        <w:jc w:val="both"/>
        <w:rPr>
          <w:b w:val="0"/>
          <w:bCs w:val="0"/>
          <w:sz w:val="24"/>
          <w:szCs w:val="24"/>
        </w:rPr>
      </w:pPr>
      <w:r>
        <w:rPr>
          <w:b w:val="0"/>
          <w:sz w:val="24"/>
          <w:szCs w:val="24"/>
        </w:rPr>
        <w:t xml:space="preserve">10</w:t>
      </w:r>
      <w:r>
        <w:rPr>
          <w:b w:val="0"/>
          <w:sz w:val="24"/>
          <w:szCs w:val="24"/>
        </w:rPr>
        <w:t xml:space="preserve">. </w:t>
      </w:r>
      <w:r>
        <w:rPr>
          <w:rFonts w:eastAsia="Times New Roman"/>
          <w:b w:val="0"/>
          <w:sz w:val="24"/>
          <w:szCs w:val="24"/>
        </w:rPr>
        <w:t xml:space="preserve">Контроль за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pPr>
        <w:rPr>
          <w:sz w:val="20"/>
          <w:szCs w:val="20"/>
        </w:rPr>
      </w:pPr>
      <w:r>
        <w:t xml:space="preserve">Глава Печенгского муниципаль</w:t>
      </w:r>
      <w:r>
        <w:t xml:space="preserve">ного округа                                                   </w:t>
      </w:r>
      <w:r>
        <w:t xml:space="preserve">      </w:t>
      </w:r>
      <w:r>
        <w:t xml:space="preserve">А.С. Пеньшин</w:t>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Самойлов С.А., 62479, ЮрО</w:t>
      </w:r>
      <w:r>
        <w:rPr>
          <w:sz w:val="20"/>
          <w:szCs w:val="20"/>
          <w:highlight w:val="none"/>
        </w:rPr>
      </w:r>
      <w:r>
        <w:rPr>
          <w:sz w:val="20"/>
          <w:szCs w:val="20"/>
          <w:highlight w:val="none"/>
        </w:rPr>
      </w:r>
      <w:r>
        <w:rPr>
          <w:sz w:val="20"/>
          <w:szCs w:val="20"/>
        </w:rPr>
      </w:r>
      <w:r>
        <w:rPr>
          <w:sz w:val="20"/>
          <w:szCs w:val="20"/>
        </w:rPr>
      </w:r>
      <w:r>
        <w:rPr>
          <w:sz w:val="20"/>
          <w:szCs w:val="20"/>
        </w:rPr>
      </w:r>
      <w:r>
        <w:rPr>
          <w:sz w:val="20"/>
          <w:szCs w:val="20"/>
          <w:highlight w:val="none"/>
        </w:rPr>
      </w:r>
    </w:p>
    <w:sectPr>
      <w:footnotePr/>
      <w:endnotePr/>
      <w:type w:val="nextPage"/>
      <w:pgSz w:w="11906" w:h="16838" w:orient="portrait"/>
      <w:pgMar w:top="567" w:right="850" w:bottom="397"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7">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2">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871" w:hanging="10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14">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6">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17">
    <w:multiLevelType w:val="hybridMultilevel"/>
    <w:lvl w:ilvl="0">
      <w:start w:val="1"/>
      <w:numFmt w:val="decimal"/>
      <w:isLgl w:val="false"/>
      <w:suff w:val="space"/>
      <w:lvlText w:val="%1."/>
      <w:lvlJc w:val="left"/>
      <w:pPr>
        <w:ind w:left="1740" w:hanging="102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18">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23">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4">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7">
    <w:multiLevelType w:val="hybridMultilevel"/>
    <w:lvl w:ilvl="0">
      <w:start w:val="1"/>
      <w:numFmt w:val="decimal"/>
      <w:isLgl w:val="false"/>
      <w:suff w:val="tab"/>
      <w:lvlText w:val="%1."/>
      <w:lvlJc w:val="left"/>
      <w:pPr>
        <w:ind w:left="644" w:hanging="360"/>
      </w:pPr>
      <w:rPr>
        <w:b/>
        <w:sz w:val="20"/>
        <w:szCs w:val="20"/>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28">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num w:numId="1">
    <w:abstractNumId w:val="9"/>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4"/>
  </w:num>
  <w:num w:numId="3">
    <w:abstractNumId w:val="1"/>
  </w:num>
  <w:num w:numId="4">
    <w:abstractNumId w:val="5"/>
  </w:num>
  <w:num w:numId="5">
    <w:abstractNumId w:val="4"/>
  </w:num>
  <w:num w:numId="6">
    <w:abstractNumId w:val="0"/>
  </w:num>
  <w:num w:numId="7">
    <w:abstractNumId w:val="11"/>
  </w:num>
  <w:num w:numId="8">
    <w:abstractNumId w:val="6"/>
  </w:num>
  <w:num w:numId="9">
    <w:abstractNumId w:val="22"/>
  </w:num>
  <w:num w:numId="10">
    <w:abstractNumId w:val="26"/>
  </w:num>
  <w:num w:numId="11">
    <w:abstractNumId w:val="23"/>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1"/>
  </w:num>
  <w:num w:numId="15">
    <w:abstractNumId w:val="24"/>
  </w:num>
  <w:num w:numId="16">
    <w:abstractNumId w:val="7"/>
  </w:num>
  <w:num w:numId="17">
    <w:abstractNumId w:val="10"/>
  </w:num>
  <w:num w:numId="18">
    <w:abstractNumId w:val="25"/>
  </w:num>
  <w:num w:numId="19">
    <w:abstractNumId w:val="12"/>
  </w:num>
  <w:num w:numId="20">
    <w:abstractNumId w:val="8"/>
  </w:num>
  <w:num w:numId="21">
    <w:abstractNumId w:val="2"/>
  </w:num>
  <w:num w:numId="22">
    <w:abstractNumId w:val="20"/>
  </w:num>
  <w:num w:numId="23">
    <w:abstractNumId w:val="15"/>
  </w:num>
  <w:num w:numId="24">
    <w:abstractNumId w:val="19"/>
  </w:num>
  <w:num w:numId="25">
    <w:abstractNumId w:val="28"/>
  </w:num>
  <w:num w:numId="26">
    <w:abstractNumId w:val="18"/>
  </w:num>
  <w:num w:numId="27">
    <w:abstractNumId w:val="16"/>
  </w:num>
  <w:num w:numId="28">
    <w:abstractNumId w:val="17"/>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1 Char"/>
    <w:basedOn w:val="759"/>
    <w:link w:val="750"/>
    <w:uiPriority w:val="9"/>
    <w:rPr>
      <w:rFonts w:ascii="Arial" w:hAnsi="Arial" w:eastAsia="Arial" w:cs="Arial"/>
      <w:sz w:val="40"/>
      <w:szCs w:val="40"/>
    </w:rPr>
  </w:style>
  <w:style w:type="character" w:styleId="714">
    <w:name w:val="Heading 2 Char"/>
    <w:basedOn w:val="759"/>
    <w:link w:val="751"/>
    <w:uiPriority w:val="9"/>
    <w:rPr>
      <w:rFonts w:ascii="Arial" w:hAnsi="Arial" w:eastAsia="Arial" w:cs="Arial"/>
      <w:sz w:val="34"/>
    </w:rPr>
  </w:style>
  <w:style w:type="character" w:styleId="715">
    <w:name w:val="Heading 3 Char"/>
    <w:basedOn w:val="759"/>
    <w:link w:val="752"/>
    <w:uiPriority w:val="9"/>
    <w:rPr>
      <w:rFonts w:ascii="Arial" w:hAnsi="Arial" w:eastAsia="Arial" w:cs="Arial"/>
      <w:sz w:val="30"/>
      <w:szCs w:val="30"/>
    </w:rPr>
  </w:style>
  <w:style w:type="character" w:styleId="716">
    <w:name w:val="Heading 4 Char"/>
    <w:basedOn w:val="759"/>
    <w:link w:val="753"/>
    <w:uiPriority w:val="9"/>
    <w:rPr>
      <w:rFonts w:ascii="Arial" w:hAnsi="Arial" w:eastAsia="Arial" w:cs="Arial"/>
      <w:b/>
      <w:bCs/>
      <w:sz w:val="26"/>
      <w:szCs w:val="26"/>
    </w:rPr>
  </w:style>
  <w:style w:type="character" w:styleId="717">
    <w:name w:val="Heading 5 Char"/>
    <w:basedOn w:val="759"/>
    <w:link w:val="754"/>
    <w:uiPriority w:val="9"/>
    <w:rPr>
      <w:rFonts w:ascii="Arial" w:hAnsi="Arial" w:eastAsia="Arial" w:cs="Arial"/>
      <w:b/>
      <w:bCs/>
      <w:sz w:val="24"/>
      <w:szCs w:val="24"/>
    </w:rPr>
  </w:style>
  <w:style w:type="character" w:styleId="718">
    <w:name w:val="Heading 6 Char"/>
    <w:basedOn w:val="759"/>
    <w:link w:val="755"/>
    <w:uiPriority w:val="9"/>
    <w:rPr>
      <w:rFonts w:ascii="Arial" w:hAnsi="Arial" w:eastAsia="Arial" w:cs="Arial"/>
      <w:b/>
      <w:bCs/>
      <w:sz w:val="22"/>
      <w:szCs w:val="22"/>
    </w:rPr>
  </w:style>
  <w:style w:type="character" w:styleId="719">
    <w:name w:val="Heading 7 Char"/>
    <w:basedOn w:val="759"/>
    <w:link w:val="756"/>
    <w:uiPriority w:val="9"/>
    <w:rPr>
      <w:rFonts w:ascii="Arial" w:hAnsi="Arial" w:eastAsia="Arial" w:cs="Arial"/>
      <w:b/>
      <w:bCs/>
      <w:i/>
      <w:iCs/>
      <w:sz w:val="22"/>
      <w:szCs w:val="22"/>
    </w:rPr>
  </w:style>
  <w:style w:type="character" w:styleId="720">
    <w:name w:val="Heading 8 Char"/>
    <w:basedOn w:val="759"/>
    <w:link w:val="757"/>
    <w:uiPriority w:val="9"/>
    <w:rPr>
      <w:rFonts w:ascii="Arial" w:hAnsi="Arial" w:eastAsia="Arial" w:cs="Arial"/>
      <w:i/>
      <w:iCs/>
      <w:sz w:val="22"/>
      <w:szCs w:val="22"/>
    </w:rPr>
  </w:style>
  <w:style w:type="character" w:styleId="721">
    <w:name w:val="Heading 9 Char"/>
    <w:basedOn w:val="759"/>
    <w:link w:val="758"/>
    <w:uiPriority w:val="9"/>
    <w:rPr>
      <w:rFonts w:ascii="Arial" w:hAnsi="Arial" w:eastAsia="Arial" w:cs="Arial"/>
      <w:i/>
      <w:iCs/>
      <w:sz w:val="21"/>
      <w:szCs w:val="21"/>
    </w:rPr>
  </w:style>
  <w:style w:type="character" w:styleId="722">
    <w:name w:val="Title Char"/>
    <w:basedOn w:val="759"/>
    <w:link w:val="772"/>
    <w:uiPriority w:val="10"/>
    <w:rPr>
      <w:sz w:val="48"/>
      <w:szCs w:val="48"/>
    </w:rPr>
  </w:style>
  <w:style w:type="character" w:styleId="723">
    <w:name w:val="Subtitle Char"/>
    <w:basedOn w:val="759"/>
    <w:link w:val="774"/>
    <w:uiPriority w:val="11"/>
    <w:rPr>
      <w:sz w:val="24"/>
      <w:szCs w:val="24"/>
    </w:rPr>
  </w:style>
  <w:style w:type="character" w:styleId="724">
    <w:name w:val="Quote Char"/>
    <w:link w:val="776"/>
    <w:uiPriority w:val="29"/>
    <w:rPr>
      <w:i/>
    </w:rPr>
  </w:style>
  <w:style w:type="character" w:styleId="725">
    <w:name w:val="Intense Quote Char"/>
    <w:link w:val="778"/>
    <w:uiPriority w:val="30"/>
    <w:rPr>
      <w:i/>
    </w:rPr>
  </w:style>
  <w:style w:type="character" w:styleId="726">
    <w:name w:val="Header Char"/>
    <w:basedOn w:val="759"/>
    <w:link w:val="943"/>
    <w:uiPriority w:val="99"/>
  </w:style>
  <w:style w:type="character" w:styleId="727">
    <w:name w:val="Caption Char"/>
    <w:basedOn w:val="940"/>
    <w:link w:val="781"/>
    <w:uiPriority w:val="99"/>
  </w:style>
  <w:style w:type="table" w:styleId="728">
    <w:name w:val="Plain Table 1"/>
    <w:basedOn w:val="7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7">
    <w:name w:val="Footnote Text Char"/>
    <w:link w:val="909"/>
    <w:uiPriority w:val="99"/>
    <w:rPr>
      <w:sz w:val="18"/>
    </w:rPr>
  </w:style>
  <w:style w:type="character" w:styleId="748">
    <w:name w:val="Endnote Text Char"/>
    <w:link w:val="912"/>
    <w:uiPriority w:val="99"/>
    <w:rPr>
      <w:sz w:val="20"/>
    </w:rPr>
  </w:style>
  <w:style w:type="paragraph" w:styleId="749" w:default="1">
    <w:name w:val="Normal"/>
    <w:qFormat/>
    <w:pPr>
      <w:widowControl w:val="off"/>
    </w:pPr>
    <w:rPr>
      <w:rFonts w:ascii="Times New Roman" w:hAnsi="Times New Roman" w:eastAsia="Times New Roman"/>
      <w:sz w:val="24"/>
      <w:szCs w:val="24"/>
    </w:rPr>
  </w:style>
  <w:style w:type="paragraph" w:styleId="750">
    <w:name w:val="Heading 1"/>
    <w:basedOn w:val="749"/>
    <w:next w:val="749"/>
    <w:link w:val="762"/>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link w:val="763"/>
    <w:qFormat/>
    <w:pPr>
      <w:jc w:val="center"/>
      <w:keepNext/>
      <w:widowControl/>
      <w:outlineLvl w:val="1"/>
    </w:pPr>
    <w:rPr>
      <w:b/>
      <w:sz w:val="44"/>
    </w:rPr>
  </w:style>
  <w:style w:type="paragraph" w:styleId="752">
    <w:name w:val="Heading 3"/>
    <w:basedOn w:val="749"/>
    <w:next w:val="749"/>
    <w:link w:val="764"/>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765"/>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766"/>
    <w:uiPriority w:val="9"/>
    <w:unhideWhenUsed/>
    <w:qFormat/>
    <w:pPr>
      <w:keepLines/>
      <w:keepNext/>
      <w:spacing w:before="320" w:after="200"/>
      <w:outlineLvl w:val="4"/>
    </w:pPr>
    <w:rPr>
      <w:rFonts w:ascii="Arial" w:hAnsi="Arial" w:eastAsia="Arial" w:cs="Arial"/>
      <w:b/>
      <w:bCs/>
    </w:rPr>
  </w:style>
  <w:style w:type="paragraph" w:styleId="755">
    <w:name w:val="Heading 6"/>
    <w:basedOn w:val="749"/>
    <w:next w:val="749"/>
    <w:link w:val="767"/>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769"/>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770"/>
    <w:uiPriority w:val="9"/>
    <w:unhideWhenUsed/>
    <w:qFormat/>
    <w:pPr>
      <w:keepLines/>
      <w:keepNext/>
      <w:spacing w:before="320" w:after="200"/>
      <w:outlineLvl w:val="8"/>
    </w:pPr>
    <w:rPr>
      <w:rFonts w:ascii="Arial" w:hAnsi="Arial" w:eastAsia="Arial" w:cs="Arial"/>
      <w:i/>
      <w:iCs/>
      <w:sz w:val="21"/>
      <w:szCs w:val="21"/>
    </w:rPr>
  </w:style>
  <w:style w:type="character" w:styleId="759" w:default="1">
    <w:name w:val="Default Paragraph Font"/>
    <w:uiPriority w:val="1"/>
    <w:semiHidden/>
    <w:unhideWhenUsed/>
  </w:style>
  <w:style w:type="table" w:styleId="760" w:default="1">
    <w:name w:val="Normal Table"/>
    <w:uiPriority w:val="99"/>
    <w:semiHidden/>
    <w:unhideWhenUsed/>
    <w:tblPr>
      <w:tblInd w:w="0" w:type="dxa"/>
      <w:tblCellMar>
        <w:left w:w="108" w:type="dxa"/>
        <w:top w:w="0" w:type="dxa"/>
        <w:right w:w="108" w:type="dxa"/>
        <w:bottom w:w="0" w:type="dxa"/>
      </w:tblCellMar>
    </w:tblPr>
  </w:style>
  <w:style w:type="numbering" w:styleId="761" w:default="1">
    <w:name w:val="No List"/>
    <w:uiPriority w:val="99"/>
    <w:semiHidden/>
    <w:unhideWhenUsed/>
  </w:style>
  <w:style w:type="character" w:styleId="762" w:customStyle="1">
    <w:name w:val="Заголовок 1 Знак"/>
    <w:basedOn w:val="759"/>
    <w:link w:val="750"/>
    <w:uiPriority w:val="9"/>
    <w:rPr>
      <w:rFonts w:ascii="Arial" w:hAnsi="Arial" w:eastAsia="Arial" w:cs="Arial"/>
      <w:sz w:val="40"/>
      <w:szCs w:val="40"/>
    </w:rPr>
  </w:style>
  <w:style w:type="character" w:styleId="763" w:customStyle="1">
    <w:name w:val="Заголовок 2 Знак"/>
    <w:basedOn w:val="759"/>
    <w:link w:val="751"/>
    <w:uiPriority w:val="9"/>
    <w:rPr>
      <w:rFonts w:ascii="Arial" w:hAnsi="Arial" w:eastAsia="Arial" w:cs="Arial"/>
      <w:sz w:val="34"/>
    </w:rPr>
  </w:style>
  <w:style w:type="character" w:styleId="764" w:customStyle="1">
    <w:name w:val="Заголовок 3 Знак"/>
    <w:basedOn w:val="759"/>
    <w:link w:val="752"/>
    <w:uiPriority w:val="9"/>
    <w:rPr>
      <w:rFonts w:ascii="Arial" w:hAnsi="Arial" w:eastAsia="Arial" w:cs="Arial"/>
      <w:sz w:val="30"/>
      <w:szCs w:val="30"/>
    </w:rPr>
  </w:style>
  <w:style w:type="character" w:styleId="765" w:customStyle="1">
    <w:name w:val="Заголовок 4 Знак"/>
    <w:basedOn w:val="759"/>
    <w:link w:val="753"/>
    <w:uiPriority w:val="9"/>
    <w:rPr>
      <w:rFonts w:ascii="Arial" w:hAnsi="Arial" w:eastAsia="Arial" w:cs="Arial"/>
      <w:b/>
      <w:bCs/>
      <w:sz w:val="26"/>
      <w:szCs w:val="26"/>
    </w:rPr>
  </w:style>
  <w:style w:type="character" w:styleId="766" w:customStyle="1">
    <w:name w:val="Заголовок 5 Знак"/>
    <w:basedOn w:val="759"/>
    <w:link w:val="754"/>
    <w:uiPriority w:val="9"/>
    <w:rPr>
      <w:rFonts w:ascii="Arial" w:hAnsi="Arial" w:eastAsia="Arial" w:cs="Arial"/>
      <w:b/>
      <w:bCs/>
      <w:sz w:val="24"/>
      <w:szCs w:val="24"/>
    </w:rPr>
  </w:style>
  <w:style w:type="character" w:styleId="767" w:customStyle="1">
    <w:name w:val="Заголовок 6 Знак"/>
    <w:basedOn w:val="759"/>
    <w:link w:val="755"/>
    <w:uiPriority w:val="9"/>
    <w:rPr>
      <w:rFonts w:ascii="Arial" w:hAnsi="Arial" w:eastAsia="Arial" w:cs="Arial"/>
      <w:b/>
      <w:bCs/>
      <w:sz w:val="22"/>
      <w:szCs w:val="22"/>
    </w:rPr>
  </w:style>
  <w:style w:type="character" w:styleId="768" w:customStyle="1">
    <w:name w:val="Заголовок 7 Знак"/>
    <w:basedOn w:val="759"/>
    <w:link w:val="756"/>
    <w:uiPriority w:val="9"/>
    <w:rPr>
      <w:rFonts w:ascii="Arial" w:hAnsi="Arial" w:eastAsia="Arial" w:cs="Arial"/>
      <w:b/>
      <w:bCs/>
      <w:i/>
      <w:iCs/>
      <w:sz w:val="22"/>
      <w:szCs w:val="22"/>
    </w:rPr>
  </w:style>
  <w:style w:type="character" w:styleId="769" w:customStyle="1">
    <w:name w:val="Заголовок 8 Знак"/>
    <w:basedOn w:val="759"/>
    <w:link w:val="757"/>
    <w:uiPriority w:val="9"/>
    <w:rPr>
      <w:rFonts w:ascii="Arial" w:hAnsi="Arial" w:eastAsia="Arial" w:cs="Arial"/>
      <w:i/>
      <w:iCs/>
      <w:sz w:val="22"/>
      <w:szCs w:val="22"/>
    </w:rPr>
  </w:style>
  <w:style w:type="character" w:styleId="770" w:customStyle="1">
    <w:name w:val="Заголовок 9 Знак"/>
    <w:basedOn w:val="759"/>
    <w:link w:val="758"/>
    <w:uiPriority w:val="9"/>
    <w:rPr>
      <w:rFonts w:ascii="Arial" w:hAnsi="Arial" w:eastAsia="Arial" w:cs="Arial"/>
      <w:i/>
      <w:iCs/>
      <w:sz w:val="21"/>
      <w:szCs w:val="21"/>
    </w:rPr>
  </w:style>
  <w:style w:type="paragraph" w:styleId="771">
    <w:name w:val="No Spacing"/>
    <w:uiPriority w:val="1"/>
    <w:qFormat/>
  </w:style>
  <w:style w:type="paragraph" w:styleId="772">
    <w:name w:val="Title"/>
    <w:basedOn w:val="749"/>
    <w:next w:val="749"/>
    <w:link w:val="773"/>
    <w:uiPriority w:val="10"/>
    <w:qFormat/>
    <w:pPr>
      <w:contextualSpacing/>
      <w:spacing w:before="300" w:after="200"/>
    </w:pPr>
    <w:rPr>
      <w:sz w:val="48"/>
      <w:szCs w:val="48"/>
    </w:rPr>
  </w:style>
  <w:style w:type="character" w:styleId="773" w:customStyle="1">
    <w:name w:val="Заголовок Знак"/>
    <w:basedOn w:val="759"/>
    <w:link w:val="772"/>
    <w:uiPriority w:val="10"/>
    <w:rPr>
      <w:sz w:val="48"/>
      <w:szCs w:val="48"/>
    </w:rPr>
  </w:style>
  <w:style w:type="paragraph" w:styleId="774">
    <w:name w:val="Subtitle"/>
    <w:basedOn w:val="749"/>
    <w:next w:val="749"/>
    <w:link w:val="775"/>
    <w:uiPriority w:val="11"/>
    <w:qFormat/>
    <w:pPr>
      <w:spacing w:before="200" w:after="200"/>
    </w:pPr>
  </w:style>
  <w:style w:type="character" w:styleId="775" w:customStyle="1">
    <w:name w:val="Подзаголовок Знак"/>
    <w:basedOn w:val="759"/>
    <w:link w:val="774"/>
    <w:uiPriority w:val="11"/>
    <w:rPr>
      <w:sz w:val="24"/>
      <w:szCs w:val="24"/>
    </w:rPr>
  </w:style>
  <w:style w:type="paragraph" w:styleId="776">
    <w:name w:val="Quote"/>
    <w:basedOn w:val="749"/>
    <w:next w:val="749"/>
    <w:link w:val="777"/>
    <w:uiPriority w:val="29"/>
    <w:qFormat/>
    <w:pPr>
      <w:ind w:left="720" w:right="720"/>
    </w:pPr>
    <w:rPr>
      <w:i/>
    </w:rPr>
  </w:style>
  <w:style w:type="character" w:styleId="777" w:customStyle="1">
    <w:name w:val="Цитата 2 Знак"/>
    <w:link w:val="776"/>
    <w:uiPriority w:val="29"/>
    <w:rPr>
      <w:i/>
    </w:rPr>
  </w:style>
  <w:style w:type="paragraph" w:styleId="778">
    <w:name w:val="Intense Quote"/>
    <w:basedOn w:val="749"/>
    <w:next w:val="749"/>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Выделенная цитата Знак"/>
    <w:link w:val="778"/>
    <w:uiPriority w:val="30"/>
    <w:rPr>
      <w:i/>
    </w:rPr>
  </w:style>
  <w:style w:type="character" w:styleId="780" w:customStyle="1">
    <w:name w:val="Верхний колонтитул Знак"/>
    <w:basedOn w:val="759"/>
    <w:link w:val="943"/>
    <w:uiPriority w:val="99"/>
  </w:style>
  <w:style w:type="paragraph" w:styleId="781">
    <w:name w:val="Footer"/>
    <w:basedOn w:val="749"/>
    <w:link w:val="783"/>
    <w:uiPriority w:val="99"/>
    <w:unhideWhenUsed/>
    <w:pPr>
      <w:tabs>
        <w:tab w:val="center" w:pos="7143" w:leader="none"/>
        <w:tab w:val="right" w:pos="14287" w:leader="none"/>
      </w:tabs>
    </w:pPr>
  </w:style>
  <w:style w:type="character" w:styleId="782" w:customStyle="1">
    <w:name w:val="Footer Char"/>
    <w:basedOn w:val="759"/>
    <w:uiPriority w:val="99"/>
  </w:style>
  <w:style w:type="character" w:styleId="783" w:customStyle="1">
    <w:name w:val="Нижний колонтитул Знак"/>
    <w:link w:val="781"/>
    <w:uiPriority w:val="99"/>
  </w:style>
  <w:style w:type="table" w:styleId="784" w:customStyle="1">
    <w:name w:val="Table Grid Light"/>
    <w:basedOn w:val="76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5" w:customStyle="1">
    <w:name w:val="Таблица простая 11"/>
    <w:basedOn w:val="76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Таблица простая 21"/>
    <w:basedOn w:val="76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Таблица простая 31"/>
    <w:basedOn w:val="76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Таблица простая 41"/>
    <w:basedOn w:val="76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Таблица простая 51"/>
    <w:basedOn w:val="76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Таблица-сетка 1 светлая1"/>
    <w:basedOn w:val="76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6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6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6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6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6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6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Таблица-сетка 21"/>
    <w:basedOn w:val="76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6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6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6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6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6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6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Таблица-сетка 31"/>
    <w:basedOn w:val="76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6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6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6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6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6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6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Таблица-сетка 41"/>
    <w:basedOn w:val="76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60"/>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3" w:customStyle="1">
    <w:name w:val="Grid Table 4 - Accent 2"/>
    <w:basedOn w:val="760"/>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4" w:customStyle="1">
    <w:name w:val="Grid Table 4 - Accent 3"/>
    <w:basedOn w:val="760"/>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5" w:customStyle="1">
    <w:name w:val="Grid Table 4 - Accent 4"/>
    <w:basedOn w:val="760"/>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basedOn w:val="760"/>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basedOn w:val="760"/>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Таблица-сетка 5 темная1"/>
    <w:basedOn w:val="76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6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basedOn w:val="76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basedOn w:val="76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basedOn w:val="76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basedOn w:val="76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basedOn w:val="76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Таблица-сетка 6 цветная1"/>
    <w:basedOn w:val="76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6" w:customStyle="1">
    <w:name w:val="Grid Table 6 Colorful - Accent 1"/>
    <w:basedOn w:val="760"/>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7" w:customStyle="1">
    <w:name w:val="Grid Table 6 Colorful - Accent 2"/>
    <w:basedOn w:val="76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8" w:customStyle="1">
    <w:name w:val="Grid Table 6 Colorful - Accent 3"/>
    <w:basedOn w:val="760"/>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9" w:customStyle="1">
    <w:name w:val="Grid Table 6 Colorful - Accent 4"/>
    <w:basedOn w:val="76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0" w:customStyle="1">
    <w:name w:val="Grid Table 6 Colorful - Accent 5"/>
    <w:basedOn w:val="760"/>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6 Colorful - Accent 6"/>
    <w:basedOn w:val="760"/>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customStyle="1">
    <w:name w:val="Таблица-сетка 7 цветная1"/>
    <w:basedOn w:val="76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60"/>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60"/>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60"/>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60"/>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60"/>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60"/>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Список-таблица 1 светлая1"/>
    <w:basedOn w:val="76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60"/>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60"/>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60"/>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60"/>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60"/>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60"/>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Список-таблица 21"/>
    <w:basedOn w:val="76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7" w:customStyle="1">
    <w:name w:val="List Table 2 - Accent 1"/>
    <w:basedOn w:val="760"/>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basedOn w:val="760"/>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9" w:customStyle="1">
    <w:name w:val="List Table 2 - Accent 3"/>
    <w:basedOn w:val="760"/>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basedOn w:val="760"/>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basedOn w:val="760"/>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basedOn w:val="760"/>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Список-таблица 31"/>
    <w:basedOn w:val="76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60"/>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basedOn w:val="76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60"/>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6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60"/>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60"/>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Список-таблица 41"/>
    <w:basedOn w:val="76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60"/>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basedOn w:val="760"/>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basedOn w:val="760"/>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basedOn w:val="760"/>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basedOn w:val="760"/>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basedOn w:val="760"/>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Список-таблица 5 темная1"/>
    <w:basedOn w:val="76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basedOn w:val="760"/>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basedOn w:val="760"/>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basedOn w:val="760"/>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basedOn w:val="760"/>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basedOn w:val="760"/>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basedOn w:val="760"/>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Список-таблица 6 цветная1"/>
    <w:basedOn w:val="76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5" w:customStyle="1">
    <w:name w:val="List Table 6 Colorful - Accent 1"/>
    <w:basedOn w:val="760"/>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6" w:customStyle="1">
    <w:name w:val="List Table 6 Colorful - Accent 2"/>
    <w:basedOn w:val="760"/>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7" w:customStyle="1">
    <w:name w:val="List Table 6 Colorful - Accent 3"/>
    <w:basedOn w:val="760"/>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8" w:customStyle="1">
    <w:name w:val="List Table 6 Colorful - Accent 4"/>
    <w:basedOn w:val="760"/>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9" w:customStyle="1">
    <w:name w:val="List Table 6 Colorful - Accent 5"/>
    <w:basedOn w:val="760"/>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0" w:customStyle="1">
    <w:name w:val="List Table 6 Colorful - Accent 6"/>
    <w:basedOn w:val="760"/>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1" w:customStyle="1">
    <w:name w:val="Список-таблица 7 цветная1"/>
    <w:basedOn w:val="76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60"/>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60"/>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60"/>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60"/>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60"/>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60"/>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6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Lined - Accent 1"/>
    <w:basedOn w:val="76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0" w:customStyle="1">
    <w:name w:val="Lined - Accent 2"/>
    <w:basedOn w:val="76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1" w:customStyle="1">
    <w:name w:val="Lined - Accent 3"/>
    <w:basedOn w:val="76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2" w:customStyle="1">
    <w:name w:val="Lined - Accent 4"/>
    <w:basedOn w:val="76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basedOn w:val="76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basedOn w:val="76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basedOn w:val="76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Bordered &amp; Lined - Accent 1"/>
    <w:basedOn w:val="760"/>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7" w:customStyle="1">
    <w:name w:val="Bordered &amp; Lined - Accent 2"/>
    <w:basedOn w:val="760"/>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8" w:customStyle="1">
    <w:name w:val="Bordered &amp; Lined - Accent 3"/>
    <w:basedOn w:val="760"/>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9" w:customStyle="1">
    <w:name w:val="Bordered &amp; Lined - Accent 4"/>
    <w:basedOn w:val="760"/>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basedOn w:val="760"/>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basedOn w:val="760"/>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basedOn w:val="76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3" w:customStyle="1">
    <w:name w:val="Bordered - Accent 1"/>
    <w:basedOn w:val="76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basedOn w:val="76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5" w:customStyle="1">
    <w:name w:val="Bordered - Accent 3"/>
    <w:basedOn w:val="76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6" w:customStyle="1">
    <w:name w:val="Bordered - Accent 4"/>
    <w:basedOn w:val="76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basedOn w:val="76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basedOn w:val="76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09">
    <w:name w:val="footnote text"/>
    <w:basedOn w:val="749"/>
    <w:link w:val="910"/>
    <w:uiPriority w:val="99"/>
    <w:semiHidden/>
    <w:unhideWhenUsed/>
    <w:pPr>
      <w:spacing w:after="40"/>
    </w:pPr>
    <w:rPr>
      <w:sz w:val="18"/>
    </w:rPr>
  </w:style>
  <w:style w:type="character" w:styleId="910" w:customStyle="1">
    <w:name w:val="Текст сноски Знак"/>
    <w:link w:val="909"/>
    <w:uiPriority w:val="99"/>
    <w:rPr>
      <w:sz w:val="18"/>
    </w:rPr>
  </w:style>
  <w:style w:type="character" w:styleId="911">
    <w:name w:val="footnote reference"/>
    <w:basedOn w:val="759"/>
    <w:uiPriority w:val="99"/>
    <w:unhideWhenUsed/>
    <w:rPr>
      <w:vertAlign w:val="superscript"/>
    </w:rPr>
  </w:style>
  <w:style w:type="paragraph" w:styleId="912">
    <w:name w:val="endnote text"/>
    <w:basedOn w:val="749"/>
    <w:link w:val="913"/>
    <w:uiPriority w:val="99"/>
    <w:semiHidden/>
    <w:unhideWhenUsed/>
    <w:rPr>
      <w:sz w:val="20"/>
    </w:rPr>
  </w:style>
  <w:style w:type="character" w:styleId="913" w:customStyle="1">
    <w:name w:val="Текст концевой сноски Знак"/>
    <w:link w:val="912"/>
    <w:uiPriority w:val="99"/>
    <w:rPr>
      <w:sz w:val="20"/>
    </w:rPr>
  </w:style>
  <w:style w:type="character" w:styleId="914">
    <w:name w:val="endnote reference"/>
    <w:basedOn w:val="759"/>
    <w:uiPriority w:val="99"/>
    <w:semiHidden/>
    <w:unhideWhenUsed/>
    <w:rPr>
      <w:vertAlign w:val="superscript"/>
    </w:rPr>
  </w:style>
  <w:style w:type="paragraph" w:styleId="915">
    <w:name w:val="toc 1"/>
    <w:basedOn w:val="749"/>
    <w:next w:val="749"/>
    <w:uiPriority w:val="39"/>
    <w:unhideWhenUsed/>
    <w:pPr>
      <w:spacing w:after="57"/>
    </w:pPr>
  </w:style>
  <w:style w:type="paragraph" w:styleId="916">
    <w:name w:val="toc 2"/>
    <w:basedOn w:val="749"/>
    <w:next w:val="749"/>
    <w:uiPriority w:val="39"/>
    <w:unhideWhenUsed/>
    <w:pPr>
      <w:ind w:left="283"/>
      <w:spacing w:after="57"/>
    </w:pPr>
  </w:style>
  <w:style w:type="paragraph" w:styleId="917">
    <w:name w:val="toc 3"/>
    <w:basedOn w:val="749"/>
    <w:next w:val="749"/>
    <w:uiPriority w:val="39"/>
    <w:unhideWhenUsed/>
    <w:pPr>
      <w:ind w:left="567"/>
      <w:spacing w:after="57"/>
    </w:pPr>
  </w:style>
  <w:style w:type="paragraph" w:styleId="918">
    <w:name w:val="toc 4"/>
    <w:basedOn w:val="749"/>
    <w:next w:val="749"/>
    <w:uiPriority w:val="39"/>
    <w:unhideWhenUsed/>
    <w:pPr>
      <w:ind w:left="850"/>
      <w:spacing w:after="57"/>
    </w:pPr>
  </w:style>
  <w:style w:type="paragraph" w:styleId="919">
    <w:name w:val="toc 5"/>
    <w:basedOn w:val="749"/>
    <w:next w:val="749"/>
    <w:uiPriority w:val="39"/>
    <w:unhideWhenUsed/>
    <w:pPr>
      <w:ind w:left="1134"/>
      <w:spacing w:after="57"/>
    </w:pPr>
  </w:style>
  <w:style w:type="paragraph" w:styleId="920">
    <w:name w:val="toc 6"/>
    <w:basedOn w:val="749"/>
    <w:next w:val="749"/>
    <w:uiPriority w:val="39"/>
    <w:unhideWhenUsed/>
    <w:pPr>
      <w:ind w:left="1417"/>
      <w:spacing w:after="57"/>
    </w:pPr>
  </w:style>
  <w:style w:type="paragraph" w:styleId="921">
    <w:name w:val="toc 7"/>
    <w:basedOn w:val="749"/>
    <w:next w:val="749"/>
    <w:uiPriority w:val="39"/>
    <w:unhideWhenUsed/>
    <w:pPr>
      <w:ind w:left="1701"/>
      <w:spacing w:after="57"/>
    </w:pPr>
  </w:style>
  <w:style w:type="paragraph" w:styleId="922">
    <w:name w:val="toc 8"/>
    <w:basedOn w:val="749"/>
    <w:next w:val="749"/>
    <w:uiPriority w:val="39"/>
    <w:unhideWhenUsed/>
    <w:pPr>
      <w:ind w:left="1984"/>
      <w:spacing w:after="57"/>
    </w:pPr>
  </w:style>
  <w:style w:type="paragraph" w:styleId="923">
    <w:name w:val="toc 9"/>
    <w:basedOn w:val="749"/>
    <w:next w:val="749"/>
    <w:uiPriority w:val="39"/>
    <w:unhideWhenUsed/>
    <w:pPr>
      <w:ind w:left="2268"/>
      <w:spacing w:after="57"/>
    </w:pPr>
  </w:style>
  <w:style w:type="paragraph" w:styleId="924">
    <w:name w:val="TOC Heading"/>
    <w:uiPriority w:val="39"/>
    <w:unhideWhenUsed/>
  </w:style>
  <w:style w:type="paragraph" w:styleId="925">
    <w:name w:val="table of figures"/>
    <w:basedOn w:val="749"/>
    <w:next w:val="749"/>
    <w:uiPriority w:val="99"/>
    <w:unhideWhenUsed/>
  </w:style>
  <w:style w:type="paragraph" w:styleId="926" w:customStyle="1">
    <w:name w:val="Style5"/>
    <w:basedOn w:val="749"/>
    <w:uiPriority w:val="99"/>
    <w:pPr>
      <w:spacing w:line="307" w:lineRule="exact"/>
    </w:pPr>
  </w:style>
  <w:style w:type="paragraph" w:styleId="927" w:customStyle="1">
    <w:name w:val="Style6"/>
    <w:basedOn w:val="749"/>
    <w:uiPriority w:val="99"/>
    <w:pPr>
      <w:ind w:firstLine="749"/>
      <w:spacing w:line="302" w:lineRule="exact"/>
    </w:pPr>
  </w:style>
  <w:style w:type="paragraph" w:styleId="928" w:customStyle="1">
    <w:name w:val="Style7"/>
    <w:basedOn w:val="749"/>
    <w:uiPriority w:val="99"/>
    <w:pPr>
      <w:jc w:val="both"/>
      <w:spacing w:line="298" w:lineRule="exact"/>
    </w:pPr>
  </w:style>
  <w:style w:type="paragraph" w:styleId="929" w:customStyle="1">
    <w:name w:val="Style8"/>
    <w:basedOn w:val="749"/>
    <w:uiPriority w:val="99"/>
  </w:style>
  <w:style w:type="paragraph" w:styleId="930" w:customStyle="1">
    <w:name w:val="Style9"/>
    <w:basedOn w:val="749"/>
    <w:uiPriority w:val="99"/>
    <w:pPr>
      <w:ind w:hanging="125"/>
      <w:spacing w:line="298" w:lineRule="exact"/>
    </w:pPr>
  </w:style>
  <w:style w:type="paragraph" w:styleId="931" w:customStyle="1">
    <w:name w:val="Style10"/>
    <w:basedOn w:val="749"/>
    <w:uiPriority w:val="99"/>
    <w:pPr>
      <w:ind w:firstLine="720"/>
      <w:jc w:val="both"/>
      <w:spacing w:line="288" w:lineRule="exact"/>
    </w:pPr>
  </w:style>
  <w:style w:type="paragraph" w:styleId="932" w:customStyle="1">
    <w:name w:val="Style11"/>
    <w:basedOn w:val="749"/>
    <w:uiPriority w:val="99"/>
  </w:style>
  <w:style w:type="paragraph" w:styleId="933" w:customStyle="1">
    <w:name w:val="Style12"/>
    <w:basedOn w:val="749"/>
    <w:uiPriority w:val="99"/>
    <w:pPr>
      <w:jc w:val="both"/>
      <w:spacing w:line="302" w:lineRule="exact"/>
    </w:pPr>
  </w:style>
  <w:style w:type="character" w:styleId="934" w:customStyle="1">
    <w:name w:val="Font Style18"/>
    <w:uiPriority w:val="99"/>
    <w:rPr>
      <w:rFonts w:ascii="Times New Roman" w:hAnsi="Times New Roman" w:cs="Times New Roman"/>
      <w:b/>
      <w:bCs/>
      <w:sz w:val="16"/>
      <w:szCs w:val="16"/>
    </w:rPr>
  </w:style>
  <w:style w:type="character" w:styleId="935" w:customStyle="1">
    <w:name w:val="Font Style19"/>
    <w:uiPriority w:val="99"/>
    <w:rPr>
      <w:rFonts w:ascii="Times New Roman" w:hAnsi="Times New Roman" w:cs="Times New Roman"/>
      <w:sz w:val="24"/>
      <w:szCs w:val="24"/>
    </w:rPr>
  </w:style>
  <w:style w:type="paragraph" w:styleId="936">
    <w:name w:val="List Paragraph"/>
    <w:basedOn w:val="749"/>
    <w:uiPriority w:val="34"/>
    <w:qFormat/>
    <w:pPr>
      <w:contextualSpacing/>
      <w:ind w:left="720"/>
    </w:pPr>
  </w:style>
  <w:style w:type="paragraph" w:styleId="937" w:customStyle="1">
    <w:name w:val="Style2"/>
    <w:basedOn w:val="749"/>
    <w:uiPriority w:val="99"/>
  </w:style>
  <w:style w:type="character" w:styleId="938" w:customStyle="1">
    <w:name w:val="Font Style13"/>
    <w:uiPriority w:val="99"/>
    <w:rPr>
      <w:rFonts w:ascii="Times New Roman" w:hAnsi="Times New Roman" w:cs="Times New Roman"/>
      <w:sz w:val="26"/>
      <w:szCs w:val="26"/>
    </w:rPr>
  </w:style>
  <w:style w:type="table" w:styleId="939">
    <w:name w:val="Table Grid"/>
    <w:basedOn w:val="760"/>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0">
    <w:name w:val="Caption"/>
    <w:basedOn w:val="749"/>
    <w:next w:val="749"/>
    <w:qFormat/>
    <w:pPr>
      <w:jc w:val="center"/>
      <w:widowControl/>
    </w:pPr>
    <w:rPr>
      <w:b/>
      <w:sz w:val="32"/>
      <w:szCs w:val="20"/>
    </w:rPr>
  </w:style>
  <w:style w:type="character" w:styleId="941">
    <w:name w:val="Hyperlink"/>
    <w:rPr>
      <w:color w:val="0000ff"/>
      <w:u w:val="single"/>
    </w:rPr>
  </w:style>
  <w:style w:type="paragraph" w:styleId="94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49"/>
    <w:pPr>
      <w:jc w:val="right"/>
      <w:spacing w:after="160" w:line="240" w:lineRule="exact"/>
    </w:pPr>
    <w:rPr>
      <w:sz w:val="20"/>
      <w:szCs w:val="20"/>
      <w:lang w:val="en-GB" w:eastAsia="en-US"/>
    </w:rPr>
  </w:style>
  <w:style w:type="paragraph" w:styleId="943">
    <w:name w:val="Header"/>
    <w:basedOn w:val="749"/>
    <w:link w:val="780"/>
    <w:pPr>
      <w:widowControl/>
      <w:tabs>
        <w:tab w:val="center" w:pos="4677" w:leader="none"/>
        <w:tab w:val="right" w:pos="9355" w:leader="none"/>
      </w:tabs>
    </w:pPr>
    <w:rPr>
      <w:sz w:val="28"/>
      <w:szCs w:val="20"/>
    </w:rPr>
  </w:style>
  <w:style w:type="paragraph" w:styleId="944">
    <w:name w:val="Body Text Indent 2"/>
    <w:basedOn w:val="749"/>
    <w:link w:val="947"/>
    <w:pPr>
      <w:ind w:firstLine="851"/>
      <w:jc w:val="both"/>
      <w:widowControl/>
    </w:pPr>
    <w:rPr>
      <w:sz w:val="28"/>
      <w:szCs w:val="20"/>
    </w:rPr>
  </w:style>
  <w:style w:type="paragraph" w:styleId="945">
    <w:name w:val="Body Text"/>
    <w:basedOn w:val="749"/>
    <w:link w:val="946"/>
    <w:pPr>
      <w:spacing w:after="120"/>
      <w:widowControl/>
    </w:pPr>
    <w:rPr>
      <w:sz w:val="20"/>
      <w:szCs w:val="20"/>
    </w:rPr>
  </w:style>
  <w:style w:type="character" w:styleId="946" w:customStyle="1">
    <w:name w:val="Основной текст Знак"/>
    <w:link w:val="945"/>
    <w:rPr>
      <w:lang w:val="ru-RU" w:eastAsia="ru-RU" w:bidi="ar-SA"/>
    </w:rPr>
  </w:style>
  <w:style w:type="character" w:styleId="947" w:customStyle="1">
    <w:name w:val="Основной текст с отступом 2 Знак"/>
    <w:link w:val="944"/>
    <w:rPr>
      <w:sz w:val="28"/>
      <w:lang w:bidi="ar-SA"/>
    </w:rPr>
  </w:style>
  <w:style w:type="paragraph" w:styleId="948">
    <w:name w:val="Normal (Web)"/>
    <w:basedOn w:val="749"/>
    <w:pPr>
      <w:spacing w:before="100" w:beforeAutospacing="1" w:after="100" w:afterAutospacing="1"/>
      <w:widowControl/>
    </w:pPr>
  </w:style>
  <w:style w:type="paragraph" w:styleId="949">
    <w:name w:val="Body Text Indent"/>
    <w:basedOn w:val="749"/>
    <w:pPr>
      <w:ind w:left="283"/>
      <w:spacing w:after="120"/>
    </w:pPr>
  </w:style>
  <w:style w:type="paragraph" w:styleId="950">
    <w:name w:val="Balloon Text"/>
    <w:basedOn w:val="749"/>
    <w:link w:val="951"/>
    <w:uiPriority w:val="99"/>
    <w:semiHidden/>
    <w:unhideWhenUsed/>
    <w:rPr>
      <w:rFonts w:ascii="Tahoma" w:hAnsi="Tahoma" w:cs="Tahoma"/>
      <w:sz w:val="16"/>
      <w:szCs w:val="16"/>
    </w:rPr>
  </w:style>
  <w:style w:type="character" w:styleId="951" w:customStyle="1">
    <w:name w:val="Текст выноски Знак"/>
    <w:link w:val="950"/>
    <w:uiPriority w:val="99"/>
    <w:semiHidden/>
    <w:rPr>
      <w:rFonts w:ascii="Tahoma" w:hAnsi="Tahoma" w:eastAsia="Times New Roman" w:cs="Tahoma"/>
      <w:sz w:val="16"/>
      <w:szCs w:val="16"/>
    </w:rPr>
  </w:style>
  <w:style w:type="paragraph" w:styleId="952" w:customStyle="1">
    <w:name w:val="ConsPlusNormal"/>
    <w:rPr>
      <w:rFonts w:ascii="Times New Roman" w:hAnsi="Times New Roman"/>
      <w:b/>
      <w:bCs/>
    </w:rPr>
  </w:style>
  <w:style w:type="paragraph" w:styleId="953" w:customStyle="1">
    <w:name w:val="Знак Знак1 Знак Знак Знак Знак Знак Знак Знак Знак Знак Знак Знак Знак Знак Знак"/>
    <w:basedOn w:val="749"/>
    <w:pPr>
      <w:spacing w:after="160" w:line="240" w:lineRule="exact"/>
      <w:widowControl/>
    </w:pPr>
    <w:rPr>
      <w:rFonts w:ascii="Verdana" w:hAnsi="Verdana" w:cs="Verdana"/>
      <w:sz w:val="20"/>
      <w:szCs w:val="20"/>
      <w:lang w:val="en-US" w:eastAsia="en-US"/>
    </w:rPr>
  </w:style>
  <w:style w:type="paragraph" w:styleId="95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5C128-19F2-41AF-A93F-51C5181ED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14</cp:revision>
  <dcterms:created xsi:type="dcterms:W3CDTF">2026-05-18T14:42:00Z</dcterms:created>
  <dcterms:modified xsi:type="dcterms:W3CDTF">2026-06-11T07:58:47Z</dcterms:modified>
</cp:coreProperties>
</file>