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08.06.2026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1047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</w:t>
      </w:r>
      <w:r>
        <w:rPr>
          <w:b/>
        </w:rPr>
        <w:t xml:space="preserve">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</w:t>
      </w:r>
      <w:r>
        <w:rPr>
          <w:b/>
        </w:rPr>
        <w:t xml:space="preserve">Печенгского муниципального округа</w:t>
      </w:r>
      <w:r>
        <w:rPr>
          <w:b/>
        </w:rPr>
        <w:t xml:space="preserve"> субсидии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на </w:t>
      </w:r>
      <w:r>
        <w:rPr>
          <w:b/>
        </w:rPr>
        <w:t xml:space="preserve">финансово</w:t>
      </w:r>
      <w:r>
        <w:rPr>
          <w:b/>
        </w:rPr>
        <w:t xml:space="preserve">е</w:t>
      </w:r>
      <w:r>
        <w:rPr>
          <w:b/>
        </w:rPr>
        <w:t xml:space="preserve"> обеспечени</w:t>
      </w:r>
      <w:r>
        <w:rPr>
          <w:b/>
        </w:rPr>
        <w:t xml:space="preserve">е</w:t>
      </w:r>
      <w:r>
        <w:rPr>
          <w:b/>
        </w:rPr>
        <w:t xml:space="preserve"> (возмещени</w:t>
      </w:r>
      <w:r>
        <w:rPr>
          <w:b/>
        </w:rPr>
        <w:t xml:space="preserve">е</w:t>
      </w:r>
      <w:r>
        <w:rPr>
          <w:b/>
        </w:rPr>
        <w:t xml:space="preserve">) затрат</w:t>
      </w:r>
      <w:r>
        <w:rPr>
          <w:b/>
        </w:rPr>
        <w:t xml:space="preserve"> </w:t>
      </w:r>
      <w:r>
        <w:rPr>
          <w:b/>
        </w:rPr>
        <w:t xml:space="preserve">муниципальному унитарному предприятию «Тепловые сети» </w:t>
      </w:r>
      <w:r>
        <w:rPr>
          <w:b/>
        </w:rPr>
        <w:t xml:space="preserve">муниципального образования </w:t>
      </w:r>
      <w:r>
        <w:rPr>
          <w:b/>
        </w:rPr>
        <w:t xml:space="preserve">Печенгск</w:t>
      </w:r>
      <w:r>
        <w:rPr>
          <w:b/>
        </w:rPr>
        <w:t xml:space="preserve">ий</w:t>
      </w:r>
      <w:r>
        <w:rPr>
          <w:b/>
        </w:rPr>
        <w:t xml:space="preserve"> муниципальн</w:t>
      </w:r>
      <w:r>
        <w:rPr>
          <w:b/>
        </w:rPr>
        <w:t xml:space="preserve">ый</w:t>
      </w:r>
      <w:r>
        <w:rPr>
          <w:b/>
        </w:rPr>
        <w:t xml:space="preserve"> округ Мурманской </w:t>
      </w:r>
      <w:r>
        <w:rPr>
          <w:b/>
        </w:rPr>
        <w:t xml:space="preserve">области, связанных</w:t>
      </w:r>
      <w:r>
        <w:rPr>
          <w:b/>
        </w:rPr>
        <w:t xml:space="preserve"> с приобретением угля, используемого для производства тепловой энергии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ветствии со статьей 78 Бюджетного кодекса Российской Федерации, Гражданским кодексом Российской Федерации, Федеральным законом от 06.10.2003 </w:t>
        <w:br/>
        <w:t xml:space="preserve">№ 131-ФЗ «Об общих принципах организации местного самоуправления в Российской Федерации», постановлением Правитель</w:t>
      </w:r>
      <w:r>
        <w:rPr>
          <w:sz w:val="24"/>
          <w:szCs w:val="24"/>
        </w:rPr>
        <w:t xml:space="preserve">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в в форме субсидий, юридическим лицам, индивидуальным предпринимателям, а так же физическим </w:t>
        <w:br/>
        <w:t xml:space="preserve">лицам – производителям товаров, работ, услуг и проведение отборов получателей указанных субсидий, в том числе грантов в форме субсидий»,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бюджете округа на 2026 год и на плановый период 2027 и 2028 годов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прилагаемый Поряд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 предоставления </w:t>
      </w:r>
      <w:r>
        <w:rPr>
          <w:sz w:val="24"/>
          <w:szCs w:val="24"/>
        </w:rPr>
        <w:t xml:space="preserve">из бюджета Печенгского муниципального округа субсидии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финансово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обеспечени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(возмещени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) затрат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муниципальному унитарному предприятию «Тепловые сети»</w:t>
      </w:r>
      <w:r>
        <w:rPr>
          <w:sz w:val="24"/>
          <w:szCs w:val="24"/>
        </w:rPr>
        <w:t xml:space="preserve"> муниципального образования</w:t>
      </w:r>
      <w:r>
        <w:rPr>
          <w:sz w:val="24"/>
          <w:szCs w:val="24"/>
        </w:rPr>
        <w:t xml:space="preserve"> Печенгск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округ Мурманской области</w:t>
      </w:r>
      <w:r>
        <w:rPr>
          <w:sz w:val="24"/>
          <w:szCs w:val="24"/>
        </w:rPr>
        <w:t xml:space="preserve">, связанных с приобретением угля, используемого для производства тепловой энергии.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</w:t>
      </w:r>
      <w:r>
        <w:rPr>
          <w:color w:val="000000" w:themeColor="text1"/>
          <w:sz w:val="24"/>
          <w:szCs w:val="24"/>
        </w:rPr>
        <w:t xml:space="preserve">а </w:t>
      </w:r>
      <w:hyperlink r:id="rId11" w:tooltip="http://pechengamr.gov-murman.ru/" w:history="1">
        <w:r>
          <w:rPr>
            <w:rStyle w:val="894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Контроль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right="136"/>
        <w:jc w:val="right"/>
        <w:spacing w:before="79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08.06.2026 </w:t>
      </w:r>
      <w:r>
        <w:rPr>
          <w:sz w:val="24"/>
          <w:szCs w:val="24"/>
          <w:lang w:eastAsia="en-US"/>
        </w:rPr>
        <w:t xml:space="preserve">№ 1047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3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right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предоставления </w:t>
      </w:r>
      <w:r>
        <w:rPr>
          <w:b/>
          <w:sz w:val="24"/>
          <w:szCs w:val="24"/>
          <w:lang w:eastAsia="en-US"/>
        </w:rPr>
        <w:t xml:space="preserve">из бюджета Печенгского муниципального округа субсидии </w:t>
      </w:r>
      <w:r>
        <w:rPr>
          <w:b/>
          <w:sz w:val="24"/>
          <w:szCs w:val="24"/>
          <w:lang w:eastAsia="en-US"/>
        </w:rPr>
        <w:t xml:space="preserve">на </w:t>
      </w:r>
      <w:r>
        <w:rPr>
          <w:b/>
          <w:sz w:val="24"/>
          <w:szCs w:val="24"/>
          <w:lang w:eastAsia="en-US"/>
        </w:rPr>
        <w:t xml:space="preserve">финансово</w:t>
      </w:r>
      <w:r>
        <w:rPr>
          <w:b/>
          <w:sz w:val="24"/>
          <w:szCs w:val="24"/>
          <w:lang w:eastAsia="en-US"/>
        </w:rPr>
        <w:t xml:space="preserve">е</w:t>
      </w:r>
      <w:r>
        <w:rPr>
          <w:b/>
          <w:sz w:val="24"/>
          <w:szCs w:val="24"/>
          <w:lang w:eastAsia="en-US"/>
        </w:rPr>
        <w:t xml:space="preserve"> обеспечени</w:t>
      </w:r>
      <w:r>
        <w:rPr>
          <w:b/>
          <w:sz w:val="24"/>
          <w:szCs w:val="24"/>
          <w:lang w:eastAsia="en-US"/>
        </w:rPr>
        <w:t xml:space="preserve">е</w:t>
      </w:r>
      <w:r>
        <w:rPr>
          <w:b/>
          <w:sz w:val="24"/>
          <w:szCs w:val="24"/>
          <w:lang w:eastAsia="en-US"/>
        </w:rPr>
        <w:t xml:space="preserve"> (возмещени</w:t>
      </w:r>
      <w:r>
        <w:rPr>
          <w:b/>
          <w:sz w:val="24"/>
          <w:szCs w:val="24"/>
          <w:lang w:eastAsia="en-US"/>
        </w:rPr>
        <w:t xml:space="preserve">е</w:t>
      </w:r>
      <w:r>
        <w:rPr>
          <w:b/>
          <w:sz w:val="24"/>
          <w:szCs w:val="24"/>
          <w:lang w:eastAsia="en-US"/>
        </w:rPr>
        <w:t xml:space="preserve">) затрат</w:t>
      </w:r>
      <w:r>
        <w:rPr>
          <w:b/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lang w:eastAsia="en-US"/>
        </w:rPr>
        <w:t xml:space="preserve">муниципальному унитарному предприятию «Тепловые сети»</w:t>
      </w:r>
      <w:r>
        <w:rPr>
          <w:b/>
          <w:sz w:val="24"/>
          <w:szCs w:val="24"/>
          <w:lang w:eastAsia="en-US"/>
        </w:rPr>
        <w:t xml:space="preserve"> муниципального образования</w:t>
      </w:r>
      <w:r>
        <w:rPr>
          <w:b/>
          <w:sz w:val="24"/>
          <w:szCs w:val="24"/>
          <w:lang w:eastAsia="en-US"/>
        </w:rPr>
        <w:t xml:space="preserve"> Печенгск</w:t>
      </w:r>
      <w:r>
        <w:rPr>
          <w:b/>
          <w:sz w:val="24"/>
          <w:szCs w:val="24"/>
          <w:lang w:eastAsia="en-US"/>
        </w:rPr>
        <w:t xml:space="preserve">ий</w:t>
      </w:r>
      <w:r>
        <w:rPr>
          <w:b/>
          <w:sz w:val="24"/>
          <w:szCs w:val="24"/>
          <w:lang w:eastAsia="en-US"/>
        </w:rPr>
        <w:t xml:space="preserve"> муниципальн</w:t>
      </w:r>
      <w:r>
        <w:rPr>
          <w:b/>
          <w:sz w:val="24"/>
          <w:szCs w:val="24"/>
          <w:lang w:eastAsia="en-US"/>
        </w:rPr>
        <w:t xml:space="preserve">ый</w:t>
      </w:r>
      <w:r>
        <w:rPr>
          <w:b/>
          <w:sz w:val="24"/>
          <w:szCs w:val="24"/>
          <w:lang w:eastAsia="en-US"/>
        </w:rPr>
        <w:t xml:space="preserve"> округ Мурманской области</w:t>
      </w:r>
      <w:r>
        <w:rPr>
          <w:b/>
          <w:sz w:val="24"/>
          <w:szCs w:val="24"/>
          <w:lang w:eastAsia="en-US"/>
        </w:rPr>
        <w:t xml:space="preserve">, связанных с приобретением угля, используемого для производства тепловой энергии</w:t>
      </w: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</w:p>
    <w:p>
      <w:pPr>
        <w:pStyle w:val="890"/>
        <w:numPr>
          <w:ilvl w:val="0"/>
          <w:numId w:val="26"/>
        </w:numPr>
        <w:ind w:left="0" w:righ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устанавливает общие положения о предоставлении из бюджета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на  </w:t>
      </w:r>
      <w:r>
        <w:rPr>
          <w:sz w:val="24"/>
          <w:szCs w:val="24"/>
        </w:rPr>
        <w:t xml:space="preserve">финансовое обеспечение (возмещение) затрат   муниципальному унитарному предприятию «Тепловые сети» муниципального образования Печенгский муниципальный округ Мурманской области, связанных с приобретением угля, используемого для производства тепловой энергии</w:t>
      </w:r>
      <w:r>
        <w:rPr>
          <w:sz w:val="24"/>
          <w:szCs w:val="24"/>
        </w:rPr>
        <w:t xml:space="preserve"> 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Порядок,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убсидия)</w:t>
      </w:r>
      <w:r>
        <w:rPr>
          <w:sz w:val="24"/>
          <w:szCs w:val="24"/>
        </w:rPr>
        <w:t xml:space="preserve">, условия и порядок предоставления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за их нарушение.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Субсидия предоставляется муниципальному унитарному предприятию «</w:t>
      </w:r>
      <w:r>
        <w:rPr>
          <w:sz w:val="24"/>
          <w:szCs w:val="24"/>
        </w:rPr>
        <w:t xml:space="preserve">Тепловые сети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муниципального образования Печенгский муниципальный округ Мурманской области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Получатель субсидии</w:t>
      </w:r>
      <w:r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осуществляющему на территории Печенгского муниципального округа производство тепловой энергии и предоставляющему коммунальную услугу по отоплению </w:t>
      </w:r>
      <w:r>
        <w:rPr>
          <w:sz w:val="24"/>
          <w:szCs w:val="24"/>
        </w:rPr>
        <w:t xml:space="preserve">и горячему водоснабжению.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Субсидия </w:t>
      </w:r>
      <w:r>
        <w:rPr>
          <w:sz w:val="24"/>
          <w:szCs w:val="24"/>
        </w:rPr>
        <w:t xml:space="preserve">предоставляется в цел</w:t>
      </w:r>
      <w:r>
        <w:rPr>
          <w:sz w:val="24"/>
          <w:szCs w:val="24"/>
        </w:rPr>
        <w:t xml:space="preserve">ях </w:t>
      </w:r>
      <w:r>
        <w:rPr>
          <w:sz w:val="24"/>
          <w:szCs w:val="24"/>
        </w:rPr>
        <w:t xml:space="preserve">приобретения угля для производства тепловой энергии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Субсидия предоставляется администрацией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 xml:space="preserve">Администрация)</w:t>
      </w:r>
      <w:r>
        <w:rPr>
          <w:sz w:val="24"/>
          <w:szCs w:val="24"/>
        </w:rPr>
        <w:t xml:space="preserve"> в пределах лимитов бюджетных ассигнований, предусмотренных по соответствующим кодам классификации расходов бюджета решением </w:t>
      </w:r>
      <w:r>
        <w:rPr>
          <w:sz w:val="24"/>
          <w:szCs w:val="24"/>
        </w:rPr>
        <w:t xml:space="preserve">Совета депутатов Печенгского муниципального округа</w:t>
      </w:r>
      <w:r>
        <w:rPr>
          <w:sz w:val="24"/>
          <w:szCs w:val="24"/>
        </w:rPr>
        <w:t xml:space="preserve"> о бюджете, и в соответствии со сводной бюджетной росписью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на цели, предусмотренные </w:t>
        <w:br/>
        <w:t xml:space="preserve">п</w:t>
      </w:r>
      <w:r>
        <w:rPr>
          <w:sz w:val="24"/>
          <w:szCs w:val="24"/>
        </w:rPr>
        <w:t xml:space="preserve">унктом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настоящего </w:t>
      </w:r>
      <w:r>
        <w:rPr>
          <w:sz w:val="24"/>
          <w:szCs w:val="24"/>
        </w:rPr>
        <w:t xml:space="preserve">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Субсидия носит целевой характер и не может быть израсходована на цели, не предусмотренные настоящим Порядком.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Сведения о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 размещаются на Едином портале бюджетной системы Российской Федерации в информаци</w:t>
      </w:r>
      <w:r>
        <w:rPr>
          <w:sz w:val="24"/>
          <w:szCs w:val="24"/>
        </w:rPr>
        <w:t xml:space="preserve">онно-телекоммуникационной сети 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, в порядке, установленном Министерством финансов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numPr>
          <w:ilvl w:val="0"/>
          <w:numId w:val="27"/>
        </w:numPr>
        <w:ind w:left="0" w:right="138" w:firstLine="709"/>
        <w:jc w:val="both"/>
        <w:spacing w:before="0" w:beforeAutospacing="0"/>
        <w:widowControl w:val="off"/>
        <w:tabs>
          <w:tab w:val="left" w:pos="70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Организационные работы по реализации настоящего Порядка осуществляет отдел строительства и жилищно-коммунального хозяйства администрации Печенгского муниципального округа (далее – отдел строительства и ЖКХ).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0"/>
        <w:numPr>
          <w:ilvl w:val="0"/>
          <w:numId w:val="26"/>
        </w:numPr>
        <w:ind w:left="0" w:right="0" w:firstLine="0"/>
        <w:jc w:val="center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  <w:t xml:space="preserve">Условия и порядок предоставления субсидии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90"/>
        <w:ind w:left="0" w:right="0" w:firstLine="0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Субсидия предоставляется Получателю субсидии на основании Соглашения о предоставлении субсидии, заключенного между Администрацией и Получателем субсидии</w:t>
      </w:r>
      <w:r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 xml:space="preserve">– Соглашение)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Для заключения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оглашения Получатель субсидии представляет </w:t>
      </w:r>
      <w:r>
        <w:rPr>
          <w:bCs/>
          <w:sz w:val="24"/>
          <w:szCs w:val="24"/>
        </w:rPr>
        <w:t xml:space="preserve">в Администрацию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заявление о предоставлении </w:t>
      </w:r>
      <w:r>
        <w:rPr>
          <w:bCs/>
          <w:sz w:val="24"/>
          <w:szCs w:val="24"/>
        </w:rPr>
        <w:t xml:space="preserve">субсидии по форме, согласно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риложению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 </w:t>
        <w:br/>
        <w:t xml:space="preserve">к настоящему Порядку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</w:t>
      </w:r>
      <w:r>
        <w:rPr>
          <w:bCs/>
          <w:sz w:val="24"/>
          <w:szCs w:val="24"/>
        </w:rPr>
        <w:t xml:space="preserve"> –Заявление)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копии учредительных документов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Получателя субсидии, заверенные в установленном порядке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выписка из ЕГРЮЛ;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копии </w:t>
      </w:r>
      <w:r>
        <w:rPr>
          <w:bCs/>
          <w:sz w:val="24"/>
          <w:szCs w:val="24"/>
        </w:rPr>
        <w:t xml:space="preserve">документ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, подтверждающ</w:t>
      </w:r>
      <w:r>
        <w:rPr>
          <w:bCs/>
          <w:sz w:val="24"/>
          <w:szCs w:val="24"/>
        </w:rPr>
        <w:t xml:space="preserve">его полномочия лица, подписавшего Заявление</w:t>
      </w:r>
      <w:r>
        <w:rPr>
          <w:bCs/>
          <w:sz w:val="24"/>
          <w:szCs w:val="24"/>
        </w:rPr>
        <w:t xml:space="preserve">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копия свидетельства о постановке на налоговый учёт в налоговом органе;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справка налогового органа об отсутствии задолженности в бюджет по обязательным платежам;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банковские реквизиты на перечисление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Копии документов принимаются при предъявлении подлинников документов (в случае если копии не заверены нотариально), если иное не предусмотрено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Ответственность за достоверность сведений, содержащихся в представленных документах, несет руководитель Получателя субсидии в соответствии с действующим законодательством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</w:t>
      </w:r>
      <w:r>
        <w:rPr>
          <w:sz w:val="24"/>
          <w:szCs w:val="24"/>
          <w:lang w:eastAsia="en-US"/>
        </w:rPr>
        <w:t xml:space="preserve">7</w:t>
      </w:r>
      <w:r>
        <w:rPr>
          <w:sz w:val="24"/>
          <w:szCs w:val="24"/>
          <w:lang w:eastAsia="en-US"/>
        </w:rPr>
        <w:t xml:space="preserve"> настоящего Порядка,</w:t>
      </w:r>
      <w:r>
        <w:rPr>
          <w:sz w:val="24"/>
          <w:szCs w:val="24"/>
          <w:lang w:eastAsia="en-US"/>
        </w:rPr>
        <w:t xml:space="preserve"> содержит персональные данные, А</w:t>
      </w:r>
      <w:r>
        <w:rPr>
          <w:sz w:val="24"/>
          <w:szCs w:val="24"/>
          <w:lang w:eastAsia="en-US"/>
        </w:rPr>
        <w:t xml:space="preserve">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Вышеуказанные </w:t>
      </w:r>
      <w:r>
        <w:rPr>
          <w:bCs/>
          <w:sz w:val="24"/>
          <w:szCs w:val="24"/>
        </w:rPr>
        <w:t xml:space="preserve">документы представляются на бумажном носителе в одном экземпляре непосредственно в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дминистрацию или направляются в адрес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через</w:t>
      </w:r>
      <w:r>
        <w:rPr>
          <w:bCs/>
          <w:sz w:val="24"/>
          <w:szCs w:val="24"/>
        </w:rPr>
        <w:t xml:space="preserve"> организацию почтовой связи, иную организацию, осуществляющую доставку корреспонденции, по адресу: 184421, Мурманская область, Печенгский район,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Никель, ул. Пионерская, д. 2, приемная (для отдела строительства и ЖКХ).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 На первое число месяца, предшествующего месяцу, в котором планируется заключение соглашения о предоставлении субсидии, Получатель субсидии должен соответствовать следующим требованиям: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Получатель субсидии </w:t>
      </w:r>
      <w:r>
        <w:rPr>
          <w:bCs/>
          <w:sz w:val="24"/>
          <w:szCs w:val="24"/>
        </w:rPr>
        <w:t xml:space="preserve">не </w:t>
      </w:r>
      <w:r>
        <w:rPr>
          <w:bCs/>
          <w:sz w:val="24"/>
          <w:szCs w:val="24"/>
        </w:rPr>
        <w:t xml:space="preserve">явля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тся</w:t>
      </w:r>
      <w:r>
        <w:rPr>
          <w:b/>
          <w:bCs/>
          <w:i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 </w:t>
      </w:r>
      <w:r>
        <w:rPr>
          <w:bCs/>
          <w:sz w:val="24"/>
          <w:szCs w:val="24"/>
        </w:rPr>
        <w:t xml:space="preserve">утверждённый</w:t>
      </w:r>
      <w:r>
        <w:rPr>
          <w:b/>
          <w:bCs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</w:t>
      </w:r>
      <w:r>
        <w:rPr>
          <w:bCs/>
          <w:sz w:val="24"/>
          <w:szCs w:val="24"/>
        </w:rPr>
        <w:t xml:space="preserve">российским юридическим лицом</w:t>
      </w:r>
      <w:r>
        <w:rPr>
          <w:bCs/>
          <w:sz w:val="24"/>
          <w:szCs w:val="24"/>
        </w:rPr>
        <w:t xml:space="preserve">, в уставном (складочном) капитале </w:t>
      </w:r>
      <w:r>
        <w:rPr>
          <w:bCs/>
          <w:sz w:val="24"/>
          <w:szCs w:val="24"/>
        </w:rPr>
        <w:t xml:space="preserve">которого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доля прямого или косвенного (через третьих лиц) участия офшорных компаний в совокупности превышает 25 процентов. При расчете доли участия офшорных к</w:t>
      </w:r>
      <w:r>
        <w:rPr>
          <w:bCs/>
          <w:sz w:val="24"/>
          <w:szCs w:val="24"/>
        </w:rPr>
        <w:t xml:space="preserve">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, а также косвенное участие таких офшорных компаний в капитале других российских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юридических лиц, реализованное через участие в капитале указанных публичных акционерных </w:t>
      </w:r>
      <w:r>
        <w:rPr>
          <w:bCs/>
          <w:sz w:val="24"/>
          <w:szCs w:val="24"/>
        </w:rPr>
        <w:t xml:space="preserve">обществ;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  <w:lang w:eastAsia="en-US"/>
        </w:rPr>
        <w:outlineLvl w:val="2"/>
      </w:pPr>
      <w:r>
        <w:rPr>
          <w:sz w:val="24"/>
          <w:szCs w:val="24"/>
          <w:lang w:eastAsia="en-US"/>
        </w:rPr>
        <w:t xml:space="preserve">б</w:t>
      </w:r>
      <w:r>
        <w:rPr>
          <w:sz w:val="24"/>
          <w:szCs w:val="24"/>
          <w:lang w:eastAsia="en-US"/>
        </w:rPr>
        <w:t xml:space="preserve">)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  <w:lang w:eastAsia="en-US"/>
        </w:rPr>
        <w:outlineLvl w:val="2"/>
      </w:pPr>
      <w:r>
        <w:rPr>
          <w:bCs/>
          <w:sz w:val="24"/>
          <w:szCs w:val="24"/>
        </w:rPr>
        <w:t xml:space="preserve">в) </w:t>
      </w:r>
      <w:r>
        <w:rPr>
          <w:sz w:val="24"/>
          <w:szCs w:val="24"/>
          <w:lang w:eastAsia="en-US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олучатель субсидии не получает средства из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на основании иных муниципальных правовых актов на цели, установленные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д) </w:t>
      </w:r>
      <w:r>
        <w:rPr>
          <w:sz w:val="24"/>
          <w:szCs w:val="24"/>
          <w:lang w:eastAsia="en-US"/>
        </w:rPr>
        <w:t xml:space="preserve">Получатель субсидии не явля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62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) у</w:t>
      </w:r>
      <w:r>
        <w:rPr>
          <w:sz w:val="24"/>
          <w:szCs w:val="24"/>
          <w:lang w:eastAsia="en-US"/>
        </w:rPr>
        <w:t xml:space="preserve"> Получателя субсидии на едином налоговом сч</w:t>
      </w:r>
      <w:r>
        <w:rPr>
          <w:sz w:val="24"/>
          <w:szCs w:val="24"/>
          <w:lang w:eastAsia="en-US"/>
        </w:rPr>
        <w:t xml:space="preserve">ё</w:t>
      </w:r>
      <w:r>
        <w:rPr>
          <w:sz w:val="24"/>
          <w:szCs w:val="24"/>
          <w:lang w:eastAsia="en-US"/>
        </w:rPr>
        <w:t xml:space="preserve">те отсутств</w:t>
      </w:r>
      <w:r>
        <w:rPr>
          <w:sz w:val="24"/>
          <w:szCs w:val="24"/>
          <w:lang w:eastAsia="en-US"/>
        </w:rPr>
        <w:t xml:space="preserve">ует</w:t>
      </w:r>
      <w:r>
        <w:rPr>
          <w:sz w:val="24"/>
          <w:szCs w:val="24"/>
          <w:lang w:eastAsia="en-US"/>
        </w:rPr>
        <w:t xml:space="preserve"> или не превыша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 размер, определенный пунктом 3 статьи 47 Налогового кодекса Российской Федерации, </w:t>
      </w:r>
      <w:r>
        <w:rPr>
          <w:sz w:val="24"/>
          <w:szCs w:val="24"/>
          <w:lang w:eastAsia="en-US"/>
        </w:rPr>
        <w:t xml:space="preserve">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у П</w:t>
      </w:r>
      <w:r>
        <w:rPr>
          <w:sz w:val="24"/>
          <w:szCs w:val="24"/>
        </w:rPr>
        <w:t xml:space="preserve">олучателя субсидии отсутствуют просроченная задолженность по возврату в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из которого планируется предоставление субсид</w:t>
      </w:r>
      <w:r>
        <w:rPr>
          <w:sz w:val="24"/>
          <w:szCs w:val="24"/>
        </w:rPr>
        <w:t xml:space="preserve">ии</w:t>
      </w:r>
      <w:r>
        <w:rPr>
          <w:sz w:val="24"/>
          <w:szCs w:val="24"/>
        </w:rPr>
        <w:t xml:space="preserve"> в соответствии с правовым актом, иных субсидий, бюджетных инвестиций, а также иная просроченная </w:t>
        <w:br/>
        <w:br/>
        <w:t xml:space="preserve">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</w:t>
      </w:r>
      <w:r>
        <w:rPr>
          <w:sz w:val="24"/>
          <w:szCs w:val="24"/>
        </w:rPr>
        <w:t xml:space="preserve">соответствии с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з) П</w:t>
      </w:r>
      <w:r>
        <w:rPr>
          <w:sz w:val="24"/>
          <w:szCs w:val="24"/>
        </w:rPr>
        <w:t xml:space="preserve">олучатель 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олучателем субсидии, другого юридического лица), ликвидации, в отношении его не введена процедура банкротства, деятельность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олучателя субсидии не приостановлена в порядке, предусмотренном законодательством Российской Федерации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и) в</w:t>
      </w:r>
      <w:r>
        <w:rPr>
          <w:sz w:val="24"/>
          <w:szCs w:val="24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</w:t>
      </w:r>
      <w:r>
        <w:rPr>
          <w:sz w:val="24"/>
          <w:szCs w:val="24"/>
        </w:rPr>
        <w:t xml:space="preserve">и) П</w:t>
      </w:r>
      <w:r>
        <w:rPr>
          <w:sz w:val="24"/>
          <w:szCs w:val="24"/>
        </w:rPr>
        <w:t xml:space="preserve">олучателя субсидии;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10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Отдел строительства и ЖКХ </w:t>
      </w:r>
      <w:r>
        <w:rPr>
          <w:bCs/>
          <w:sz w:val="24"/>
          <w:szCs w:val="24"/>
        </w:rPr>
        <w:t xml:space="preserve">регистрирует</w:t>
      </w:r>
      <w:r>
        <w:rPr>
          <w:bCs/>
          <w:sz w:val="24"/>
          <w:szCs w:val="24"/>
        </w:rPr>
        <w:t xml:space="preserve"> поступивш</w:t>
      </w:r>
      <w:r>
        <w:rPr>
          <w:bCs/>
          <w:sz w:val="24"/>
          <w:szCs w:val="24"/>
        </w:rPr>
        <w:t xml:space="preserve">ее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аяв</w:t>
      </w:r>
      <w:r>
        <w:rPr>
          <w:bCs/>
          <w:sz w:val="24"/>
          <w:szCs w:val="24"/>
        </w:rPr>
        <w:t xml:space="preserve">ление</w:t>
      </w:r>
      <w:r>
        <w:rPr>
          <w:bCs/>
          <w:sz w:val="24"/>
          <w:szCs w:val="24"/>
        </w:rPr>
        <w:t xml:space="preserve"> и в течение </w:t>
      </w:r>
      <w:r>
        <w:rPr>
          <w:bCs/>
          <w:sz w:val="24"/>
          <w:szCs w:val="24"/>
        </w:rPr>
        <w:t xml:space="preserve">трех</w:t>
      </w:r>
      <w:r>
        <w:rPr>
          <w:bCs/>
          <w:sz w:val="24"/>
          <w:szCs w:val="24"/>
        </w:rPr>
        <w:t xml:space="preserve"> рабочих дней со дня е</w:t>
      </w:r>
      <w:r>
        <w:rPr>
          <w:bCs/>
          <w:sz w:val="24"/>
          <w:szCs w:val="24"/>
        </w:rPr>
        <w:t xml:space="preserve">го</w:t>
      </w:r>
      <w:r>
        <w:rPr>
          <w:bCs/>
          <w:sz w:val="24"/>
          <w:szCs w:val="24"/>
        </w:rPr>
        <w:t xml:space="preserve"> поступления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проверяет комплектность документов, рассматривает их и прин</w:t>
      </w:r>
      <w:r>
        <w:rPr>
          <w:bCs/>
          <w:sz w:val="24"/>
          <w:szCs w:val="24"/>
        </w:rPr>
        <w:t xml:space="preserve">имает решение о предоставлении С</w:t>
      </w:r>
      <w:r>
        <w:rPr>
          <w:bCs/>
          <w:sz w:val="24"/>
          <w:szCs w:val="24"/>
        </w:rPr>
        <w:t xml:space="preserve">убсидии </w:t>
      </w:r>
      <w:r>
        <w:rPr>
          <w:bCs/>
          <w:sz w:val="24"/>
          <w:szCs w:val="24"/>
        </w:rPr>
        <w:t xml:space="preserve">или об отказе в предоставлении С</w:t>
      </w:r>
      <w:r>
        <w:rPr>
          <w:bCs/>
          <w:sz w:val="24"/>
          <w:szCs w:val="24"/>
        </w:rPr>
        <w:t xml:space="preserve">убсидии по основаниям, предусмотренным пунктом </w:t>
      </w:r>
      <w:r>
        <w:rPr>
          <w:bCs/>
          <w:sz w:val="24"/>
          <w:szCs w:val="24"/>
        </w:rPr>
        <w:t xml:space="preserve">10</w:t>
      </w:r>
      <w:r>
        <w:rPr>
          <w:bCs/>
          <w:color w:val="000000"/>
          <w:sz w:val="24"/>
          <w:szCs w:val="24"/>
        </w:rPr>
        <w:t xml:space="preserve"> Порядка</w:t>
      </w:r>
      <w:r>
        <w:rPr>
          <w:bCs/>
          <w:color w:val="ff0000"/>
          <w:sz w:val="24"/>
          <w:szCs w:val="24"/>
        </w:rPr>
        <w:t xml:space="preserve">.</w:t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. Основаниями для отказа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олучателю субсидии в предоставлении </w:t>
      </w:r>
      <w:r>
        <w:rPr>
          <w:bCs/>
          <w:color w:val="000000"/>
          <w:sz w:val="24"/>
          <w:szCs w:val="24"/>
        </w:rPr>
        <w:t xml:space="preserve">С</w:t>
      </w:r>
      <w:r>
        <w:rPr>
          <w:bCs/>
          <w:color w:val="000000"/>
          <w:sz w:val="24"/>
          <w:szCs w:val="24"/>
        </w:rPr>
        <w:t xml:space="preserve">убсидии являются: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а) несоответствие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олучателя субсидии требованиям и условиям, предусмотренным настоящим Порядком;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б) несоответствие представленных Получателем субсидии документов требованиям Порядка, непредставление необходимых документов или их предоставление не в полном объеме;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в) недостоверность представленной Получателем субсидии информации;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г) документы, представленные Получателем субсидии, содержат подчистки, приписки, зачеркнутые слова и иные неоговоренные исправления.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Получатель субсидии после устранения причин, послуживших основанием для отказа в заключении соглашения о предоставлении субсидии, вправе вновь обратиться для заключения соглашения в соответствии с Порядком.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2</w:t>
      </w:r>
      <w:r>
        <w:rPr>
          <w:bCs/>
          <w:color w:val="000000"/>
          <w:sz w:val="24"/>
          <w:szCs w:val="24"/>
        </w:rPr>
        <w:t xml:space="preserve">.</w:t>
      </w:r>
      <w:r>
        <w:rPr>
          <w:bCs/>
          <w:color w:val="000000"/>
          <w:sz w:val="24"/>
          <w:szCs w:val="24"/>
        </w:rPr>
        <w:t xml:space="preserve"> Соглашение должно содержать следующие положения: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целевое назначение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б) </w:t>
      </w:r>
      <w:r>
        <w:rPr>
          <w:bCs/>
          <w:color w:val="000000" w:themeColor="text1"/>
          <w:sz w:val="24"/>
          <w:szCs w:val="24"/>
        </w:rPr>
        <w:t xml:space="preserve">размер и порядок перечисления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в) </w:t>
      </w:r>
      <w:r>
        <w:rPr>
          <w:bCs/>
          <w:color w:val="000000" w:themeColor="text1"/>
          <w:sz w:val="24"/>
          <w:szCs w:val="24"/>
        </w:rPr>
        <w:t xml:space="preserve">срок предоставления и расходования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г)</w:t>
      </w:r>
      <w:r>
        <w:rPr>
          <w:bCs/>
          <w:color w:val="000000" w:themeColor="text1"/>
          <w:sz w:val="24"/>
          <w:szCs w:val="24"/>
        </w:rPr>
        <w:t xml:space="preserve"> осуществление </w:t>
      </w:r>
      <w:r>
        <w:rPr>
          <w:bCs/>
          <w:color w:val="000000" w:themeColor="text1"/>
          <w:sz w:val="24"/>
          <w:szCs w:val="24"/>
        </w:rPr>
        <w:t xml:space="preserve">А</w:t>
      </w:r>
      <w:r>
        <w:rPr>
          <w:bCs/>
          <w:color w:val="000000" w:themeColor="text1"/>
          <w:sz w:val="24"/>
          <w:szCs w:val="24"/>
        </w:rPr>
        <w:t xml:space="preserve">дминистрацией в отношении Получателя субсидии проверки соблюдения им порядка и условий предоставления Субсидии, в том числе в части достижени</w:t>
      </w:r>
      <w:r>
        <w:rPr>
          <w:bCs/>
          <w:color w:val="000000" w:themeColor="text1"/>
          <w:sz w:val="24"/>
          <w:szCs w:val="24"/>
        </w:rPr>
        <w:t xml:space="preserve">я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Федерации;</w:t>
      </w:r>
      <w:r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д)</w:t>
      </w:r>
      <w:r>
        <w:rPr>
          <w:bCs/>
          <w:sz w:val="24"/>
          <w:szCs w:val="24"/>
        </w:rPr>
        <w:t xml:space="preserve"> запрет приобретения за счет полученных средств иностранной валюты, за исключением операций, осуществляемых в соответствии с </w:t>
      </w:r>
      <w:r>
        <w:rPr>
          <w:bCs/>
          <w:sz w:val="24"/>
          <w:szCs w:val="24"/>
        </w:rPr>
        <w:t xml:space="preserve">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Порядком;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 </w:t>
      </w:r>
      <w:r>
        <w:rPr>
          <w:bCs/>
          <w:sz w:val="24"/>
          <w:szCs w:val="24"/>
        </w:rPr>
        <w:t xml:space="preserve">условие о согласовании новых условий Соглашения или о расторжении Согла</w:t>
      </w:r>
      <w:r>
        <w:rPr>
          <w:bCs/>
          <w:sz w:val="24"/>
          <w:szCs w:val="24"/>
        </w:rPr>
        <w:t xml:space="preserve">шения при не 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значение показателя, необходимого для результата предоставления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 формы предоставления отчётов о достижении значений результатов показателя результативности и о расходах;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) порядок и сроки возврата Субсидии в случае нарушений целей, условий и порядка предоставления Субсидии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В течение т</w:t>
      </w:r>
      <w:r>
        <w:rPr>
          <w:bCs/>
          <w:sz w:val="24"/>
          <w:szCs w:val="24"/>
        </w:rPr>
        <w:t xml:space="preserve">ре</w:t>
      </w:r>
      <w:r>
        <w:rPr>
          <w:bCs/>
          <w:sz w:val="24"/>
          <w:szCs w:val="24"/>
        </w:rPr>
        <w:t xml:space="preserve">х рабочих дней со дня принятия соответствующего решения  отдел строительства и ЖКХ направляет Получателю субсидии проект Соглашения, разработанный в соответствии с типовой формой, утвержденной приказом Финансового </w:t>
        <w:br/>
        <w:br/>
        <w:t xml:space="preserve">управления администрации Печенгского мун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ципального округа от 18.03.2021 № 74 </w:t>
        <w:br/>
        <w:t xml:space="preserve">«Об утверждении типовой формы соглашения (договора) о предоставлении из бюджета муниципального образования Печенгский муниципальный округ субсидии юридическому лицу (за исключением муниципального учреждения), индивидуа</w:t>
      </w:r>
      <w:r>
        <w:rPr>
          <w:bCs/>
          <w:sz w:val="24"/>
          <w:szCs w:val="24"/>
        </w:rPr>
        <w:t xml:space="preserve">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товаров, выполнением работ, оказанием услуг» (далее – типовая форма), подписанный со стороны </w:t>
      </w:r>
      <w:r>
        <w:rPr>
          <w:bCs/>
          <w:sz w:val="24"/>
          <w:szCs w:val="24"/>
        </w:rPr>
        <w:t xml:space="preserve">Администрации</w:t>
      </w:r>
      <w:r>
        <w:rPr>
          <w:bCs/>
          <w:sz w:val="24"/>
          <w:szCs w:val="24"/>
        </w:rPr>
        <w:t xml:space="preserve">, либо письменное уведомление об отказе от заключения Соглашения с указанием причин отказа.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Получатель субсидии должен подписать Согл</w:t>
      </w:r>
      <w:r>
        <w:rPr>
          <w:bCs/>
          <w:sz w:val="24"/>
          <w:szCs w:val="24"/>
        </w:rPr>
        <w:t xml:space="preserve">ашение и направить его в адрес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не</w:t>
      </w:r>
      <w:r>
        <w:rPr>
          <w:bCs/>
          <w:sz w:val="24"/>
          <w:szCs w:val="24"/>
        </w:rPr>
        <w:t xml:space="preserve"> позднее трех рабочих дней со дня его получения.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При нарушении Получателем субсидии срока, указанного в пункте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настоящего Порядка, Получатель субсидии признается уклонившимся от заключения Соглашения, что является основанием для отказа в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Дополнительные соглашения, в том числе дополнительные соглашения о расторжении Соглашения, оформляются в соответствии с типовой формой.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Размер С</w:t>
      </w:r>
      <w:r>
        <w:rPr>
          <w:bCs/>
          <w:sz w:val="24"/>
          <w:szCs w:val="24"/>
        </w:rPr>
        <w:t xml:space="preserve">убсидии определяется в объеме запланированных и (или) произведенных затрат на основании документов, предусмотренных в настоящем Порядке, но не превышающем лимиты бюджетны</w:t>
      </w:r>
      <w:r>
        <w:rPr>
          <w:bCs/>
          <w:sz w:val="24"/>
          <w:szCs w:val="24"/>
        </w:rPr>
        <w:t xml:space="preserve">х ассигнований, предусмотренных на указанные цели в местном бюджете на текущий финансовый год, и лимитов бюджетных обязательств, утвержденных в установленном порядке на предоставление субсидии и доведенных до Администрации как получателя бюджетных средств.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Результатом предоставления субсидии является</w:t>
      </w:r>
      <w:r>
        <w:rPr>
          <w:bCs/>
          <w:sz w:val="24"/>
          <w:szCs w:val="24"/>
        </w:rPr>
        <w:t xml:space="preserve"> приобретение П</w:t>
      </w:r>
      <w:r>
        <w:rPr>
          <w:bCs/>
          <w:sz w:val="24"/>
          <w:szCs w:val="24"/>
        </w:rPr>
        <w:t xml:space="preserve">олучателем субсидии</w:t>
      </w:r>
      <w:r>
        <w:rPr>
          <w:bCs/>
          <w:sz w:val="24"/>
          <w:szCs w:val="24"/>
        </w:rPr>
        <w:t xml:space="preserve"> угля, используемого для производства тепловой энергии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Значение результата предоставления субсидии и его показателей устанавливаются в соглашении о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Для получения Субсидии Получатель субсидии представляет в отдел строительства и ЖКХ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заявку о перечислении Субсидии по форме согласно Приложению № 2 к настоящему Порядку;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реквизиты для перечисления средств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20</w:t>
      </w:r>
      <w:r>
        <w:rPr>
          <w:bCs/>
          <w:sz w:val="24"/>
          <w:szCs w:val="24"/>
        </w:rPr>
        <w:t xml:space="preserve">.</w:t>
      </w:r>
      <w:r>
        <w:t xml:space="preserve"> </w:t>
      </w:r>
      <w:r>
        <w:rPr>
          <w:bCs/>
          <w:sz w:val="24"/>
          <w:szCs w:val="24"/>
        </w:rPr>
        <w:t xml:space="preserve">Перечисление средств Субсидии на р</w:t>
      </w:r>
      <w:r>
        <w:rPr>
          <w:bCs/>
          <w:sz w:val="24"/>
          <w:szCs w:val="24"/>
        </w:rPr>
        <w:t xml:space="preserve">асчетный счет, указанный в Соглашении,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следующего за днем регистрации документов, указанных в пункте </w:t>
      </w:r>
      <w:r>
        <w:rPr>
          <w:bCs/>
          <w:sz w:val="24"/>
          <w:szCs w:val="24"/>
        </w:rPr>
        <w:t xml:space="preserve">19</w:t>
      </w:r>
      <w:r>
        <w:rPr>
          <w:bCs/>
          <w:sz w:val="24"/>
          <w:szCs w:val="24"/>
        </w:rPr>
        <w:t xml:space="preserve"> настоящего Порядка, в МБУ «ЦБ».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В случае формирования на конец финансового года остатков средств Субсидии Получатель субсидии по окончанию финансового года возвращает Субсидию путём перечисления денежных средств в бюджет Печенгского муниципального округа в течение 10 рабочих дней.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</w:rPr>
        <w:t xml:space="preserve">3. Требования к отчетности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890"/>
        <w:numPr>
          <w:ilvl w:val="0"/>
          <w:numId w:val="25"/>
        </w:numPr>
        <w:ind w:left="0" w:right="0" w:firstLine="709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отдел строительства и ЖКХ</w:t>
      </w:r>
      <w:r>
        <w:rPr>
          <w:sz w:val="24"/>
          <w:szCs w:val="24"/>
          <w:lang w:eastAsia="en-US"/>
        </w:rPr>
        <w:t xml:space="preserve"> 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4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расходах бюджета Печенгског</w:t>
      </w:r>
      <w:r>
        <w:rPr>
          <w:sz w:val="24"/>
          <w:szCs w:val="24"/>
          <w:lang w:eastAsia="en-US"/>
        </w:rPr>
        <w:t xml:space="preserve">о муниципального округа, в целях софинансирования которых предоставляется Субсидия, по форме установленной Соглашением о предоставлении субсидии, не позднее 3 числа месяца, следующего за 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достижении значений показателей результативности использования Субсидии по форме, установленной Соглашением на предоставление субсидии, не позднее 3 числа </w:t>
      </w:r>
      <w:r>
        <w:rPr>
          <w:sz w:val="24"/>
          <w:szCs w:val="24"/>
          <w:lang w:eastAsia="en-US"/>
        </w:rPr>
        <w:t xml:space="preserve">месяца</w:t>
      </w:r>
      <w:r>
        <w:rPr>
          <w:sz w:val="24"/>
          <w:szCs w:val="24"/>
          <w:lang w:eastAsia="en-US"/>
        </w:rPr>
        <w:t xml:space="preserve">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highlight w:val="none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070" w:leader="none"/>
        </w:tabs>
        <w:rPr>
          <w:spacing w:val="-2"/>
          <w:sz w:val="24"/>
          <w:szCs w:val="24"/>
          <w:highlight w:val="none"/>
          <w:lang w:eastAsia="en-US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- </w:t>
      </w:r>
      <w:r>
        <w:rPr>
          <w:spacing w:val="-2"/>
          <w:sz w:val="24"/>
          <w:szCs w:val="24"/>
          <w:lang w:eastAsia="en-US"/>
        </w:rPr>
        <w:t xml:space="preserve">копии договоров</w:t>
      </w:r>
      <w:r>
        <w:rPr>
          <w:spacing w:val="-2"/>
          <w:sz w:val="24"/>
          <w:szCs w:val="24"/>
          <w:lang w:eastAsia="en-US"/>
        </w:rPr>
        <w:t xml:space="preserve"> на приобретение и поставку угля</w:t>
      </w:r>
      <w:r>
        <w:rPr>
          <w:spacing w:val="-2"/>
          <w:sz w:val="24"/>
          <w:szCs w:val="24"/>
          <w:lang w:eastAsia="en-US"/>
        </w:rPr>
        <w:t xml:space="preserve">, заключённые Получателем субсидии; </w:t>
      </w:r>
      <w:r>
        <w:rPr>
          <w:bCs/>
          <w:spacing w:val="-2"/>
          <w:sz w:val="24"/>
          <w:szCs w:val="24"/>
          <w:lang w:eastAsia="en-US"/>
        </w:rPr>
        <w:t xml:space="preserve">копии счетов-фактур, товарно-транспортных накладных, иных документов </w:t>
      </w:r>
      <w:r>
        <w:rPr>
          <w:bCs/>
          <w:spacing w:val="-2"/>
          <w:sz w:val="24"/>
          <w:szCs w:val="24"/>
          <w:lang w:eastAsia="en-US"/>
        </w:rPr>
        <w:t xml:space="preserve">на фактически</w:t>
      </w:r>
      <w:r>
        <w:rPr>
          <w:bCs/>
          <w:spacing w:val="-2"/>
          <w:sz w:val="24"/>
          <w:szCs w:val="24"/>
          <w:lang w:eastAsia="en-US"/>
        </w:rPr>
        <w:t xml:space="preserve"> поставленный уголь; </w:t>
      </w:r>
      <w:r>
        <w:rPr>
          <w:spacing w:val="-2"/>
          <w:sz w:val="24"/>
          <w:szCs w:val="24"/>
          <w:lang w:eastAsia="en-US"/>
        </w:rPr>
        <w:t xml:space="preserve">копии </w:t>
      </w:r>
      <w:r>
        <w:rPr>
          <w:spacing w:val="-2"/>
          <w:sz w:val="24"/>
          <w:szCs w:val="24"/>
          <w:lang w:eastAsia="en-US"/>
        </w:rPr>
        <w:t xml:space="preserve">других</w:t>
      </w:r>
      <w:r>
        <w:rPr>
          <w:spacing w:val="-2"/>
          <w:sz w:val="24"/>
          <w:szCs w:val="24"/>
          <w:lang w:eastAsia="en-US"/>
        </w:rPr>
        <w:t xml:space="preserve"> документов, подтверждающих целевое расходование Субсидии.</w:t>
      </w:r>
      <w:r>
        <w:rPr>
          <w:spacing w:val="-2"/>
          <w:sz w:val="24"/>
          <w:szCs w:val="24"/>
          <w:highlight w:val="none"/>
          <w:lang w:eastAsia="en-US"/>
        </w:rPr>
      </w:r>
      <w:r>
        <w:rPr>
          <w:spacing w:val="-2"/>
          <w:sz w:val="24"/>
          <w:szCs w:val="24"/>
          <w:highlight w:val="none"/>
          <w:lang w:eastAsia="en-US"/>
        </w:rPr>
      </w:r>
    </w:p>
    <w:p>
      <w:pPr>
        <w:pStyle w:val="890"/>
        <w:numPr>
          <w:ilvl w:val="0"/>
          <w:numId w:val="25"/>
        </w:numPr>
        <w:ind w:left="0" w:right="0" w:firstLine="709"/>
        <w:jc w:val="both"/>
        <w:spacing w:before="1"/>
        <w:widowControl w:val="off"/>
        <w:tabs>
          <w:tab w:val="left" w:pos="1191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отчетов Получателя субсидии осуществляет их 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Требования к осуществлению контроля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 соблюдением условий, целей и порядка предоставления субсидии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 ответственности за их нарушение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</w:t>
      </w:r>
      <w:r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осуществляет проверку соблюдения условий и порядка предоставления субсиди</w:t>
      </w:r>
      <w:r>
        <w:rPr>
          <w:color w:val="000000"/>
          <w:sz w:val="24"/>
          <w:szCs w:val="24"/>
        </w:rPr>
        <w:t xml:space="preserve">и П</w:t>
      </w:r>
      <w:r>
        <w:rPr>
          <w:color w:val="000000"/>
          <w:sz w:val="24"/>
          <w:szCs w:val="24"/>
        </w:rPr>
        <w:t xml:space="preserve">олучателем субсидии, в том числе в части достижения результатов предоставления субсидии, в порядке и сроки, предусмотренные законодательством Российской Федерации и муниципальными правовыми актами </w:t>
      </w:r>
      <w:r>
        <w:rPr>
          <w:color w:val="000000"/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27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26. </w:t>
      </w:r>
      <w:r>
        <w:rPr>
          <w:sz w:val="24"/>
          <w:szCs w:val="24"/>
          <w:lang w:eastAsia="en-US"/>
        </w:rPr>
        <w:t xml:space="preserve">Отдел строительства и ЖКХ 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В случае установления фактов необоснованного получения субсидии 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принимает решение о возврате необоснованно полученных средств в местный бюджет в полном объеме и в течение 5 рабочих дней со дня его принятия пис</w:t>
      </w:r>
      <w:r>
        <w:rPr>
          <w:color w:val="000000"/>
          <w:sz w:val="24"/>
          <w:szCs w:val="24"/>
        </w:rPr>
        <w:t xml:space="preserve">ьменно уведомляет об этом П</w:t>
      </w:r>
      <w:r>
        <w:rPr>
          <w:color w:val="000000"/>
          <w:sz w:val="24"/>
          <w:szCs w:val="24"/>
        </w:rPr>
        <w:t xml:space="preserve">олучателя субсидии.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 В случае не перечисления получателем субсидии необоснованно полученных средств в полном объеме в срок, предусмотренный Порядком, указанные средства взыскиваются Администрацией в судебном порядке.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9.</w:t>
      </w:r>
      <w:r>
        <w:rPr>
          <w:color w:val="000000"/>
          <w:sz w:val="24"/>
          <w:szCs w:val="24"/>
        </w:rPr>
        <w:t xml:space="preserve"> В случае представления Администрации заведомо ложной информации </w:t>
      </w:r>
      <w:r>
        <w:rPr>
          <w:color w:val="000000"/>
          <w:sz w:val="24"/>
          <w:szCs w:val="24"/>
        </w:rPr>
        <w:t xml:space="preserve">П</w:t>
      </w:r>
      <w:r>
        <w:rPr>
          <w:color w:val="000000"/>
          <w:sz w:val="24"/>
          <w:szCs w:val="24"/>
        </w:rPr>
        <w:t xml:space="preserve">олучател</w:t>
      </w:r>
      <w:r>
        <w:rPr>
          <w:color w:val="000000"/>
          <w:sz w:val="24"/>
          <w:szCs w:val="24"/>
        </w:rPr>
        <w:t xml:space="preserve">ь</w:t>
      </w:r>
      <w:r>
        <w:rPr>
          <w:color w:val="000000"/>
          <w:sz w:val="24"/>
          <w:szCs w:val="24"/>
        </w:rPr>
        <w:t xml:space="preserve"> субсидии нес</w:t>
      </w:r>
      <w:r>
        <w:rPr>
          <w:color w:val="000000"/>
          <w:sz w:val="24"/>
          <w:szCs w:val="24"/>
        </w:rPr>
        <w:t xml:space="preserve">е</w:t>
      </w:r>
      <w:r>
        <w:rPr>
          <w:color w:val="000000"/>
          <w:sz w:val="24"/>
          <w:szCs w:val="24"/>
        </w:rPr>
        <w:t xml:space="preserve">т ответственность, предусмотренную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left="6" w:right="7"/>
        <w:jc w:val="center"/>
        <w:spacing w:line="322" w:lineRule="exact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4"/>
        <w:jc w:val="center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00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28" w:firstLine="559"/>
              <w:spacing w:before="235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 xml:space="preserve"> заключить Соглашение о предоставлении субсидии из 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 </w:t>
            </w:r>
            <w:r>
              <w:rPr>
                <w:sz w:val="24"/>
                <w:szCs w:val="24"/>
                <w:lang w:val="ru-RU"/>
              </w:rPr>
              <w:t xml:space="preserve">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28" w:right="26" w:firstLine="487"/>
              <w:jc w:val="both"/>
              <w:spacing w:before="97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33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04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91" w:leader="none"/>
              </w:tabs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 уничтожения;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является иностранным агентом в соответствии с Федеральным законом </w:t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получает средства из бюджета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процессе реорганизации (за исключением рео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законодательством Российской Федерации;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имеет просроченной задолженности по возврату в бюджет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иных субсидий,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6"/>
          <w:sz w:val="22"/>
          <w:szCs w:val="22"/>
          <w:lang w:eastAsia="en-US"/>
        </w:rPr>
        <w:t xml:space="preserve">Печенгского муниципального </w:t>
      </w:r>
      <w:r>
        <w:rPr>
          <w:spacing w:val="-6"/>
          <w:sz w:val="22"/>
          <w:szCs w:val="22"/>
          <w:lang w:eastAsia="en-US"/>
        </w:rPr>
        <w:t xml:space="preserve">округа 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6131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233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336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</w:t>
      </w:r>
      <w:r>
        <w:rPr>
          <w:sz w:val="22"/>
          <w:szCs w:val="22"/>
          <w:lang w:eastAsia="en-US"/>
        </w:rPr>
        <w:t xml:space="preserve">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138" w:firstLine="1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</w:t>
      </w:r>
      <w:r>
        <w:rPr>
          <w:sz w:val="24"/>
          <w:szCs w:val="24"/>
          <w:lang w:eastAsia="en-US"/>
        </w:rPr>
        <w:t xml:space="preserve"> ( 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</w:t>
      </w:r>
      <w:r>
        <w:rPr>
          <w:sz w:val="24"/>
          <w:szCs w:val="24"/>
          <w:lang w:eastAsia="en-US"/>
        </w:rPr>
        <w:t xml:space="preserve">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00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</w:t>
            </w:r>
            <w:r>
              <w:rPr>
                <w:spacing w:val="-2"/>
                <w:sz w:val="24"/>
                <w:szCs w:val="24"/>
              </w:rPr>
              <w:t xml:space="preserve">подпись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284" w:right="707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6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13"/>
  </w:num>
  <w:num w:numId="2">
    <w:abstractNumId w:val="7"/>
  </w:num>
  <w:num w:numId="3">
    <w:abstractNumId w:val="19"/>
  </w:num>
  <w:num w:numId="4">
    <w:abstractNumId w:val="12"/>
  </w:num>
  <w:num w:numId="5">
    <w:abstractNumId w:val="23"/>
  </w:num>
  <w:num w:numId="6">
    <w:abstractNumId w:val="16"/>
  </w:num>
  <w:num w:numId="7">
    <w:abstractNumId w:val="15"/>
  </w:num>
  <w:num w:numId="8">
    <w:abstractNumId w:val="11"/>
  </w:num>
  <w:num w:numId="9">
    <w:abstractNumId w:val="26"/>
  </w:num>
  <w:num w:numId="10">
    <w:abstractNumId w:val="2"/>
  </w:num>
  <w:num w:numId="11">
    <w:abstractNumId w:val="14"/>
  </w:num>
  <w:num w:numId="12">
    <w:abstractNumId w:val="4"/>
  </w:num>
  <w:num w:numId="13">
    <w:abstractNumId w:val="22"/>
  </w:num>
  <w:num w:numId="14">
    <w:abstractNumId w:val="25"/>
  </w:num>
  <w:num w:numId="15">
    <w:abstractNumId w:val="5"/>
  </w:num>
  <w:num w:numId="16">
    <w:abstractNumId w:val="17"/>
  </w:num>
  <w:num w:numId="17">
    <w:abstractNumId w:val="3"/>
  </w:num>
  <w:num w:numId="18">
    <w:abstractNumId w:val="24"/>
  </w:num>
  <w:num w:numId="19">
    <w:abstractNumId w:val="8"/>
  </w:num>
  <w:num w:numId="20">
    <w:abstractNumId w:val="9"/>
  </w:num>
  <w:num w:numId="21">
    <w:abstractNumId w:val="18"/>
  </w:num>
  <w:num w:numId="22">
    <w:abstractNumId w:val="20"/>
  </w:num>
  <w:num w:numId="23">
    <w:abstractNumId w:val="6"/>
  </w:num>
  <w:num w:numId="24">
    <w:abstractNumId w:val="0"/>
  </w:num>
  <w:num w:numId="25">
    <w:abstractNumId w:val="10"/>
  </w:num>
  <w:num w:numId="26">
    <w:abstractNumId w:val="1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882"/>
    <w:link w:val="880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79"/>
    <w:next w:val="879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2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79"/>
    <w:next w:val="879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2"/>
    <w:link w:val="711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basedOn w:val="882"/>
    <w:link w:val="881"/>
    <w:uiPriority w:val="9"/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879"/>
    <w:next w:val="879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5">
    <w:name w:val="Heading 5 Char"/>
    <w:basedOn w:val="882"/>
    <w:link w:val="714"/>
    <w:uiPriority w:val="9"/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879"/>
    <w:next w:val="879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7">
    <w:name w:val="Heading 6 Char"/>
    <w:basedOn w:val="882"/>
    <w:link w:val="716"/>
    <w:uiPriority w:val="9"/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879"/>
    <w:next w:val="879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9">
    <w:name w:val="Heading 7 Char"/>
    <w:basedOn w:val="882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879"/>
    <w:next w:val="879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1">
    <w:name w:val="Heading 8 Char"/>
    <w:basedOn w:val="88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paragraph" w:styleId="722">
    <w:name w:val="Heading 9"/>
    <w:basedOn w:val="879"/>
    <w:next w:val="879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>
    <w:name w:val="Heading 9 Char"/>
    <w:basedOn w:val="882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24">
    <w:name w:val="Title"/>
    <w:basedOn w:val="879"/>
    <w:next w:val="879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2"/>
    <w:link w:val="724"/>
    <w:uiPriority w:val="10"/>
    <w:rPr>
      <w:sz w:val="48"/>
      <w:szCs w:val="48"/>
    </w:rPr>
  </w:style>
  <w:style w:type="paragraph" w:styleId="726">
    <w:name w:val="Subtitle"/>
    <w:basedOn w:val="879"/>
    <w:next w:val="879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2"/>
    <w:link w:val="726"/>
    <w:uiPriority w:val="11"/>
    <w:rPr>
      <w:sz w:val="24"/>
      <w:szCs w:val="24"/>
    </w:rPr>
  </w:style>
  <w:style w:type="paragraph" w:styleId="728">
    <w:name w:val="Quote"/>
    <w:basedOn w:val="879"/>
    <w:next w:val="879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9"/>
    <w:next w:val="879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82"/>
    <w:link w:val="901"/>
    <w:uiPriority w:val="99"/>
  </w:style>
  <w:style w:type="character" w:styleId="733">
    <w:name w:val="Footer Char"/>
    <w:basedOn w:val="882"/>
    <w:link w:val="903"/>
    <w:uiPriority w:val="99"/>
  </w:style>
  <w:style w:type="paragraph" w:styleId="734">
    <w:name w:val="Caption"/>
    <w:basedOn w:val="879"/>
    <w:next w:val="8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>
    <w:name w:val="Caption Char"/>
    <w:basedOn w:val="734"/>
    <w:link w:val="903"/>
    <w:uiPriority w:val="99"/>
  </w:style>
  <w:style w:type="table" w:styleId="736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6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7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8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9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0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1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0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1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2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3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4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5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6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7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8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9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0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1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2">
    <w:name w:val="footnote text"/>
    <w:basedOn w:val="879"/>
    <w:link w:val="863"/>
    <w:uiPriority w:val="99"/>
    <w:semiHidden/>
    <w:unhideWhenUsed/>
    <w:pPr>
      <w:spacing w:after="40" w:line="240" w:lineRule="auto"/>
    </w:pPr>
    <w:rPr>
      <w:sz w:val="18"/>
    </w:rPr>
  </w:style>
  <w:style w:type="character" w:styleId="863">
    <w:name w:val="Footnote Text Char"/>
    <w:link w:val="862"/>
    <w:uiPriority w:val="99"/>
    <w:rPr>
      <w:sz w:val="18"/>
    </w:rPr>
  </w:style>
  <w:style w:type="character" w:styleId="864">
    <w:name w:val="footnote reference"/>
    <w:basedOn w:val="882"/>
    <w:uiPriority w:val="99"/>
    <w:unhideWhenUsed/>
    <w:rPr>
      <w:vertAlign w:val="superscript"/>
    </w:rPr>
  </w:style>
  <w:style w:type="paragraph" w:styleId="865">
    <w:name w:val="endnote text"/>
    <w:basedOn w:val="879"/>
    <w:link w:val="866"/>
    <w:uiPriority w:val="99"/>
    <w:semiHidden/>
    <w:unhideWhenUsed/>
    <w:pPr>
      <w:spacing w:after="0" w:line="240" w:lineRule="auto"/>
    </w:pPr>
    <w:rPr>
      <w:sz w:val="20"/>
    </w:rPr>
  </w:style>
  <w:style w:type="character" w:styleId="866">
    <w:name w:val="Endnote Text Char"/>
    <w:link w:val="865"/>
    <w:uiPriority w:val="99"/>
    <w:rPr>
      <w:sz w:val="20"/>
    </w:rPr>
  </w:style>
  <w:style w:type="character" w:styleId="867">
    <w:name w:val="endnote reference"/>
    <w:basedOn w:val="882"/>
    <w:uiPriority w:val="99"/>
    <w:semiHidden/>
    <w:unhideWhenUsed/>
    <w:rPr>
      <w:vertAlign w:val="superscript"/>
    </w:rPr>
  </w:style>
  <w:style w:type="paragraph" w:styleId="868">
    <w:name w:val="toc 1"/>
    <w:basedOn w:val="879"/>
    <w:next w:val="879"/>
    <w:uiPriority w:val="39"/>
    <w:unhideWhenUsed/>
    <w:pPr>
      <w:ind w:left="0" w:right="0" w:firstLine="0"/>
      <w:spacing w:after="57"/>
    </w:pPr>
  </w:style>
  <w:style w:type="paragraph" w:styleId="869">
    <w:name w:val="toc 2"/>
    <w:basedOn w:val="879"/>
    <w:next w:val="879"/>
    <w:uiPriority w:val="39"/>
    <w:unhideWhenUsed/>
    <w:pPr>
      <w:ind w:left="283" w:right="0" w:firstLine="0"/>
      <w:spacing w:after="57"/>
    </w:pPr>
  </w:style>
  <w:style w:type="paragraph" w:styleId="870">
    <w:name w:val="toc 3"/>
    <w:basedOn w:val="879"/>
    <w:next w:val="879"/>
    <w:uiPriority w:val="39"/>
    <w:unhideWhenUsed/>
    <w:pPr>
      <w:ind w:left="567" w:right="0" w:firstLine="0"/>
      <w:spacing w:after="57"/>
    </w:pPr>
  </w:style>
  <w:style w:type="paragraph" w:styleId="871">
    <w:name w:val="toc 4"/>
    <w:basedOn w:val="879"/>
    <w:next w:val="879"/>
    <w:uiPriority w:val="39"/>
    <w:unhideWhenUsed/>
    <w:pPr>
      <w:ind w:left="850" w:right="0" w:firstLine="0"/>
      <w:spacing w:after="57"/>
    </w:pPr>
  </w:style>
  <w:style w:type="paragraph" w:styleId="872">
    <w:name w:val="toc 5"/>
    <w:basedOn w:val="879"/>
    <w:next w:val="879"/>
    <w:uiPriority w:val="39"/>
    <w:unhideWhenUsed/>
    <w:pPr>
      <w:ind w:left="1134" w:right="0" w:firstLine="0"/>
      <w:spacing w:after="57"/>
    </w:pPr>
  </w:style>
  <w:style w:type="paragraph" w:styleId="873">
    <w:name w:val="toc 6"/>
    <w:basedOn w:val="879"/>
    <w:next w:val="879"/>
    <w:uiPriority w:val="39"/>
    <w:unhideWhenUsed/>
    <w:pPr>
      <w:ind w:left="1417" w:right="0" w:firstLine="0"/>
      <w:spacing w:after="57"/>
    </w:pPr>
  </w:style>
  <w:style w:type="paragraph" w:styleId="874">
    <w:name w:val="toc 7"/>
    <w:basedOn w:val="879"/>
    <w:next w:val="879"/>
    <w:uiPriority w:val="39"/>
    <w:unhideWhenUsed/>
    <w:pPr>
      <w:ind w:left="1701" w:right="0" w:firstLine="0"/>
      <w:spacing w:after="57"/>
    </w:pPr>
  </w:style>
  <w:style w:type="paragraph" w:styleId="875">
    <w:name w:val="toc 8"/>
    <w:basedOn w:val="879"/>
    <w:next w:val="879"/>
    <w:uiPriority w:val="39"/>
    <w:unhideWhenUsed/>
    <w:pPr>
      <w:ind w:left="1984" w:right="0" w:firstLine="0"/>
      <w:spacing w:after="57"/>
    </w:pPr>
  </w:style>
  <w:style w:type="paragraph" w:styleId="876">
    <w:name w:val="toc 9"/>
    <w:basedOn w:val="879"/>
    <w:next w:val="879"/>
    <w:uiPriority w:val="39"/>
    <w:unhideWhenUsed/>
    <w:pPr>
      <w:ind w:left="2268" w:right="0" w:firstLine="0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879"/>
    <w:next w:val="879"/>
    <w:uiPriority w:val="99"/>
    <w:unhideWhenUsed/>
    <w:pPr>
      <w:spacing w:after="0" w:afterAutospacing="0"/>
    </w:pPr>
  </w:style>
  <w:style w:type="paragraph" w:styleId="879" w:default="1">
    <w:name w:val="Normal"/>
    <w:qFormat/>
    <w:rPr>
      <w:rFonts w:ascii="Times New Roman" w:hAnsi="Times New Roman" w:eastAsia="Times New Roman"/>
    </w:rPr>
  </w:style>
  <w:style w:type="paragraph" w:styleId="880">
    <w:name w:val="Heading 1"/>
    <w:basedOn w:val="879"/>
    <w:next w:val="879"/>
    <w:link w:val="897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81">
    <w:name w:val="Heading 4"/>
    <w:basedOn w:val="879"/>
    <w:next w:val="879"/>
    <w:link w:val="886"/>
    <w:qFormat/>
    <w:pPr>
      <w:ind w:firstLine="709"/>
      <w:keepNext/>
      <w:outlineLvl w:val="3"/>
    </w:pPr>
    <w:rPr>
      <w:sz w:val="28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paragraph" w:styleId="885" w:customStyle="1">
    <w:name w:val="Стиль1"/>
    <w:basedOn w:val="879"/>
    <w:qFormat/>
    <w:rPr>
      <w:sz w:val="24"/>
    </w:rPr>
  </w:style>
  <w:style w:type="character" w:styleId="886" w:customStyle="1">
    <w:name w:val="Заголовок 4 Знак"/>
    <w:link w:val="881"/>
    <w:rPr>
      <w:rFonts w:ascii="Times New Roman" w:hAnsi="Times New Roman" w:eastAsia="Times New Roman"/>
      <w:szCs w:val="20"/>
      <w:lang w:eastAsia="ru-RU"/>
    </w:rPr>
  </w:style>
  <w:style w:type="paragraph" w:styleId="887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88">
    <w:name w:val="Balloon Text"/>
    <w:basedOn w:val="879"/>
    <w:link w:val="889"/>
    <w:uiPriority w:val="99"/>
    <w:semiHidden/>
    <w:unhideWhenUsed/>
    <w:rPr>
      <w:rFonts w:ascii="Tahoma" w:hAnsi="Tahoma" w:cs="Tahoma"/>
      <w:sz w:val="16"/>
      <w:szCs w:val="16"/>
    </w:rPr>
  </w:style>
  <w:style w:type="character" w:styleId="889" w:customStyle="1">
    <w:name w:val="Текст выноски Знак"/>
    <w:link w:val="88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0">
    <w:name w:val="List Paragraph"/>
    <w:basedOn w:val="879"/>
    <w:uiPriority w:val="34"/>
    <w:qFormat/>
    <w:pPr>
      <w:contextualSpacing/>
      <w:ind w:left="720"/>
    </w:pPr>
  </w:style>
  <w:style w:type="paragraph" w:styleId="891" w:customStyle="1">
    <w:name w:val="Знак Знак Знак Знак Знак Знак Знак Знак Знак Знак"/>
    <w:basedOn w:val="87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2" w:customStyle="1">
    <w:name w:val="Знак Знак Знак Знак"/>
    <w:basedOn w:val="87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3" w:customStyle="1">
    <w:name w:val="Знак Знак1 Знак Знак Знак Знак"/>
    <w:basedOn w:val="87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4">
    <w:name w:val="Hyperlink"/>
    <w:basedOn w:val="882"/>
    <w:uiPriority w:val="99"/>
    <w:unhideWhenUsed/>
    <w:rPr>
      <w:color w:val="0000ff" w:themeColor="hyperlink"/>
      <w:u w:val="single"/>
    </w:rPr>
  </w:style>
  <w:style w:type="paragraph" w:styleId="895">
    <w:name w:val="Normal (Web)"/>
    <w:basedOn w:val="87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6">
    <w:name w:val="No Spacing"/>
    <w:uiPriority w:val="1"/>
    <w:qFormat/>
    <w:rPr>
      <w:rFonts w:ascii="Times New Roman" w:hAnsi="Times New Roman" w:eastAsia="Times New Roman"/>
    </w:rPr>
  </w:style>
  <w:style w:type="character" w:styleId="897" w:customStyle="1">
    <w:name w:val="Заголовок 1 Знак"/>
    <w:basedOn w:val="882"/>
    <w:link w:val="880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98">
    <w:name w:val="Body Text"/>
    <w:basedOn w:val="879"/>
    <w:link w:val="899"/>
    <w:uiPriority w:val="99"/>
    <w:semiHidden/>
    <w:unhideWhenUsed/>
    <w:pPr>
      <w:spacing w:after="120"/>
    </w:pPr>
  </w:style>
  <w:style w:type="character" w:styleId="899" w:customStyle="1">
    <w:name w:val="Основной текст Знак"/>
    <w:basedOn w:val="882"/>
    <w:link w:val="898"/>
    <w:uiPriority w:val="99"/>
    <w:semiHidden/>
    <w:rPr>
      <w:rFonts w:ascii="Times New Roman" w:hAnsi="Times New Roman" w:eastAsia="Times New Roman"/>
    </w:rPr>
  </w:style>
  <w:style w:type="table" w:styleId="900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01">
    <w:name w:val="Header"/>
    <w:basedOn w:val="879"/>
    <w:link w:val="9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2" w:customStyle="1">
    <w:name w:val="Верхний колонтитул Знак"/>
    <w:basedOn w:val="882"/>
    <w:link w:val="901"/>
    <w:uiPriority w:val="99"/>
    <w:rPr>
      <w:rFonts w:ascii="Times New Roman" w:hAnsi="Times New Roman" w:eastAsia="Times New Roman"/>
    </w:rPr>
  </w:style>
  <w:style w:type="paragraph" w:styleId="903">
    <w:name w:val="Footer"/>
    <w:basedOn w:val="879"/>
    <w:link w:val="90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4" w:customStyle="1">
    <w:name w:val="Нижний колонтитул Знак"/>
    <w:basedOn w:val="882"/>
    <w:link w:val="903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7CAED-A241-47CD-98F3-80670CADF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26</cp:revision>
  <dcterms:created xsi:type="dcterms:W3CDTF">2026-05-12T15:24:00Z</dcterms:created>
  <dcterms:modified xsi:type="dcterms:W3CDTF">2026-06-11T07:59:43Z</dcterms:modified>
</cp:coreProperties>
</file>