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</w:pPr>
      <w:r/>
      <w:r/>
    </w:p>
    <w:p>
      <w:pPr>
        <w:jc w:val="center"/>
      </w:pPr>
      <w:r/>
      <w:r/>
    </w:p>
    <w:p>
      <w:pPr>
        <w:jc w:val="center"/>
      </w:pPr>
      <w:r/>
      <w:r/>
    </w:p>
    <w:p>
      <w:pPr>
        <w:jc w:val="center"/>
      </w:pPr>
      <w:r/>
      <w:r/>
    </w:p>
    <w:p>
      <w:pPr>
        <w:jc w:val="center"/>
      </w:pPr>
      <w:r/>
      <w:r/>
    </w:p>
    <w:p>
      <w:pPr>
        <w:jc w:val="center"/>
        <w:rPr>
          <w:szCs w:val="16"/>
        </w:rPr>
      </w:pPr>
      <w:r>
        <w:rPr>
          <w:b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0075" cy="739140"/>
                <wp:effectExtent l="0" t="0" r="9525" b="381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00075" cy="739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7.25pt;height:58.20pt;mso-wrap-distance-left:0.00pt;mso-wrap-distance-top:0.00pt;mso-wrap-distance-right:0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szCs w:val="16"/>
        </w:rPr>
      </w:r>
      <w:r>
        <w:rPr>
          <w:szCs w:val="16"/>
        </w:rPr>
      </w:r>
    </w:p>
    <w:p>
      <w:pPr>
        <w:jc w:val="center"/>
        <w:widowControl w:val="off"/>
        <w:rPr>
          <w:b/>
          <w:color w:val="000000"/>
          <w:sz w:val="28"/>
          <w:szCs w:val="44"/>
        </w:rPr>
      </w:pPr>
      <w:r>
        <w:rPr>
          <w:b/>
          <w:color w:val="000000"/>
          <w:sz w:val="28"/>
          <w:szCs w:val="44"/>
        </w:rPr>
      </w:r>
      <w:r>
        <w:rPr>
          <w:b/>
          <w:color w:val="000000"/>
          <w:sz w:val="28"/>
          <w:szCs w:val="44"/>
        </w:rPr>
      </w:r>
      <w:r>
        <w:rPr>
          <w:b/>
          <w:color w:val="000000"/>
          <w:sz w:val="28"/>
          <w:szCs w:val="44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 19.05.2026</w:t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  <w:t xml:space="preserve">                               № 879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</w:t>
      </w:r>
      <w:r>
        <w:rPr>
          <w:b/>
          <w:color w:val="000000"/>
          <w:sz w:val="24"/>
        </w:rPr>
        <w:t xml:space="preserve">. Никель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center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О внесении изменений в муниципальную программу Печенгского муниципального округа</w:t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  <w:t xml:space="preserve">«Комфортная среда проживания» на 2026 - 2028 годы, </w:t>
      </w:r>
      <w:r>
        <w:rPr>
          <w:b/>
        </w:rPr>
        <w:t xml:space="preserve">утвержденную</w:t>
      </w:r>
      <w:r>
        <w:rPr>
          <w:b/>
        </w:rPr>
        <w:t xml:space="preserve"> постановлением администрации                               Печенгского муниципального округа от 12.11.2025 № 1846</w:t>
      </w:r>
      <w:r>
        <w:rPr>
          <w:b/>
        </w:rPr>
      </w:r>
      <w:r>
        <w:rPr>
          <w:b/>
        </w:rPr>
      </w:r>
    </w:p>
    <w:p>
      <w:pPr>
        <w:ind w:left="34" w:firstLine="675"/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left="34" w:firstLine="675"/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статьей 179 Бюдже</w:t>
      </w:r>
      <w:r>
        <w:rPr>
          <w:sz w:val="24"/>
          <w:szCs w:val="24"/>
        </w:rPr>
        <w:t xml:space="preserve">тного 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18.09.2025 № 1488, в целях п</w:t>
      </w:r>
      <w:r>
        <w:rPr>
          <w:color w:val="000000"/>
          <w:sz w:val="24"/>
          <w:szCs w:val="24"/>
        </w:rPr>
        <w:t xml:space="preserve">овышения эффективности использования бюджетных средств,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18"/>
        </w:rPr>
      </w:pPr>
      <w:r>
        <w:rPr>
          <w:sz w:val="24"/>
          <w:szCs w:val="18"/>
        </w:rPr>
      </w:r>
      <w:r>
        <w:rPr>
          <w:sz w:val="24"/>
          <w:szCs w:val="18"/>
        </w:rPr>
      </w:r>
      <w:r>
        <w:rPr>
          <w:sz w:val="24"/>
          <w:szCs w:val="18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both"/>
        <w:widowControl w:val="off"/>
        <w:rPr>
          <w:sz w:val="24"/>
          <w:szCs w:val="18"/>
        </w:rPr>
      </w:pPr>
      <w:r>
        <w:rPr>
          <w:sz w:val="24"/>
          <w:szCs w:val="18"/>
        </w:rPr>
      </w:r>
      <w:r>
        <w:rPr>
          <w:sz w:val="24"/>
          <w:szCs w:val="18"/>
        </w:rPr>
      </w:r>
      <w:r>
        <w:rPr>
          <w:sz w:val="24"/>
          <w:szCs w:val="18"/>
        </w:rPr>
      </w:r>
    </w:p>
    <w:p>
      <w:pPr>
        <w:ind w:firstLine="709"/>
        <w:jc w:val="both"/>
        <w:tabs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 Внести в муниципальную программу</w:t>
      </w:r>
      <w:r>
        <w:t xml:space="preserve"> </w:t>
      </w:r>
      <w:r>
        <w:rPr>
          <w:sz w:val="24"/>
          <w:szCs w:val="24"/>
        </w:rPr>
        <w:t xml:space="preserve">Печенгского муниципального округа</w:t>
      </w:r>
      <w:r>
        <w:t xml:space="preserve"> </w:t>
      </w:r>
      <w:r>
        <w:rPr>
          <w:sz w:val="24"/>
          <w:szCs w:val="24"/>
        </w:rPr>
        <w:t xml:space="preserve">«Комфортная среда проживания» на 2026 - 2028 годы, утвержденную постановлением администрации Печенгского муниципального округа от 12.11.2025 № 1846 (в редакции постановления администрации Печенгского муниципального округа от </w:t>
      </w:r>
      <w:r>
        <w:rPr>
          <w:sz w:val="24"/>
          <w:szCs w:val="24"/>
        </w:rPr>
        <w:t xml:space="preserve">08.04.2026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552</w:t>
      </w:r>
      <w:r>
        <w:rPr>
          <w:sz w:val="24"/>
          <w:szCs w:val="24"/>
        </w:rPr>
        <w:t xml:space="preserve">)</w:t>
      </w:r>
      <w:r>
        <w:rPr>
          <w:b/>
        </w:rPr>
        <w:t xml:space="preserve"> </w:t>
      </w:r>
      <w:r>
        <w:rPr>
          <w:sz w:val="24"/>
          <w:szCs w:val="24"/>
        </w:rPr>
        <w:t xml:space="preserve">(далее – Программа),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строку «Финансовое обеспечение программы» в паспорте Программы изложить </w:t>
      </w:r>
      <w:r>
        <w:rPr>
          <w:sz w:val="24"/>
          <w:szCs w:val="24"/>
        </w:rPr>
        <w:t xml:space="preserve">в следующей</w:t>
      </w:r>
      <w:r>
        <w:rPr>
          <w:sz w:val="24"/>
          <w:szCs w:val="24"/>
        </w:rPr>
        <w:t xml:space="preserve">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582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170"/>
        <w:gridCol w:w="7412"/>
      </w:tblGrid>
      <w:tr>
        <w:tblPrEx/>
        <w:trPr>
          <w:jc w:val="center"/>
          <w:trHeight w:val="27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70" w:type="dxa"/>
            <w:textDirection w:val="lrTb"/>
            <w:noWrap w:val="false"/>
          </w:tcPr>
          <w:p>
            <w:pPr>
              <w:ind w:left="33" w:hanging="33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«Финансовое обеспечение 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2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Всего по программе: </w:t>
            </w:r>
            <w:r>
              <w:rPr>
                <w:b/>
                <w:sz w:val="24"/>
                <w:szCs w:val="24"/>
              </w:rPr>
              <w:t xml:space="preserve">863 106 193,22 рублей,</w:t>
            </w:r>
            <w:r>
              <w:rPr>
                <w:sz w:val="24"/>
                <w:szCs w:val="24"/>
              </w:rPr>
              <w:t xml:space="preserve"> в том числе: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МБ: 722 569 820,63 рублей, из них: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2026 год: 359 418 820,63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2027 год: 181 578 300,00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2028 год: 181 572 700,00 рублей;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ОБ: 74 747 649,71 рублей, из них: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2026 год: 71 367 991,71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2027 год: 1 688 379,00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2028 год: 1 691 279,00 рублей;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ФБ: 65 542 700,00 рублей, из них: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2026 год: 65 542 700,00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2027 год: 0,00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2028 год: 0,00 рублей;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ВБС: 246 022,88 рублей, из них: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2026 год: 246 022,88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2027 год: 0,00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widowControl w:val="off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2028 год: 0,00 рублей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24"/>
                <w:szCs w:val="24"/>
              </w:rPr>
              <w:t xml:space="preserve">»;</w:t>
            </w:r>
            <w:bookmarkStart w:id="0" w:name="_GoBack"/>
            <w:r/>
            <w:bookmarkEnd w:id="0"/>
            <w:r>
              <w:rPr>
                <w:i/>
                <w:sz w:val="24"/>
                <w:szCs w:val="24"/>
              </w:rPr>
            </w:r>
            <w:r>
              <w:rPr>
                <w:i/>
                <w:sz w:val="24"/>
                <w:szCs w:val="24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  <w:highlight w:val="none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ind w:firstLine="709"/>
        <w:jc w:val="both"/>
        <w:rPr>
          <w:sz w:val="24"/>
          <w:szCs w:val="24"/>
          <w:highlight w:val="none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ind w:firstLine="709"/>
        <w:jc w:val="both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- строки 0, 0.1, 2</w:t>
      </w:r>
      <w:r>
        <w:rPr>
          <w:sz w:val="24"/>
          <w:szCs w:val="24"/>
        </w:rPr>
        <w:t xml:space="preserve"> и</w:t>
      </w:r>
      <w:r>
        <w:rPr>
          <w:sz w:val="24"/>
          <w:szCs w:val="24"/>
        </w:rPr>
        <w:t xml:space="preserve"> 2.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таблицы </w:t>
      </w:r>
      <w:r>
        <w:rPr>
          <w:sz w:val="24"/>
          <w:szCs w:val="24"/>
        </w:rPr>
        <w:t xml:space="preserve">6 «Сведения об объемах финансирования муниципальной программы» Программы изложить в следующей редакции: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tbl>
      <w:tblPr>
        <w:tblStyle w:val="952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708"/>
        <w:gridCol w:w="851"/>
        <w:gridCol w:w="1276"/>
        <w:gridCol w:w="1275"/>
        <w:gridCol w:w="1276"/>
        <w:gridCol w:w="1223"/>
        <w:gridCol w:w="903"/>
      </w:tblGrid>
      <w:tr>
        <w:tblPrEx/>
        <w:trPr>
          <w:trHeight w:val="354"/>
        </w:trPr>
        <w:tc>
          <w:tcPr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«0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  <w:u w:val="single"/>
              </w:rPr>
              <w:t xml:space="preserve">Муниципальная программа</w:t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 xml:space="preserve">«Комфортная среда проживания»</w:t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70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 xml:space="preserve">2026- 2028</w:t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 xml:space="preserve">Всего:</w:t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6"/>
                <w:szCs w:val="18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 </w:t>
            </w:r>
            <w:r>
              <w:rPr>
                <w:b/>
                <w:bCs/>
                <w:color w:val="000000"/>
                <w:sz w:val="16"/>
                <w:szCs w:val="18"/>
              </w:rPr>
              <w:t xml:space="preserve">816 739 773,48   </w:t>
            </w:r>
            <w:r>
              <w:rPr>
                <w:b/>
                <w:bCs/>
                <w:color w:val="000000"/>
                <w:sz w:val="16"/>
                <w:szCs w:val="18"/>
              </w:rPr>
            </w:r>
            <w:r>
              <w:rPr>
                <w:b/>
                <w:bCs/>
                <w:color w:val="000000"/>
                <w:sz w:val="16"/>
                <w:szCs w:val="18"/>
              </w:rPr>
            </w:r>
          </w:p>
        </w:tc>
        <w:tc>
          <w:tcPr>
            <w:tcW w:w="1275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6"/>
                <w:szCs w:val="18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 </w:t>
            </w:r>
            <w:r>
              <w:rPr>
                <w:b/>
                <w:bCs/>
                <w:color w:val="000000"/>
                <w:sz w:val="16"/>
                <w:szCs w:val="18"/>
              </w:rPr>
              <w:t xml:space="preserve">450 209 115,48   </w:t>
            </w:r>
            <w:r>
              <w:rPr>
                <w:b/>
                <w:bCs/>
                <w:color w:val="000000"/>
                <w:sz w:val="16"/>
                <w:szCs w:val="18"/>
              </w:rPr>
            </w:r>
            <w:r>
              <w:rPr>
                <w:b/>
                <w:bCs/>
                <w:color w:val="000000"/>
                <w:sz w:val="16"/>
                <w:szCs w:val="18"/>
              </w:rPr>
            </w:r>
          </w:p>
        </w:tc>
        <w:tc>
          <w:tcPr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6"/>
                <w:szCs w:val="18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 </w:t>
            </w:r>
            <w:r>
              <w:rPr>
                <w:b/>
                <w:bCs/>
                <w:color w:val="000000"/>
                <w:sz w:val="16"/>
                <w:szCs w:val="18"/>
              </w:rPr>
              <w:t xml:space="preserve">183 266 679,00   </w:t>
            </w:r>
            <w:r>
              <w:rPr>
                <w:b/>
                <w:bCs/>
                <w:color w:val="000000"/>
                <w:sz w:val="16"/>
                <w:szCs w:val="18"/>
              </w:rPr>
            </w:r>
            <w:r>
              <w:rPr>
                <w:b/>
                <w:bCs/>
                <w:color w:val="000000"/>
                <w:sz w:val="16"/>
                <w:szCs w:val="18"/>
              </w:rPr>
            </w:r>
          </w:p>
        </w:tc>
        <w:tc>
          <w:tcPr>
            <w:tcW w:w="1223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6"/>
                <w:szCs w:val="18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183 263 979,00   </w:t>
            </w:r>
            <w:r>
              <w:rPr>
                <w:b/>
                <w:bCs/>
                <w:color w:val="000000"/>
                <w:sz w:val="16"/>
                <w:szCs w:val="18"/>
              </w:rPr>
            </w:r>
            <w:r>
              <w:rPr>
                <w:b/>
                <w:bCs/>
                <w:color w:val="000000"/>
                <w:sz w:val="16"/>
                <w:szCs w:val="18"/>
              </w:rPr>
            </w:r>
          </w:p>
        </w:tc>
        <w:tc>
          <w:tcPr>
            <w:tcW w:w="90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ОС и ЖКХ, МБУ «РЭС»,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МБУ «НДС»,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МКУ «</w:t>
            </w:r>
            <w:r>
              <w:rPr>
                <w:rFonts w:eastAsia="Calibri"/>
                <w:sz w:val="18"/>
                <w:szCs w:val="18"/>
              </w:rPr>
              <w:t xml:space="preserve">УБиР</w:t>
            </w:r>
            <w:r>
              <w:rPr>
                <w:rFonts w:eastAsia="Calibri"/>
                <w:sz w:val="18"/>
                <w:szCs w:val="18"/>
              </w:rPr>
              <w:t xml:space="preserve">»,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ОРН</w:t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</w:tr>
      <w:tr>
        <w:tblPrEx/>
        <w:trPr>
          <w:trHeight w:val="138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 xml:space="preserve">МБ</w:t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6"/>
                <w:szCs w:val="18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 </w:t>
            </w:r>
            <w:r>
              <w:rPr>
                <w:b/>
                <w:bCs/>
                <w:color w:val="000000"/>
                <w:sz w:val="16"/>
                <w:szCs w:val="18"/>
              </w:rPr>
              <w:t xml:space="preserve">676 203 400,89   </w:t>
            </w:r>
            <w:r>
              <w:rPr>
                <w:b/>
                <w:bCs/>
                <w:color w:val="000000"/>
                <w:sz w:val="16"/>
                <w:szCs w:val="18"/>
              </w:rPr>
            </w:r>
            <w:r>
              <w:rPr>
                <w:b/>
                <w:bCs/>
                <w:color w:val="000000"/>
                <w:sz w:val="16"/>
                <w:szCs w:val="18"/>
              </w:rPr>
            </w:r>
          </w:p>
        </w:tc>
        <w:tc>
          <w:tcPr>
            <w:tcW w:w="1275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6"/>
                <w:szCs w:val="18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 </w:t>
            </w:r>
            <w:r>
              <w:rPr>
                <w:b/>
                <w:bCs/>
                <w:color w:val="000000"/>
                <w:sz w:val="16"/>
                <w:szCs w:val="18"/>
              </w:rPr>
              <w:t xml:space="preserve">313 052 400,89   </w:t>
            </w:r>
            <w:r>
              <w:rPr>
                <w:b/>
                <w:bCs/>
                <w:color w:val="000000"/>
                <w:sz w:val="16"/>
                <w:szCs w:val="18"/>
              </w:rPr>
            </w:r>
            <w:r>
              <w:rPr>
                <w:b/>
                <w:bCs/>
                <w:color w:val="000000"/>
                <w:sz w:val="16"/>
                <w:szCs w:val="18"/>
              </w:rPr>
            </w:r>
          </w:p>
        </w:tc>
        <w:tc>
          <w:tcPr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6"/>
                <w:szCs w:val="18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 </w:t>
            </w:r>
            <w:r>
              <w:rPr>
                <w:b/>
                <w:bCs/>
                <w:color w:val="000000"/>
                <w:sz w:val="16"/>
                <w:szCs w:val="18"/>
              </w:rPr>
              <w:t xml:space="preserve">181 578 300,00   </w:t>
            </w:r>
            <w:r>
              <w:rPr>
                <w:b/>
                <w:bCs/>
                <w:color w:val="000000"/>
                <w:sz w:val="16"/>
                <w:szCs w:val="18"/>
              </w:rPr>
            </w:r>
            <w:r>
              <w:rPr>
                <w:b/>
                <w:bCs/>
                <w:color w:val="000000"/>
                <w:sz w:val="16"/>
                <w:szCs w:val="18"/>
              </w:rPr>
            </w:r>
          </w:p>
        </w:tc>
        <w:tc>
          <w:tcPr>
            <w:tcW w:w="1223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6"/>
                <w:szCs w:val="18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181 572 700,00   </w:t>
            </w:r>
            <w:r>
              <w:rPr>
                <w:b/>
                <w:bCs/>
                <w:color w:val="000000"/>
                <w:sz w:val="16"/>
                <w:szCs w:val="18"/>
              </w:rPr>
            </w:r>
            <w:r>
              <w:rPr>
                <w:b/>
                <w:bCs/>
                <w:color w:val="000000"/>
                <w:sz w:val="16"/>
                <w:szCs w:val="18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</w:tr>
      <w:tr>
        <w:tblPrEx/>
        <w:trPr>
          <w:trHeight w:val="138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 xml:space="preserve">ОБ</w:t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6"/>
                <w:szCs w:val="18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   </w:t>
            </w:r>
            <w:r>
              <w:rPr>
                <w:b/>
                <w:bCs/>
                <w:color w:val="000000"/>
                <w:sz w:val="16"/>
                <w:szCs w:val="18"/>
              </w:rPr>
              <w:t xml:space="preserve">74 747 649,71   </w:t>
            </w:r>
            <w:r>
              <w:rPr>
                <w:b/>
                <w:bCs/>
                <w:color w:val="000000"/>
                <w:sz w:val="16"/>
                <w:szCs w:val="18"/>
              </w:rPr>
            </w:r>
            <w:r>
              <w:rPr>
                <w:b/>
                <w:bCs/>
                <w:color w:val="000000"/>
                <w:sz w:val="16"/>
                <w:szCs w:val="18"/>
              </w:rPr>
            </w:r>
          </w:p>
        </w:tc>
        <w:tc>
          <w:tcPr>
            <w:tcW w:w="1275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6"/>
                <w:szCs w:val="18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   </w:t>
            </w:r>
            <w:r>
              <w:rPr>
                <w:b/>
                <w:bCs/>
                <w:color w:val="000000"/>
                <w:sz w:val="16"/>
                <w:szCs w:val="18"/>
              </w:rPr>
              <w:t xml:space="preserve">71 367 991,71   </w:t>
            </w:r>
            <w:r>
              <w:rPr>
                <w:b/>
                <w:bCs/>
                <w:color w:val="000000"/>
                <w:sz w:val="16"/>
                <w:szCs w:val="18"/>
              </w:rPr>
            </w:r>
            <w:r>
              <w:rPr>
                <w:b/>
                <w:bCs/>
                <w:color w:val="000000"/>
                <w:sz w:val="16"/>
                <w:szCs w:val="18"/>
              </w:rPr>
            </w:r>
          </w:p>
        </w:tc>
        <w:tc>
          <w:tcPr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6"/>
                <w:szCs w:val="18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     </w:t>
            </w:r>
            <w:r>
              <w:rPr>
                <w:b/>
                <w:bCs/>
                <w:color w:val="000000"/>
                <w:sz w:val="16"/>
                <w:szCs w:val="18"/>
              </w:rPr>
              <w:t xml:space="preserve">1 688 379,00   </w:t>
            </w:r>
            <w:r>
              <w:rPr>
                <w:b/>
                <w:bCs/>
                <w:color w:val="000000"/>
                <w:sz w:val="16"/>
                <w:szCs w:val="18"/>
              </w:rPr>
            </w:r>
            <w:r>
              <w:rPr>
                <w:b/>
                <w:bCs/>
                <w:color w:val="000000"/>
                <w:sz w:val="16"/>
                <w:szCs w:val="18"/>
              </w:rPr>
            </w:r>
          </w:p>
        </w:tc>
        <w:tc>
          <w:tcPr>
            <w:tcW w:w="1223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6"/>
                <w:szCs w:val="18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    </w:t>
            </w:r>
            <w:r>
              <w:rPr>
                <w:b/>
                <w:bCs/>
                <w:color w:val="000000"/>
                <w:sz w:val="16"/>
                <w:szCs w:val="18"/>
              </w:rPr>
              <w:t xml:space="preserve">1 691 279,00   </w:t>
            </w:r>
            <w:r>
              <w:rPr>
                <w:b/>
                <w:bCs/>
                <w:color w:val="000000"/>
                <w:sz w:val="16"/>
                <w:szCs w:val="18"/>
              </w:rPr>
            </w:r>
            <w:r>
              <w:rPr>
                <w:b/>
                <w:bCs/>
                <w:color w:val="000000"/>
                <w:sz w:val="16"/>
                <w:szCs w:val="18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</w:tr>
      <w:tr>
        <w:tblPrEx/>
        <w:trPr>
          <w:trHeight w:val="138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 xml:space="preserve">ФБ</w:t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6"/>
                <w:szCs w:val="18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 </w:t>
            </w:r>
            <w:r>
              <w:rPr>
                <w:b/>
                <w:bCs/>
                <w:color w:val="000000"/>
                <w:sz w:val="16"/>
                <w:szCs w:val="18"/>
              </w:rPr>
              <w:t xml:space="preserve">  </w:t>
            </w:r>
            <w:r>
              <w:rPr>
                <w:b/>
                <w:bCs/>
                <w:color w:val="000000"/>
                <w:sz w:val="16"/>
                <w:szCs w:val="18"/>
              </w:rPr>
              <w:t xml:space="preserve">65 542 700,00   </w:t>
            </w:r>
            <w:r>
              <w:rPr>
                <w:b/>
                <w:bCs/>
                <w:color w:val="000000"/>
                <w:sz w:val="16"/>
                <w:szCs w:val="18"/>
              </w:rPr>
            </w:r>
            <w:r>
              <w:rPr>
                <w:b/>
                <w:bCs/>
                <w:color w:val="000000"/>
                <w:sz w:val="16"/>
                <w:szCs w:val="18"/>
              </w:rPr>
            </w:r>
          </w:p>
        </w:tc>
        <w:tc>
          <w:tcPr>
            <w:tcW w:w="1275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6"/>
                <w:szCs w:val="18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   </w:t>
            </w:r>
            <w:r>
              <w:rPr>
                <w:b/>
                <w:bCs/>
                <w:color w:val="000000"/>
                <w:sz w:val="16"/>
                <w:szCs w:val="18"/>
              </w:rPr>
              <w:t xml:space="preserve">65 542 700,00   </w:t>
            </w:r>
            <w:r>
              <w:rPr>
                <w:b/>
                <w:bCs/>
                <w:color w:val="000000"/>
                <w:sz w:val="16"/>
                <w:szCs w:val="18"/>
              </w:rPr>
            </w:r>
            <w:r>
              <w:rPr>
                <w:b/>
                <w:bCs/>
                <w:color w:val="000000"/>
                <w:sz w:val="16"/>
                <w:szCs w:val="18"/>
              </w:rPr>
            </w:r>
          </w:p>
        </w:tc>
        <w:tc>
          <w:tcPr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6"/>
                <w:szCs w:val="18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                        -     </w:t>
            </w:r>
            <w:r>
              <w:rPr>
                <w:b/>
                <w:bCs/>
                <w:color w:val="000000"/>
                <w:sz w:val="16"/>
                <w:szCs w:val="18"/>
              </w:rPr>
            </w:r>
            <w:r>
              <w:rPr>
                <w:b/>
                <w:bCs/>
                <w:color w:val="000000"/>
                <w:sz w:val="16"/>
                <w:szCs w:val="18"/>
              </w:rPr>
            </w:r>
          </w:p>
        </w:tc>
        <w:tc>
          <w:tcPr>
            <w:tcW w:w="1223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6"/>
                <w:szCs w:val="18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                        -     </w:t>
            </w:r>
            <w:r>
              <w:rPr>
                <w:b/>
                <w:bCs/>
                <w:color w:val="000000"/>
                <w:sz w:val="16"/>
                <w:szCs w:val="18"/>
              </w:rPr>
            </w:r>
            <w:r>
              <w:rPr>
                <w:b/>
                <w:bCs/>
                <w:color w:val="000000"/>
                <w:sz w:val="16"/>
                <w:szCs w:val="18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</w:tr>
      <w:tr>
        <w:tblPrEx/>
        <w:trPr>
          <w:trHeight w:val="357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 xml:space="preserve">ВБС</w:t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6"/>
                <w:szCs w:val="18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       </w:t>
            </w:r>
            <w:r>
              <w:rPr>
                <w:b/>
                <w:bCs/>
                <w:color w:val="000000"/>
                <w:sz w:val="16"/>
                <w:szCs w:val="18"/>
              </w:rPr>
              <w:t xml:space="preserve"> 246 022,88   </w:t>
            </w:r>
            <w:r>
              <w:rPr>
                <w:b/>
                <w:bCs/>
                <w:color w:val="000000"/>
                <w:sz w:val="16"/>
                <w:szCs w:val="18"/>
              </w:rPr>
            </w:r>
            <w:r>
              <w:rPr>
                <w:b/>
                <w:bCs/>
                <w:color w:val="000000"/>
                <w:sz w:val="16"/>
                <w:szCs w:val="18"/>
              </w:rPr>
            </w:r>
          </w:p>
        </w:tc>
        <w:tc>
          <w:tcPr>
            <w:tcW w:w="1275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6"/>
                <w:szCs w:val="18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        </w:t>
            </w:r>
            <w:r>
              <w:rPr>
                <w:b/>
                <w:bCs/>
                <w:color w:val="000000"/>
                <w:sz w:val="16"/>
                <w:szCs w:val="18"/>
              </w:rPr>
              <w:t xml:space="preserve">246 022,88   </w:t>
            </w:r>
            <w:r>
              <w:rPr>
                <w:b/>
                <w:bCs/>
                <w:color w:val="000000"/>
                <w:sz w:val="16"/>
                <w:szCs w:val="18"/>
              </w:rPr>
            </w:r>
            <w:r>
              <w:rPr>
                <w:b/>
                <w:bCs/>
                <w:color w:val="000000"/>
                <w:sz w:val="16"/>
                <w:szCs w:val="18"/>
              </w:rPr>
            </w:r>
          </w:p>
        </w:tc>
        <w:tc>
          <w:tcPr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6"/>
                <w:szCs w:val="18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                        -     </w:t>
            </w:r>
            <w:r>
              <w:rPr>
                <w:b/>
                <w:bCs/>
                <w:color w:val="000000"/>
                <w:sz w:val="16"/>
                <w:szCs w:val="18"/>
              </w:rPr>
            </w:r>
            <w:r>
              <w:rPr>
                <w:b/>
                <w:bCs/>
                <w:color w:val="000000"/>
                <w:sz w:val="16"/>
                <w:szCs w:val="18"/>
              </w:rPr>
            </w:r>
          </w:p>
        </w:tc>
        <w:tc>
          <w:tcPr>
            <w:tcW w:w="1223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6"/>
                <w:szCs w:val="18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                        -     </w:t>
            </w:r>
            <w:r>
              <w:rPr>
                <w:b/>
                <w:bCs/>
                <w:color w:val="000000"/>
                <w:sz w:val="16"/>
                <w:szCs w:val="18"/>
              </w:rPr>
            </w:r>
            <w:r>
              <w:rPr>
                <w:b/>
                <w:bCs/>
                <w:color w:val="000000"/>
                <w:sz w:val="16"/>
                <w:szCs w:val="18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</w:tr>
      <w:tr>
        <w:tblPrEx/>
        <w:trPr>
          <w:trHeight w:val="138"/>
        </w:trPr>
        <w:tc>
          <w:tcPr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0.1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 xml:space="preserve">Администрация Печенгского муниципального округа</w:t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70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 xml:space="preserve">2026-2028</w:t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 xml:space="preserve">Всего:</w:t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6"/>
                <w:szCs w:val="18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 </w:t>
            </w:r>
            <w:r>
              <w:rPr>
                <w:b/>
                <w:bCs/>
                <w:color w:val="000000"/>
                <w:sz w:val="16"/>
                <w:szCs w:val="18"/>
              </w:rPr>
              <w:t xml:space="preserve">810 254 874,48   </w:t>
            </w:r>
            <w:r>
              <w:rPr>
                <w:b/>
                <w:bCs/>
                <w:color w:val="000000"/>
                <w:sz w:val="16"/>
                <w:szCs w:val="18"/>
              </w:rPr>
            </w:r>
            <w:r>
              <w:rPr>
                <w:b/>
                <w:bCs/>
                <w:color w:val="000000"/>
                <w:sz w:val="16"/>
                <w:szCs w:val="18"/>
              </w:rPr>
            </w:r>
          </w:p>
        </w:tc>
        <w:tc>
          <w:tcPr>
            <w:tcW w:w="1275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6"/>
                <w:szCs w:val="18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 </w:t>
            </w:r>
            <w:r>
              <w:rPr>
                <w:b/>
                <w:bCs/>
                <w:color w:val="000000"/>
                <w:sz w:val="16"/>
                <w:szCs w:val="18"/>
              </w:rPr>
              <w:t xml:space="preserve">443 724 216,48   </w:t>
            </w:r>
            <w:r>
              <w:rPr>
                <w:b/>
                <w:bCs/>
                <w:color w:val="000000"/>
                <w:sz w:val="16"/>
                <w:szCs w:val="18"/>
              </w:rPr>
            </w:r>
            <w:r>
              <w:rPr>
                <w:b/>
                <w:bCs/>
                <w:color w:val="000000"/>
                <w:sz w:val="16"/>
                <w:szCs w:val="18"/>
              </w:rPr>
            </w:r>
          </w:p>
        </w:tc>
        <w:tc>
          <w:tcPr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6"/>
                <w:szCs w:val="18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 </w:t>
            </w:r>
            <w:r>
              <w:rPr>
                <w:b/>
                <w:bCs/>
                <w:color w:val="000000"/>
                <w:sz w:val="16"/>
                <w:szCs w:val="18"/>
              </w:rPr>
              <w:t xml:space="preserve">183 266 679,00   </w:t>
            </w:r>
            <w:r>
              <w:rPr>
                <w:b/>
                <w:bCs/>
                <w:color w:val="000000"/>
                <w:sz w:val="16"/>
                <w:szCs w:val="18"/>
              </w:rPr>
            </w:r>
            <w:r>
              <w:rPr>
                <w:b/>
                <w:bCs/>
                <w:color w:val="000000"/>
                <w:sz w:val="16"/>
                <w:szCs w:val="18"/>
              </w:rPr>
            </w:r>
          </w:p>
        </w:tc>
        <w:tc>
          <w:tcPr>
            <w:tcW w:w="1223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6"/>
                <w:szCs w:val="18"/>
              </w:rPr>
            </w:pPr>
            <w:r>
              <w:rPr>
                <w:b/>
                <w:bCs/>
                <w:color w:val="000000"/>
                <w:sz w:val="16"/>
                <w:szCs w:val="18"/>
              </w:rPr>
              <w:t xml:space="preserve">183 263 979,00   </w:t>
            </w:r>
            <w:r>
              <w:rPr>
                <w:b/>
                <w:bCs/>
                <w:color w:val="000000"/>
                <w:sz w:val="16"/>
                <w:szCs w:val="18"/>
              </w:rPr>
            </w:r>
            <w:r>
              <w:rPr>
                <w:b/>
                <w:bCs/>
                <w:color w:val="000000"/>
                <w:sz w:val="16"/>
                <w:szCs w:val="18"/>
              </w:rPr>
            </w:r>
          </w:p>
        </w:tc>
        <w:tc>
          <w:tcPr>
            <w:tcW w:w="903" w:type="dxa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</w:tr>
      <w:tr>
        <w:tblPrEx/>
        <w:trPr>
          <w:trHeight w:val="138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МБ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color w:val="000000"/>
                <w:sz w:val="16"/>
                <w:szCs w:val="18"/>
              </w:rPr>
            </w:pPr>
            <w:r>
              <w:rPr>
                <w:color w:val="000000"/>
                <w:sz w:val="16"/>
                <w:szCs w:val="18"/>
              </w:rPr>
              <w:t xml:space="preserve"> </w:t>
            </w:r>
            <w:r>
              <w:rPr>
                <w:color w:val="000000"/>
                <w:sz w:val="16"/>
                <w:szCs w:val="18"/>
              </w:rPr>
              <w:t xml:space="preserve">669 718 501,89   </w:t>
            </w:r>
            <w:r>
              <w:rPr>
                <w:color w:val="000000"/>
                <w:sz w:val="16"/>
                <w:szCs w:val="18"/>
              </w:rPr>
            </w:r>
            <w:r>
              <w:rPr>
                <w:color w:val="000000"/>
                <w:sz w:val="16"/>
                <w:szCs w:val="18"/>
              </w:rPr>
            </w:r>
          </w:p>
        </w:tc>
        <w:tc>
          <w:tcPr>
            <w:tcW w:w="1275" w:type="dxa"/>
            <w:vAlign w:val="bottom"/>
            <w:textDirection w:val="lrTb"/>
            <w:noWrap w:val="false"/>
          </w:tcPr>
          <w:p>
            <w:pPr>
              <w:jc w:val="right"/>
              <w:rPr>
                <w:color w:val="000000"/>
                <w:sz w:val="16"/>
                <w:szCs w:val="18"/>
              </w:rPr>
            </w:pPr>
            <w:r>
              <w:rPr>
                <w:color w:val="000000"/>
                <w:sz w:val="16"/>
                <w:szCs w:val="18"/>
              </w:rPr>
              <w:t xml:space="preserve">306 567 501,89   </w:t>
            </w:r>
            <w:r>
              <w:rPr>
                <w:color w:val="000000"/>
                <w:sz w:val="16"/>
                <w:szCs w:val="18"/>
              </w:rPr>
            </w:r>
            <w:r>
              <w:rPr>
                <w:color w:val="000000"/>
                <w:sz w:val="16"/>
                <w:szCs w:val="18"/>
              </w:rPr>
            </w:r>
          </w:p>
        </w:tc>
        <w:tc>
          <w:tcPr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color w:val="000000"/>
                <w:sz w:val="16"/>
                <w:szCs w:val="18"/>
              </w:rPr>
            </w:pPr>
            <w:r>
              <w:rPr>
                <w:color w:val="000000"/>
                <w:sz w:val="16"/>
                <w:szCs w:val="18"/>
              </w:rPr>
              <w:t xml:space="preserve"> </w:t>
            </w:r>
            <w:r>
              <w:rPr>
                <w:color w:val="000000"/>
                <w:sz w:val="16"/>
                <w:szCs w:val="18"/>
              </w:rPr>
              <w:t xml:space="preserve">181 578 300,00   </w:t>
            </w:r>
            <w:r>
              <w:rPr>
                <w:color w:val="000000"/>
                <w:sz w:val="16"/>
                <w:szCs w:val="18"/>
              </w:rPr>
            </w:r>
            <w:r>
              <w:rPr>
                <w:color w:val="000000"/>
                <w:sz w:val="16"/>
                <w:szCs w:val="18"/>
              </w:rPr>
            </w:r>
          </w:p>
        </w:tc>
        <w:tc>
          <w:tcPr>
            <w:tcW w:w="1223" w:type="dxa"/>
            <w:vAlign w:val="bottom"/>
            <w:textDirection w:val="lrTb"/>
            <w:noWrap w:val="false"/>
          </w:tcPr>
          <w:p>
            <w:pPr>
              <w:jc w:val="right"/>
              <w:rPr>
                <w:color w:val="000000"/>
                <w:sz w:val="16"/>
                <w:szCs w:val="18"/>
              </w:rPr>
            </w:pPr>
            <w:r>
              <w:rPr>
                <w:color w:val="000000"/>
                <w:sz w:val="16"/>
                <w:szCs w:val="18"/>
              </w:rPr>
              <w:t xml:space="preserve">181 572 700,00   </w:t>
            </w:r>
            <w:r>
              <w:rPr>
                <w:color w:val="000000"/>
                <w:sz w:val="16"/>
                <w:szCs w:val="18"/>
              </w:rPr>
            </w:r>
            <w:r>
              <w:rPr>
                <w:color w:val="000000"/>
                <w:sz w:val="16"/>
                <w:szCs w:val="18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</w:tr>
      <w:tr>
        <w:tblPrEx/>
        <w:trPr>
          <w:trHeight w:val="138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ОБ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color w:val="000000"/>
                <w:sz w:val="16"/>
                <w:szCs w:val="18"/>
              </w:rPr>
            </w:pPr>
            <w:r>
              <w:rPr>
                <w:color w:val="000000"/>
                <w:sz w:val="16"/>
                <w:szCs w:val="18"/>
              </w:rPr>
              <w:t xml:space="preserve">   </w:t>
            </w:r>
            <w:r>
              <w:rPr>
                <w:color w:val="000000"/>
                <w:sz w:val="16"/>
                <w:szCs w:val="18"/>
              </w:rPr>
              <w:t xml:space="preserve">74 747 649,71   </w:t>
            </w:r>
            <w:r>
              <w:rPr>
                <w:color w:val="000000"/>
                <w:sz w:val="16"/>
                <w:szCs w:val="18"/>
              </w:rPr>
            </w:r>
            <w:r>
              <w:rPr>
                <w:color w:val="000000"/>
                <w:sz w:val="16"/>
                <w:szCs w:val="18"/>
              </w:rPr>
            </w:r>
          </w:p>
        </w:tc>
        <w:tc>
          <w:tcPr>
            <w:tcW w:w="1275" w:type="dxa"/>
            <w:vAlign w:val="bottom"/>
            <w:textDirection w:val="lrTb"/>
            <w:noWrap w:val="false"/>
          </w:tcPr>
          <w:p>
            <w:pPr>
              <w:jc w:val="right"/>
              <w:rPr>
                <w:color w:val="000000"/>
                <w:sz w:val="16"/>
                <w:szCs w:val="18"/>
              </w:rPr>
            </w:pPr>
            <w:r>
              <w:rPr>
                <w:color w:val="000000"/>
                <w:sz w:val="16"/>
                <w:szCs w:val="18"/>
              </w:rPr>
              <w:t xml:space="preserve">   </w:t>
            </w:r>
            <w:r>
              <w:rPr>
                <w:color w:val="000000"/>
                <w:sz w:val="16"/>
                <w:szCs w:val="18"/>
              </w:rPr>
              <w:t xml:space="preserve">71 367 991,71   </w:t>
            </w:r>
            <w:r>
              <w:rPr>
                <w:color w:val="000000"/>
                <w:sz w:val="16"/>
                <w:szCs w:val="18"/>
              </w:rPr>
            </w:r>
            <w:r>
              <w:rPr>
                <w:color w:val="000000"/>
                <w:sz w:val="16"/>
                <w:szCs w:val="18"/>
              </w:rPr>
            </w:r>
          </w:p>
        </w:tc>
        <w:tc>
          <w:tcPr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color w:val="000000"/>
                <w:sz w:val="16"/>
                <w:szCs w:val="18"/>
              </w:rPr>
            </w:pPr>
            <w:r>
              <w:rPr>
                <w:color w:val="000000"/>
                <w:sz w:val="16"/>
                <w:szCs w:val="18"/>
              </w:rPr>
              <w:t xml:space="preserve">    </w:t>
            </w:r>
            <w:r>
              <w:rPr>
                <w:color w:val="000000"/>
                <w:sz w:val="16"/>
                <w:szCs w:val="18"/>
              </w:rPr>
              <w:t xml:space="preserve">1 688 379,00   </w:t>
            </w:r>
            <w:r>
              <w:rPr>
                <w:color w:val="000000"/>
                <w:sz w:val="16"/>
                <w:szCs w:val="18"/>
              </w:rPr>
            </w:r>
            <w:r>
              <w:rPr>
                <w:color w:val="000000"/>
                <w:sz w:val="16"/>
                <w:szCs w:val="18"/>
              </w:rPr>
            </w:r>
          </w:p>
        </w:tc>
        <w:tc>
          <w:tcPr>
            <w:tcW w:w="1223" w:type="dxa"/>
            <w:vAlign w:val="bottom"/>
            <w:textDirection w:val="lrTb"/>
            <w:noWrap w:val="false"/>
          </w:tcPr>
          <w:p>
            <w:pPr>
              <w:jc w:val="right"/>
              <w:rPr>
                <w:color w:val="000000"/>
                <w:sz w:val="16"/>
                <w:szCs w:val="18"/>
              </w:rPr>
            </w:pPr>
            <w:r>
              <w:rPr>
                <w:color w:val="000000"/>
                <w:sz w:val="16"/>
                <w:szCs w:val="18"/>
              </w:rPr>
              <w:t xml:space="preserve">    </w:t>
            </w:r>
            <w:r>
              <w:rPr>
                <w:color w:val="000000"/>
                <w:sz w:val="16"/>
                <w:szCs w:val="18"/>
              </w:rPr>
              <w:t xml:space="preserve">1 691 279,00   </w:t>
            </w:r>
            <w:r>
              <w:rPr>
                <w:color w:val="000000"/>
                <w:sz w:val="16"/>
                <w:szCs w:val="18"/>
              </w:rPr>
            </w:r>
            <w:r>
              <w:rPr>
                <w:color w:val="000000"/>
                <w:sz w:val="16"/>
                <w:szCs w:val="18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</w:tr>
      <w:tr>
        <w:tblPrEx/>
        <w:trPr>
          <w:trHeight w:val="138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ФБ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color w:val="000000"/>
                <w:sz w:val="16"/>
                <w:szCs w:val="18"/>
              </w:rPr>
            </w:pPr>
            <w:r>
              <w:rPr>
                <w:color w:val="000000"/>
                <w:sz w:val="16"/>
                <w:szCs w:val="18"/>
              </w:rPr>
              <w:t xml:space="preserve">   </w:t>
            </w:r>
            <w:r>
              <w:rPr>
                <w:color w:val="000000"/>
                <w:sz w:val="16"/>
                <w:szCs w:val="18"/>
              </w:rPr>
              <w:t xml:space="preserve">65 542 700,00   </w:t>
            </w:r>
            <w:r>
              <w:rPr>
                <w:color w:val="000000"/>
                <w:sz w:val="16"/>
                <w:szCs w:val="18"/>
              </w:rPr>
            </w:r>
            <w:r>
              <w:rPr>
                <w:color w:val="000000"/>
                <w:sz w:val="16"/>
                <w:szCs w:val="18"/>
              </w:rPr>
            </w:r>
          </w:p>
        </w:tc>
        <w:tc>
          <w:tcPr>
            <w:tcW w:w="1275" w:type="dxa"/>
            <w:vAlign w:val="bottom"/>
            <w:textDirection w:val="lrTb"/>
            <w:noWrap w:val="false"/>
          </w:tcPr>
          <w:p>
            <w:pPr>
              <w:jc w:val="right"/>
              <w:rPr>
                <w:color w:val="000000"/>
                <w:sz w:val="16"/>
                <w:szCs w:val="18"/>
              </w:rPr>
            </w:pPr>
            <w:r>
              <w:rPr>
                <w:color w:val="000000"/>
                <w:sz w:val="16"/>
                <w:szCs w:val="18"/>
              </w:rPr>
              <w:t xml:space="preserve">  </w:t>
            </w:r>
            <w:r>
              <w:rPr>
                <w:color w:val="000000"/>
                <w:sz w:val="16"/>
                <w:szCs w:val="18"/>
              </w:rPr>
              <w:t xml:space="preserve">65 542 700,00   </w:t>
            </w:r>
            <w:r>
              <w:rPr>
                <w:color w:val="000000"/>
                <w:sz w:val="16"/>
                <w:szCs w:val="18"/>
              </w:rPr>
            </w:r>
            <w:r>
              <w:rPr>
                <w:color w:val="000000"/>
                <w:sz w:val="16"/>
                <w:szCs w:val="18"/>
              </w:rPr>
            </w:r>
          </w:p>
        </w:tc>
        <w:tc>
          <w:tcPr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color w:val="000000"/>
                <w:sz w:val="16"/>
                <w:szCs w:val="18"/>
              </w:rPr>
            </w:pPr>
            <w:r>
              <w:rPr>
                <w:color w:val="000000"/>
                <w:sz w:val="16"/>
                <w:szCs w:val="18"/>
              </w:rPr>
              <w:t xml:space="preserve">                        -     </w:t>
            </w:r>
            <w:r>
              <w:rPr>
                <w:color w:val="000000"/>
                <w:sz w:val="16"/>
                <w:szCs w:val="18"/>
              </w:rPr>
            </w:r>
            <w:r>
              <w:rPr>
                <w:color w:val="000000"/>
                <w:sz w:val="16"/>
                <w:szCs w:val="18"/>
              </w:rPr>
            </w:r>
          </w:p>
        </w:tc>
        <w:tc>
          <w:tcPr>
            <w:tcW w:w="1223" w:type="dxa"/>
            <w:vAlign w:val="bottom"/>
            <w:textDirection w:val="lrTb"/>
            <w:noWrap w:val="false"/>
          </w:tcPr>
          <w:p>
            <w:pPr>
              <w:jc w:val="right"/>
              <w:rPr>
                <w:color w:val="000000"/>
                <w:sz w:val="16"/>
                <w:szCs w:val="18"/>
              </w:rPr>
            </w:pPr>
            <w:r>
              <w:rPr>
                <w:color w:val="000000"/>
                <w:sz w:val="16"/>
                <w:szCs w:val="18"/>
              </w:rPr>
              <w:t xml:space="preserve">                        -     </w:t>
            </w:r>
            <w:r>
              <w:rPr>
                <w:color w:val="000000"/>
                <w:sz w:val="16"/>
                <w:szCs w:val="18"/>
              </w:rPr>
            </w:r>
            <w:r>
              <w:rPr>
                <w:color w:val="000000"/>
                <w:sz w:val="16"/>
                <w:szCs w:val="18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</w:tr>
      <w:tr>
        <w:tblPrEx/>
        <w:trPr>
          <w:trHeight w:val="138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ВБС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color w:val="000000"/>
                <w:sz w:val="16"/>
                <w:szCs w:val="18"/>
              </w:rPr>
            </w:pPr>
            <w:r>
              <w:rPr>
                <w:color w:val="000000"/>
                <w:sz w:val="16"/>
                <w:szCs w:val="18"/>
              </w:rPr>
              <w:t xml:space="preserve">        </w:t>
            </w:r>
            <w:r>
              <w:rPr>
                <w:color w:val="000000"/>
                <w:sz w:val="16"/>
                <w:szCs w:val="18"/>
              </w:rPr>
              <w:t xml:space="preserve">246 022,88   </w:t>
            </w:r>
            <w:r>
              <w:rPr>
                <w:color w:val="000000"/>
                <w:sz w:val="16"/>
                <w:szCs w:val="18"/>
              </w:rPr>
            </w:r>
            <w:r>
              <w:rPr>
                <w:color w:val="000000"/>
                <w:sz w:val="16"/>
                <w:szCs w:val="18"/>
              </w:rPr>
            </w:r>
          </w:p>
        </w:tc>
        <w:tc>
          <w:tcPr>
            <w:tcW w:w="1275" w:type="dxa"/>
            <w:vAlign w:val="bottom"/>
            <w:textDirection w:val="lrTb"/>
            <w:noWrap w:val="false"/>
          </w:tcPr>
          <w:p>
            <w:pPr>
              <w:jc w:val="right"/>
              <w:rPr>
                <w:color w:val="000000"/>
                <w:sz w:val="16"/>
                <w:szCs w:val="18"/>
              </w:rPr>
            </w:pPr>
            <w:r>
              <w:rPr>
                <w:color w:val="000000"/>
                <w:sz w:val="16"/>
                <w:szCs w:val="18"/>
              </w:rPr>
              <w:t xml:space="preserve">       </w:t>
            </w:r>
            <w:r>
              <w:rPr>
                <w:color w:val="000000"/>
                <w:sz w:val="16"/>
                <w:szCs w:val="18"/>
              </w:rPr>
              <w:t xml:space="preserve">246 022,88   </w:t>
            </w:r>
            <w:r>
              <w:rPr>
                <w:color w:val="000000"/>
                <w:sz w:val="16"/>
                <w:szCs w:val="18"/>
              </w:rPr>
            </w:r>
            <w:r>
              <w:rPr>
                <w:color w:val="000000"/>
                <w:sz w:val="16"/>
                <w:szCs w:val="18"/>
              </w:rPr>
            </w:r>
          </w:p>
        </w:tc>
        <w:tc>
          <w:tcPr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color w:val="000000"/>
                <w:sz w:val="16"/>
                <w:szCs w:val="18"/>
              </w:rPr>
            </w:pPr>
            <w:r>
              <w:rPr>
                <w:color w:val="000000"/>
                <w:sz w:val="16"/>
                <w:szCs w:val="18"/>
              </w:rPr>
              <w:t xml:space="preserve">                        -     </w:t>
            </w:r>
            <w:r>
              <w:rPr>
                <w:color w:val="000000"/>
                <w:sz w:val="16"/>
                <w:szCs w:val="18"/>
              </w:rPr>
            </w:r>
            <w:r>
              <w:rPr>
                <w:color w:val="000000"/>
                <w:sz w:val="16"/>
                <w:szCs w:val="18"/>
              </w:rPr>
            </w:r>
          </w:p>
        </w:tc>
        <w:tc>
          <w:tcPr>
            <w:tcW w:w="1223" w:type="dxa"/>
            <w:vAlign w:val="bottom"/>
            <w:textDirection w:val="lrTb"/>
            <w:noWrap w:val="false"/>
          </w:tcPr>
          <w:p>
            <w:pPr>
              <w:jc w:val="right"/>
              <w:rPr>
                <w:color w:val="000000"/>
                <w:sz w:val="16"/>
                <w:szCs w:val="18"/>
              </w:rPr>
            </w:pPr>
            <w:r>
              <w:rPr>
                <w:color w:val="000000"/>
                <w:sz w:val="16"/>
                <w:szCs w:val="18"/>
              </w:rPr>
              <w:t xml:space="preserve">                        -     </w:t>
            </w:r>
            <w:r>
              <w:rPr>
                <w:color w:val="000000"/>
                <w:sz w:val="16"/>
                <w:szCs w:val="18"/>
              </w:rPr>
            </w:r>
            <w:r>
              <w:rPr>
                <w:color w:val="000000"/>
                <w:sz w:val="16"/>
                <w:szCs w:val="18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 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ind w:firstLine="29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u w:val="single"/>
              </w:rPr>
              <w:t xml:space="preserve">Направление (подпрограмма) 2</w:t>
            </w:r>
            <w:r>
              <w:rPr>
                <w:b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«Комфортное жилье и городская среда»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70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Всего: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748 399 738,48   </w:t>
            </w:r>
            <w:r>
              <w:rPr>
                <w:b/>
                <w:bCs/>
                <w:color w:val="000000"/>
                <w:sz w:val="16"/>
                <w:szCs w:val="16"/>
              </w:rPr>
            </w:r>
            <w:r>
              <w:rPr>
                <w:b/>
                <w:bCs/>
                <w:color w:val="000000"/>
                <w:sz w:val="16"/>
                <w:szCs w:val="16"/>
              </w:rPr>
            </w:r>
          </w:p>
        </w:tc>
        <w:tc>
          <w:tcPr>
            <w:tcW w:w="1275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413 948 738,48   </w:t>
            </w:r>
            <w:r>
              <w:rPr>
                <w:b/>
                <w:bCs/>
                <w:color w:val="000000"/>
                <w:sz w:val="16"/>
                <w:szCs w:val="16"/>
                <w:lang w:eastAsia="en-US"/>
              </w:rPr>
            </w:r>
            <w:r>
              <w:rPr>
                <w:b/>
                <w:bCs/>
                <w:color w:val="000000"/>
                <w:sz w:val="16"/>
                <w:szCs w:val="16"/>
                <w:lang w:eastAsia="en-US"/>
              </w:rPr>
            </w:r>
          </w:p>
        </w:tc>
        <w:tc>
          <w:tcPr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 167 228 300,00   </w:t>
            </w:r>
            <w:r>
              <w:rPr>
                <w:b/>
                <w:bCs/>
                <w:color w:val="000000"/>
                <w:sz w:val="16"/>
                <w:szCs w:val="16"/>
              </w:rPr>
            </w:r>
            <w:r>
              <w:rPr>
                <w:b/>
                <w:bCs/>
                <w:color w:val="000000"/>
                <w:sz w:val="16"/>
                <w:szCs w:val="16"/>
              </w:rPr>
            </w:r>
          </w:p>
        </w:tc>
        <w:tc>
          <w:tcPr>
            <w:tcW w:w="1223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167 222 700,00   </w:t>
            </w:r>
            <w:r>
              <w:rPr>
                <w:b/>
                <w:bCs/>
                <w:color w:val="000000"/>
                <w:sz w:val="16"/>
                <w:szCs w:val="16"/>
              </w:rPr>
            </w:r>
            <w:r>
              <w:rPr>
                <w:b/>
                <w:bCs/>
                <w:color w:val="000000"/>
                <w:sz w:val="16"/>
                <w:szCs w:val="16"/>
              </w:rPr>
            </w:r>
          </w:p>
        </w:tc>
        <w:tc>
          <w:tcPr>
            <w:tcW w:w="903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ОС и ЖКХ, МБУ «РЭС»,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МБУ «НДС»,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МКУ «</w:t>
            </w:r>
            <w:r>
              <w:rPr>
                <w:sz w:val="18"/>
                <w:szCs w:val="18"/>
              </w:rPr>
              <w:t xml:space="preserve">УБиР</w:t>
            </w:r>
            <w:r>
              <w:rPr>
                <w:sz w:val="18"/>
                <w:szCs w:val="18"/>
              </w:rPr>
              <w:t xml:space="preserve">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ind w:firstLine="29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МБ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612 928 602,89   </w:t>
            </w:r>
            <w:r>
              <w:rPr>
                <w:b/>
                <w:bCs/>
                <w:color w:val="000000"/>
                <w:sz w:val="16"/>
                <w:szCs w:val="16"/>
              </w:rPr>
            </w:r>
            <w:r>
              <w:rPr>
                <w:b/>
                <w:bCs/>
                <w:color w:val="000000"/>
                <w:sz w:val="16"/>
                <w:szCs w:val="16"/>
              </w:rPr>
            </w:r>
          </w:p>
        </w:tc>
        <w:tc>
          <w:tcPr>
            <w:tcW w:w="1275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278 477 602,89   </w:t>
            </w:r>
            <w:r>
              <w:rPr>
                <w:b/>
                <w:bCs/>
                <w:color w:val="000000"/>
                <w:sz w:val="16"/>
                <w:szCs w:val="16"/>
              </w:rPr>
            </w:r>
            <w:r>
              <w:rPr>
                <w:b/>
                <w:bCs/>
                <w:color w:val="000000"/>
                <w:sz w:val="16"/>
                <w:szCs w:val="16"/>
              </w:rPr>
            </w:r>
          </w:p>
        </w:tc>
        <w:tc>
          <w:tcPr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167 228 300,00   </w:t>
            </w:r>
            <w:r>
              <w:rPr>
                <w:b/>
                <w:bCs/>
                <w:color w:val="000000"/>
                <w:sz w:val="16"/>
                <w:szCs w:val="16"/>
              </w:rPr>
            </w:r>
            <w:r>
              <w:rPr>
                <w:b/>
                <w:bCs/>
                <w:color w:val="000000"/>
                <w:sz w:val="16"/>
                <w:szCs w:val="16"/>
              </w:rPr>
            </w:r>
          </w:p>
        </w:tc>
        <w:tc>
          <w:tcPr>
            <w:tcW w:w="1223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167 222 700,00   </w:t>
            </w:r>
            <w:r>
              <w:rPr>
                <w:b/>
                <w:bCs/>
                <w:color w:val="000000"/>
                <w:sz w:val="16"/>
                <w:szCs w:val="16"/>
              </w:rPr>
            </w:r>
            <w:r>
              <w:rPr>
                <w:b/>
                <w:bCs/>
                <w:color w:val="000000"/>
                <w:sz w:val="16"/>
                <w:szCs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ind w:firstLine="29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ОБ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69 682 412,71   </w:t>
            </w:r>
            <w:r>
              <w:rPr>
                <w:b/>
                <w:bCs/>
                <w:color w:val="000000"/>
                <w:sz w:val="16"/>
                <w:szCs w:val="16"/>
              </w:rPr>
            </w:r>
            <w:r>
              <w:rPr>
                <w:b/>
                <w:bCs/>
                <w:color w:val="000000"/>
                <w:sz w:val="16"/>
                <w:szCs w:val="16"/>
              </w:rPr>
            </w:r>
          </w:p>
        </w:tc>
        <w:tc>
          <w:tcPr>
            <w:tcW w:w="1275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69 682 412,71   </w:t>
            </w:r>
            <w:r>
              <w:rPr>
                <w:b/>
                <w:bCs/>
                <w:color w:val="000000"/>
                <w:sz w:val="16"/>
                <w:szCs w:val="16"/>
              </w:rPr>
            </w:r>
            <w:r>
              <w:rPr>
                <w:b/>
                <w:bCs/>
                <w:color w:val="000000"/>
                <w:sz w:val="16"/>
                <w:szCs w:val="16"/>
              </w:rPr>
            </w:r>
          </w:p>
        </w:tc>
        <w:tc>
          <w:tcPr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                        -     </w:t>
            </w:r>
            <w:r>
              <w:rPr>
                <w:b/>
                <w:bCs/>
                <w:color w:val="000000"/>
                <w:sz w:val="16"/>
                <w:szCs w:val="16"/>
              </w:rPr>
            </w:r>
            <w:r>
              <w:rPr>
                <w:b/>
                <w:bCs/>
                <w:color w:val="000000"/>
                <w:sz w:val="16"/>
                <w:szCs w:val="16"/>
              </w:rPr>
            </w:r>
          </w:p>
        </w:tc>
        <w:tc>
          <w:tcPr>
            <w:tcW w:w="1223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                        -     </w:t>
            </w:r>
            <w:r>
              <w:rPr>
                <w:b/>
                <w:bCs/>
                <w:color w:val="000000"/>
                <w:sz w:val="16"/>
                <w:szCs w:val="16"/>
              </w:rPr>
            </w:r>
            <w:r>
              <w:rPr>
                <w:b/>
                <w:bCs/>
                <w:color w:val="000000"/>
                <w:sz w:val="16"/>
                <w:szCs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ind w:firstLine="29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ФБ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65 542 700,00   </w:t>
            </w:r>
            <w:r>
              <w:rPr>
                <w:b/>
                <w:bCs/>
                <w:color w:val="000000"/>
                <w:sz w:val="16"/>
                <w:szCs w:val="16"/>
              </w:rPr>
            </w:r>
            <w:r>
              <w:rPr>
                <w:b/>
                <w:bCs/>
                <w:color w:val="000000"/>
                <w:sz w:val="16"/>
                <w:szCs w:val="16"/>
              </w:rPr>
            </w:r>
          </w:p>
        </w:tc>
        <w:tc>
          <w:tcPr>
            <w:tcW w:w="1275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65 542 700,00   </w:t>
            </w:r>
            <w:r>
              <w:rPr>
                <w:b/>
                <w:bCs/>
                <w:color w:val="000000"/>
                <w:sz w:val="16"/>
                <w:szCs w:val="16"/>
              </w:rPr>
            </w:r>
            <w:r>
              <w:rPr>
                <w:b/>
                <w:bCs/>
                <w:color w:val="000000"/>
                <w:sz w:val="16"/>
                <w:szCs w:val="16"/>
              </w:rPr>
            </w:r>
          </w:p>
        </w:tc>
        <w:tc>
          <w:tcPr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                        -     </w:t>
            </w:r>
            <w:r>
              <w:rPr>
                <w:b/>
                <w:bCs/>
                <w:color w:val="000000"/>
                <w:sz w:val="16"/>
                <w:szCs w:val="16"/>
              </w:rPr>
            </w:r>
            <w:r>
              <w:rPr>
                <w:b/>
                <w:bCs/>
                <w:color w:val="000000"/>
                <w:sz w:val="16"/>
                <w:szCs w:val="16"/>
              </w:rPr>
            </w:r>
          </w:p>
        </w:tc>
        <w:tc>
          <w:tcPr>
            <w:tcW w:w="1223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                        -     </w:t>
            </w:r>
            <w:r>
              <w:rPr>
                <w:b/>
                <w:bCs/>
                <w:color w:val="000000"/>
                <w:sz w:val="16"/>
                <w:szCs w:val="16"/>
              </w:rPr>
            </w:r>
            <w:r>
              <w:rPr>
                <w:b/>
                <w:bCs/>
                <w:color w:val="000000"/>
                <w:sz w:val="16"/>
                <w:szCs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ind w:firstLine="29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ВБС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      246 022,88   </w:t>
            </w:r>
            <w:r>
              <w:rPr>
                <w:b/>
                <w:bCs/>
                <w:color w:val="000000"/>
                <w:sz w:val="16"/>
                <w:szCs w:val="16"/>
              </w:rPr>
            </w:r>
            <w:r>
              <w:rPr>
                <w:b/>
                <w:bCs/>
                <w:color w:val="000000"/>
                <w:sz w:val="16"/>
                <w:szCs w:val="16"/>
              </w:rPr>
            </w:r>
          </w:p>
        </w:tc>
        <w:tc>
          <w:tcPr>
            <w:tcW w:w="1275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      246 022,88   </w:t>
            </w:r>
            <w:r>
              <w:rPr>
                <w:b/>
                <w:bCs/>
                <w:color w:val="000000"/>
                <w:sz w:val="16"/>
                <w:szCs w:val="16"/>
              </w:rPr>
            </w:r>
            <w:r>
              <w:rPr>
                <w:b/>
                <w:bCs/>
                <w:color w:val="000000"/>
                <w:sz w:val="16"/>
                <w:szCs w:val="16"/>
              </w:rPr>
            </w:r>
          </w:p>
        </w:tc>
        <w:tc>
          <w:tcPr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                        -     </w:t>
            </w:r>
            <w:r>
              <w:rPr>
                <w:b/>
                <w:bCs/>
                <w:color w:val="000000"/>
                <w:sz w:val="16"/>
                <w:szCs w:val="16"/>
              </w:rPr>
            </w:r>
            <w:r>
              <w:rPr>
                <w:b/>
                <w:bCs/>
                <w:color w:val="000000"/>
                <w:sz w:val="16"/>
                <w:szCs w:val="16"/>
              </w:rPr>
            </w:r>
          </w:p>
        </w:tc>
        <w:tc>
          <w:tcPr>
            <w:tcW w:w="1223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                        -     </w:t>
            </w:r>
            <w:r>
              <w:rPr>
                <w:b/>
                <w:bCs/>
                <w:color w:val="000000"/>
                <w:sz w:val="16"/>
                <w:szCs w:val="16"/>
              </w:rPr>
            </w:r>
            <w:r>
              <w:rPr>
                <w:b/>
                <w:bCs/>
                <w:color w:val="000000"/>
                <w:sz w:val="16"/>
                <w:szCs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Merge w:val="restart"/>
            <w:textDirection w:val="lrTb"/>
            <w:noWrap w:val="false"/>
          </w:tcPr>
          <w:p>
            <w:pPr>
              <w:ind w:right="-105"/>
              <w:jc w:val="center"/>
              <w:spacing w:line="288" w:lineRule="atLeast"/>
            </w:pPr>
            <w:r>
              <w:t xml:space="preserve">2.4</w:t>
            </w:r>
            <w:r/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u w:val="single"/>
              </w:rPr>
              <w:t xml:space="preserve">Комплекс процессных мероприятий 4</w:t>
            </w:r>
            <w:r>
              <w:rPr>
                <w:b/>
                <w:sz w:val="18"/>
              </w:rPr>
              <w:t xml:space="preserve"> </w:t>
            </w:r>
            <w:r>
              <w:rPr>
                <w:sz w:val="18"/>
              </w:rPr>
              <w:t xml:space="preserve">«Комплексное благоустройство и содержание городской среды»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708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Всего: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 159 729 942,88   </w:t>
            </w:r>
            <w:r>
              <w:rPr>
                <w:b/>
                <w:bCs/>
                <w:color w:val="000000"/>
                <w:sz w:val="16"/>
                <w:szCs w:val="16"/>
              </w:rPr>
            </w:r>
            <w:r>
              <w:rPr>
                <w:b/>
                <w:bCs/>
                <w:color w:val="000000"/>
                <w:sz w:val="16"/>
                <w:szCs w:val="16"/>
              </w:rPr>
            </w:r>
          </w:p>
        </w:tc>
        <w:tc>
          <w:tcPr>
            <w:tcW w:w="1275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   76 300 542,88   </w:t>
            </w:r>
            <w:r>
              <w:rPr>
                <w:b/>
                <w:bCs/>
                <w:color w:val="000000"/>
                <w:sz w:val="16"/>
                <w:szCs w:val="16"/>
                <w:lang w:eastAsia="en-US"/>
              </w:rPr>
            </w:r>
            <w:r>
              <w:rPr>
                <w:b/>
                <w:bCs/>
                <w:color w:val="000000"/>
                <w:sz w:val="16"/>
                <w:szCs w:val="16"/>
                <w:lang w:eastAsia="en-US"/>
              </w:rPr>
            </w:r>
          </w:p>
        </w:tc>
        <w:tc>
          <w:tcPr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   41 717 500,00   </w:t>
            </w:r>
            <w:r>
              <w:rPr>
                <w:b/>
                <w:bCs/>
                <w:color w:val="000000"/>
                <w:sz w:val="16"/>
                <w:szCs w:val="16"/>
              </w:rPr>
            </w:r>
            <w:r>
              <w:rPr>
                <w:b/>
                <w:bCs/>
                <w:color w:val="000000"/>
                <w:sz w:val="16"/>
                <w:szCs w:val="16"/>
              </w:rPr>
            </w:r>
          </w:p>
        </w:tc>
        <w:tc>
          <w:tcPr>
            <w:tcW w:w="1223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  41 711 900,00   </w:t>
            </w:r>
            <w:r>
              <w:rPr>
                <w:b/>
                <w:bCs/>
                <w:color w:val="000000"/>
                <w:sz w:val="16"/>
                <w:szCs w:val="16"/>
              </w:rPr>
            </w:r>
            <w:r>
              <w:rPr>
                <w:b/>
                <w:bCs/>
                <w:color w:val="000000"/>
                <w:sz w:val="16"/>
                <w:szCs w:val="16"/>
              </w:rPr>
            </w:r>
          </w:p>
        </w:tc>
        <w:tc>
          <w:tcPr>
            <w:tcW w:w="903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МБУ «РЭС»,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МБУ «НДС»,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МКУ «</w:t>
            </w:r>
            <w:r>
              <w:rPr>
                <w:sz w:val="18"/>
                <w:szCs w:val="18"/>
              </w:rPr>
              <w:t xml:space="preserve">УБиР</w:t>
            </w:r>
            <w:r>
              <w:rPr>
                <w:sz w:val="18"/>
                <w:szCs w:val="18"/>
              </w:rPr>
              <w:t xml:space="preserve">»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Merge w:val="continue"/>
            <w:textDirection w:val="lrTb"/>
            <w:noWrap w:val="false"/>
          </w:tcPr>
          <w:p>
            <w:pPr>
              <w:ind w:right="-105"/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МБ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152 130 835,00   </w:t>
            </w:r>
            <w:r>
              <w:rPr>
                <w:color w:val="000000"/>
                <w:sz w:val="16"/>
                <w:szCs w:val="16"/>
              </w:rPr>
            </w:r>
            <w:r>
              <w:rPr>
                <w:color w:val="000000"/>
                <w:sz w:val="16"/>
                <w:szCs w:val="16"/>
              </w:rPr>
            </w:r>
          </w:p>
        </w:tc>
        <w:tc>
          <w:tcPr>
            <w:tcW w:w="1275" w:type="dxa"/>
            <w:vAlign w:val="bottom"/>
            <w:textDirection w:val="lrTb"/>
            <w:noWrap w:val="false"/>
          </w:tcPr>
          <w:p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 68 701 435,00   </w:t>
            </w:r>
            <w:r>
              <w:rPr>
                <w:color w:val="000000"/>
                <w:sz w:val="16"/>
                <w:szCs w:val="16"/>
              </w:rPr>
            </w:r>
            <w:r>
              <w:rPr>
                <w:color w:val="000000"/>
                <w:sz w:val="16"/>
                <w:szCs w:val="16"/>
              </w:rPr>
            </w:r>
          </w:p>
        </w:tc>
        <w:tc>
          <w:tcPr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 41 717 500,00   </w:t>
            </w:r>
            <w:r>
              <w:rPr>
                <w:color w:val="000000"/>
                <w:sz w:val="16"/>
                <w:szCs w:val="16"/>
              </w:rPr>
            </w:r>
            <w:r>
              <w:rPr>
                <w:color w:val="000000"/>
                <w:sz w:val="16"/>
                <w:szCs w:val="16"/>
              </w:rPr>
            </w:r>
          </w:p>
        </w:tc>
        <w:tc>
          <w:tcPr>
            <w:tcW w:w="1223" w:type="dxa"/>
            <w:vAlign w:val="bottom"/>
            <w:textDirection w:val="lrTb"/>
            <w:noWrap w:val="false"/>
          </w:tcPr>
          <w:p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41 711 900,00   </w:t>
            </w:r>
            <w:r>
              <w:rPr>
                <w:color w:val="000000"/>
                <w:sz w:val="16"/>
                <w:szCs w:val="16"/>
              </w:rPr>
            </w:r>
            <w:r>
              <w:rPr>
                <w:color w:val="000000"/>
                <w:sz w:val="16"/>
                <w:szCs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Merge w:val="continue"/>
            <w:textDirection w:val="lrTb"/>
            <w:noWrap w:val="false"/>
          </w:tcPr>
          <w:p>
            <w:pPr>
              <w:ind w:right="-105"/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ОБ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  7 593 085,00   </w:t>
            </w:r>
            <w:r>
              <w:rPr>
                <w:color w:val="000000"/>
                <w:sz w:val="16"/>
                <w:szCs w:val="16"/>
              </w:rPr>
            </w:r>
            <w:r>
              <w:rPr>
                <w:color w:val="000000"/>
                <w:sz w:val="16"/>
                <w:szCs w:val="16"/>
              </w:rPr>
            </w:r>
          </w:p>
        </w:tc>
        <w:tc>
          <w:tcPr>
            <w:tcW w:w="1275" w:type="dxa"/>
            <w:vAlign w:val="bottom"/>
            <w:textDirection w:val="lrTb"/>
            <w:noWrap w:val="false"/>
          </w:tcPr>
          <w:p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  7 593 085,00   </w:t>
            </w:r>
            <w:r>
              <w:rPr>
                <w:color w:val="000000"/>
                <w:sz w:val="16"/>
                <w:szCs w:val="16"/>
              </w:rPr>
            </w:r>
            <w:r>
              <w:rPr>
                <w:color w:val="000000"/>
                <w:sz w:val="16"/>
                <w:szCs w:val="16"/>
              </w:rPr>
            </w:r>
          </w:p>
        </w:tc>
        <w:tc>
          <w:tcPr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                      -     </w:t>
            </w:r>
            <w:r>
              <w:rPr>
                <w:color w:val="000000"/>
                <w:sz w:val="16"/>
                <w:szCs w:val="16"/>
              </w:rPr>
            </w:r>
            <w:r>
              <w:rPr>
                <w:color w:val="000000"/>
                <w:sz w:val="16"/>
                <w:szCs w:val="16"/>
              </w:rPr>
            </w:r>
          </w:p>
        </w:tc>
        <w:tc>
          <w:tcPr>
            <w:tcW w:w="1223" w:type="dxa"/>
            <w:vAlign w:val="bottom"/>
            <w:textDirection w:val="lrTb"/>
            <w:noWrap w:val="false"/>
          </w:tcPr>
          <w:p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                      -     </w:t>
            </w:r>
            <w:r>
              <w:rPr>
                <w:color w:val="000000"/>
                <w:sz w:val="16"/>
                <w:szCs w:val="16"/>
              </w:rPr>
            </w:r>
            <w:r>
              <w:rPr>
                <w:color w:val="000000"/>
                <w:sz w:val="16"/>
                <w:szCs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32"/>
        </w:trPr>
        <w:tc>
          <w:tcPr>
            <w:tcW w:w="567" w:type="dxa"/>
            <w:vMerge w:val="continue"/>
            <w:textDirection w:val="lrTb"/>
            <w:noWrap w:val="false"/>
          </w:tcPr>
          <w:p>
            <w:pPr>
              <w:ind w:right="-105"/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ФБ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                      -     </w:t>
            </w:r>
            <w:r>
              <w:rPr>
                <w:color w:val="000000"/>
                <w:sz w:val="16"/>
                <w:szCs w:val="16"/>
              </w:rPr>
            </w:r>
            <w:r>
              <w:rPr>
                <w:color w:val="000000"/>
                <w:sz w:val="16"/>
                <w:szCs w:val="16"/>
              </w:rPr>
            </w:r>
          </w:p>
        </w:tc>
        <w:tc>
          <w:tcPr>
            <w:tcW w:w="1275" w:type="dxa"/>
            <w:vAlign w:val="bottom"/>
            <w:textDirection w:val="lrTb"/>
            <w:noWrap w:val="false"/>
          </w:tcPr>
          <w:p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                      -     </w:t>
            </w:r>
            <w:r>
              <w:rPr>
                <w:color w:val="000000"/>
                <w:sz w:val="16"/>
                <w:szCs w:val="16"/>
              </w:rPr>
            </w:r>
            <w:r>
              <w:rPr>
                <w:color w:val="000000"/>
                <w:sz w:val="16"/>
                <w:szCs w:val="16"/>
              </w:rPr>
            </w:r>
          </w:p>
        </w:tc>
        <w:tc>
          <w:tcPr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                      -     </w:t>
            </w:r>
            <w:r>
              <w:rPr>
                <w:color w:val="000000"/>
                <w:sz w:val="16"/>
                <w:szCs w:val="16"/>
              </w:rPr>
            </w:r>
            <w:r>
              <w:rPr>
                <w:color w:val="000000"/>
                <w:sz w:val="16"/>
                <w:szCs w:val="16"/>
              </w:rPr>
            </w:r>
          </w:p>
        </w:tc>
        <w:tc>
          <w:tcPr>
            <w:tcW w:w="1223" w:type="dxa"/>
            <w:vAlign w:val="bottom"/>
            <w:textDirection w:val="lrTb"/>
            <w:noWrap w:val="false"/>
          </w:tcPr>
          <w:p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                      -     </w:t>
            </w:r>
            <w:r>
              <w:rPr>
                <w:color w:val="000000"/>
                <w:sz w:val="16"/>
                <w:szCs w:val="16"/>
              </w:rPr>
            </w:r>
            <w:r>
              <w:rPr>
                <w:color w:val="000000"/>
                <w:sz w:val="16"/>
                <w:szCs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408"/>
        </w:trPr>
        <w:tc>
          <w:tcPr>
            <w:tcW w:w="567" w:type="dxa"/>
            <w:vMerge w:val="continue"/>
            <w:textDirection w:val="lrTb"/>
            <w:noWrap w:val="false"/>
          </w:tcPr>
          <w:p>
            <w:pPr>
              <w:ind w:right="-105"/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ВБС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         6 022,88   </w:t>
            </w:r>
            <w:r>
              <w:rPr>
                <w:color w:val="000000"/>
                <w:sz w:val="16"/>
                <w:szCs w:val="16"/>
              </w:rPr>
            </w:r>
            <w:r>
              <w:rPr>
                <w:color w:val="000000"/>
                <w:sz w:val="16"/>
                <w:szCs w:val="16"/>
              </w:rPr>
            </w:r>
          </w:p>
        </w:tc>
        <w:tc>
          <w:tcPr>
            <w:tcW w:w="1275" w:type="dxa"/>
            <w:vAlign w:val="bottom"/>
            <w:textDirection w:val="lrTb"/>
            <w:noWrap w:val="false"/>
          </w:tcPr>
          <w:p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         6 022,88   </w:t>
            </w:r>
            <w:r>
              <w:rPr>
                <w:color w:val="000000"/>
                <w:sz w:val="16"/>
                <w:szCs w:val="16"/>
              </w:rPr>
            </w:r>
            <w:r>
              <w:rPr>
                <w:color w:val="000000"/>
                <w:sz w:val="16"/>
                <w:szCs w:val="16"/>
              </w:rPr>
            </w:r>
          </w:p>
        </w:tc>
        <w:tc>
          <w:tcPr>
            <w:tcW w:w="1276" w:type="dxa"/>
            <w:vAlign w:val="bottom"/>
            <w:textDirection w:val="lrTb"/>
            <w:noWrap w:val="false"/>
          </w:tcPr>
          <w:p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                      -     </w:t>
            </w:r>
            <w:r>
              <w:rPr>
                <w:color w:val="000000"/>
                <w:sz w:val="16"/>
                <w:szCs w:val="16"/>
              </w:rPr>
            </w:r>
            <w:r>
              <w:rPr>
                <w:color w:val="000000"/>
                <w:sz w:val="16"/>
                <w:szCs w:val="16"/>
              </w:rPr>
            </w:r>
          </w:p>
        </w:tc>
        <w:tc>
          <w:tcPr>
            <w:tcW w:w="1223" w:type="dxa"/>
            <w:vAlign w:val="bottom"/>
            <w:textDirection w:val="lrTb"/>
            <w:noWrap w:val="false"/>
          </w:tcPr>
          <w:p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                      -     </w:t>
            </w:r>
            <w:r>
              <w:rPr>
                <w:color w:val="000000"/>
                <w:sz w:val="16"/>
                <w:szCs w:val="16"/>
              </w:rPr>
            </w:r>
            <w:r>
              <w:rPr>
                <w:color w:val="000000"/>
                <w:sz w:val="16"/>
                <w:szCs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2. Настоящее постановление вступает в силу после его подписания.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eastAsia="Lucida Sans Unicode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3. 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sz w:val="24"/>
          <w:szCs w:val="24"/>
          <w:lang w:eastAsia="en-US"/>
        </w:rPr>
        <w:t xml:space="preserve"> </w:t>
      </w:r>
      <w:r>
        <w:rPr>
          <w:rFonts w:eastAsia="Lucida Sans Unicode"/>
          <w:sz w:val="24"/>
          <w:szCs w:val="24"/>
          <w:lang w:eastAsia="en-US"/>
        </w:rPr>
      </w:r>
      <w:r>
        <w:rPr>
          <w:rFonts w:eastAsia="Lucida Sans Unicode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Глава Печенгского муниципального округа                                                             А.С. </w:t>
      </w:r>
      <w:r>
        <w:rPr>
          <w:rFonts w:eastAsia="Calibri"/>
          <w:sz w:val="24"/>
          <w:szCs w:val="24"/>
          <w:lang w:eastAsia="en-US"/>
        </w:rPr>
        <w:t xml:space="preserve">Пеньшин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ind w:right="-5"/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ind w:right="-5"/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ind w:right="-5"/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ind w:right="-5"/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ind w:right="-5"/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ind w:right="-5"/>
        <w:jc w:val="both"/>
        <w:rPr>
          <w:highlight w:val="none"/>
        </w:rPr>
      </w:pPr>
      <w:r>
        <w:t xml:space="preserve">Шавырова</w:t>
      </w:r>
      <w:r>
        <w:t xml:space="preserve"> Ю.В., 5-12-91</w:t>
      </w:r>
      <w:r>
        <w:rPr>
          <w:highlight w:val="none"/>
        </w:rPr>
      </w:r>
      <w:r/>
      <w:r>
        <w:rPr>
          <w:highlight w:val="none"/>
        </w:rPr>
      </w:r>
    </w:p>
    <w:sectPr>
      <w:headerReference w:type="even" r:id="rId9"/>
      <w:footnotePr/>
      <w:endnotePr/>
      <w:type w:val="nextPage"/>
      <w:pgSz w:w="11906" w:h="16838" w:orient="portrait"/>
      <w:pgMar w:top="1135" w:right="566" w:bottom="538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Lucida Sans Unicode">
    <w:panose1 w:val="020B0602030504020204"/>
  </w:font>
  <w:font w:name="Verdana">
    <w:panose1 w:val="020B0604030504040204"/>
  </w:font>
  <w:font w:name="Cambria">
    <w:panose1 w:val="0204050305040603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0"/>
      <w:rPr>
        <w:rStyle w:val="929"/>
      </w:rPr>
      <w:framePr w:wrap="around" w:vAnchor="text" w:hAnchor="margin" w:xAlign="center" w:y="1"/>
    </w:pPr>
    <w:r>
      <w:rPr>
        <w:rStyle w:val="929"/>
      </w:rPr>
      <w:fldChar w:fldCharType="begin"/>
    </w:r>
    <w:r>
      <w:rPr>
        <w:rStyle w:val="929"/>
      </w:rPr>
      <w:instrText xml:space="preserve">PAGE  </w:instrText>
    </w:r>
    <w:r>
      <w:rPr>
        <w:rStyle w:val="929"/>
      </w:rPr>
      <w:fldChar w:fldCharType="end"/>
    </w:r>
    <w:r>
      <w:rPr>
        <w:rStyle w:val="929"/>
      </w:rPr>
    </w:r>
    <w:r>
      <w:rPr>
        <w:rStyle w:val="929"/>
      </w:rPr>
    </w:r>
  </w:p>
  <w:p>
    <w:pPr>
      <w:pStyle w:val="930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0" w:hanging="36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9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1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3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5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7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9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1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30" w:hanging="180"/>
      </w:pPr>
    </w:lvl>
  </w:abstractNum>
  <w:abstractNum w:abstractNumId="2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92" w:hanging="825"/>
      </w:pPr>
      <w:rPr>
        <w:rFonts w:hint="default"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i w:val="0"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1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98" w:hanging="99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21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9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num w:numId="1">
    <w:abstractNumId w:val="13"/>
  </w:num>
  <w:num w:numId="2">
    <w:abstractNumId w:val="7"/>
  </w:num>
  <w:num w:numId="3">
    <w:abstractNumId w:val="28"/>
  </w:num>
  <w:num w:numId="4">
    <w:abstractNumId w:val="12"/>
  </w:num>
  <w:num w:numId="5">
    <w:abstractNumId w:val="24"/>
  </w:num>
  <w:num w:numId="6">
    <w:abstractNumId w:val="21"/>
  </w:num>
  <w:num w:numId="7">
    <w:abstractNumId w:val="16"/>
  </w:num>
  <w:num w:numId="8">
    <w:abstractNumId w:val="9"/>
  </w:num>
  <w:num w:numId="9">
    <w:abstractNumId w:val="22"/>
  </w:num>
  <w:num w:numId="10">
    <w:abstractNumId w:val="29"/>
  </w:num>
  <w:num w:numId="11">
    <w:abstractNumId w:val="8"/>
  </w:num>
  <w:num w:numId="12">
    <w:abstractNumId w:val="23"/>
  </w:num>
  <w:num w:numId="13">
    <w:abstractNumId w:val="11"/>
  </w:num>
  <w:num w:numId="14">
    <w:abstractNumId w:val="15"/>
  </w:num>
  <w:num w:numId="15">
    <w:abstractNumId w:val="4"/>
  </w:num>
  <w:num w:numId="16">
    <w:abstractNumId w:val="25"/>
  </w:num>
  <w:num w:numId="17">
    <w:abstractNumId w:val="0"/>
  </w:num>
  <w:num w:numId="18">
    <w:abstractNumId w:val="2"/>
  </w:num>
  <w:num w:numId="19">
    <w:abstractNumId w:val="20"/>
  </w:num>
  <w:num w:numId="20">
    <w:abstractNumId w:val="27"/>
  </w:num>
  <w:num w:numId="21">
    <w:abstractNumId w:val="6"/>
  </w:num>
  <w:num w:numId="22">
    <w:abstractNumId w:val="18"/>
  </w:num>
  <w:num w:numId="23">
    <w:abstractNumId w:val="3"/>
  </w:num>
  <w:num w:numId="24">
    <w:abstractNumId w:val="19"/>
  </w:num>
  <w:num w:numId="25">
    <w:abstractNumId w:val="26"/>
  </w:num>
  <w:num w:numId="26">
    <w:abstractNumId w:val="5"/>
  </w:num>
  <w:num w:numId="27">
    <w:abstractNumId w:val="14"/>
  </w:num>
  <w:num w:numId="28">
    <w:abstractNumId w:val="10"/>
  </w:num>
  <w:num w:numId="29">
    <w:abstractNumId w:val="1"/>
  </w:num>
  <w:num w:numId="3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31">
    <w:name w:val="Heading 1 Char"/>
    <w:basedOn w:val="754"/>
    <w:link w:val="745"/>
    <w:uiPriority w:val="9"/>
    <w:rPr>
      <w:rFonts w:ascii="Arial" w:hAnsi="Arial" w:eastAsia="Arial" w:cs="Arial"/>
      <w:sz w:val="40"/>
      <w:szCs w:val="40"/>
    </w:rPr>
  </w:style>
  <w:style w:type="character" w:styleId="732">
    <w:name w:val="Heading 3 Char"/>
    <w:basedOn w:val="754"/>
    <w:link w:val="747"/>
    <w:uiPriority w:val="9"/>
    <w:rPr>
      <w:rFonts w:ascii="Arial" w:hAnsi="Arial" w:eastAsia="Arial" w:cs="Arial"/>
      <w:sz w:val="30"/>
      <w:szCs w:val="30"/>
    </w:rPr>
  </w:style>
  <w:style w:type="character" w:styleId="733">
    <w:name w:val="Heading 4 Char"/>
    <w:basedOn w:val="754"/>
    <w:link w:val="748"/>
    <w:uiPriority w:val="9"/>
    <w:rPr>
      <w:rFonts w:ascii="Arial" w:hAnsi="Arial" w:eastAsia="Arial" w:cs="Arial"/>
      <w:b/>
      <w:bCs/>
      <w:sz w:val="26"/>
      <w:szCs w:val="26"/>
    </w:rPr>
  </w:style>
  <w:style w:type="character" w:styleId="734">
    <w:name w:val="Heading 5 Char"/>
    <w:basedOn w:val="754"/>
    <w:link w:val="749"/>
    <w:uiPriority w:val="9"/>
    <w:rPr>
      <w:rFonts w:ascii="Arial" w:hAnsi="Arial" w:eastAsia="Arial" w:cs="Arial"/>
      <w:b/>
      <w:bCs/>
      <w:sz w:val="24"/>
      <w:szCs w:val="24"/>
    </w:rPr>
  </w:style>
  <w:style w:type="character" w:styleId="735">
    <w:name w:val="Heading 6 Char"/>
    <w:basedOn w:val="754"/>
    <w:link w:val="750"/>
    <w:uiPriority w:val="9"/>
    <w:rPr>
      <w:rFonts w:ascii="Arial" w:hAnsi="Arial" w:eastAsia="Arial" w:cs="Arial"/>
      <w:b/>
      <w:bCs/>
      <w:sz w:val="22"/>
      <w:szCs w:val="22"/>
    </w:rPr>
  </w:style>
  <w:style w:type="character" w:styleId="736">
    <w:name w:val="Heading 7 Char"/>
    <w:basedOn w:val="754"/>
    <w:link w:val="75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7">
    <w:name w:val="Heading 8 Char"/>
    <w:basedOn w:val="754"/>
    <w:link w:val="752"/>
    <w:uiPriority w:val="9"/>
    <w:rPr>
      <w:rFonts w:ascii="Arial" w:hAnsi="Arial" w:eastAsia="Arial" w:cs="Arial"/>
      <w:i/>
      <w:iCs/>
      <w:sz w:val="22"/>
      <w:szCs w:val="22"/>
    </w:rPr>
  </w:style>
  <w:style w:type="character" w:styleId="738">
    <w:name w:val="Heading 9 Char"/>
    <w:basedOn w:val="754"/>
    <w:link w:val="753"/>
    <w:uiPriority w:val="9"/>
    <w:rPr>
      <w:rFonts w:ascii="Arial" w:hAnsi="Arial" w:eastAsia="Arial" w:cs="Arial"/>
      <w:i/>
      <w:iCs/>
      <w:sz w:val="21"/>
      <w:szCs w:val="21"/>
    </w:rPr>
  </w:style>
  <w:style w:type="character" w:styleId="739">
    <w:name w:val="Subtitle Char"/>
    <w:basedOn w:val="754"/>
    <w:link w:val="767"/>
    <w:uiPriority w:val="11"/>
    <w:rPr>
      <w:sz w:val="24"/>
      <w:szCs w:val="24"/>
    </w:rPr>
  </w:style>
  <w:style w:type="character" w:styleId="740">
    <w:name w:val="Quote Char"/>
    <w:link w:val="769"/>
    <w:uiPriority w:val="29"/>
    <w:rPr>
      <w:i/>
    </w:rPr>
  </w:style>
  <w:style w:type="character" w:styleId="741">
    <w:name w:val="Intense Quote Char"/>
    <w:link w:val="771"/>
    <w:uiPriority w:val="30"/>
    <w:rPr>
      <w:i/>
    </w:rPr>
  </w:style>
  <w:style w:type="character" w:styleId="742">
    <w:name w:val="Footnote Text Char"/>
    <w:link w:val="902"/>
    <w:uiPriority w:val="99"/>
    <w:rPr>
      <w:sz w:val="18"/>
    </w:rPr>
  </w:style>
  <w:style w:type="character" w:styleId="743">
    <w:name w:val="Endnote Text Char"/>
    <w:link w:val="905"/>
    <w:uiPriority w:val="99"/>
    <w:rPr>
      <w:sz w:val="20"/>
    </w:rPr>
  </w:style>
  <w:style w:type="paragraph" w:styleId="744" w:default="1">
    <w:name w:val="Normal"/>
    <w:qFormat/>
  </w:style>
  <w:style w:type="paragraph" w:styleId="745">
    <w:name w:val="Heading 1"/>
    <w:basedOn w:val="744"/>
    <w:next w:val="744"/>
    <w:link w:val="757"/>
    <w:qFormat/>
    <w:pPr>
      <w:jc w:val="center"/>
      <w:keepNext/>
      <w:outlineLvl w:val="0"/>
    </w:pPr>
    <w:rPr>
      <w:sz w:val="24"/>
    </w:rPr>
  </w:style>
  <w:style w:type="paragraph" w:styleId="746">
    <w:name w:val="Heading 2"/>
    <w:basedOn w:val="744"/>
    <w:next w:val="744"/>
    <w:link w:val="925"/>
    <w:uiPriority w:val="99"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747">
    <w:name w:val="Heading 3"/>
    <w:basedOn w:val="744"/>
    <w:next w:val="744"/>
    <w:link w:val="75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48">
    <w:name w:val="Heading 4"/>
    <w:basedOn w:val="744"/>
    <w:next w:val="744"/>
    <w:link w:val="76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49">
    <w:name w:val="Heading 5"/>
    <w:basedOn w:val="744"/>
    <w:next w:val="744"/>
    <w:link w:val="76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50">
    <w:name w:val="Heading 6"/>
    <w:basedOn w:val="744"/>
    <w:next w:val="744"/>
    <w:link w:val="76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51">
    <w:name w:val="Heading 7"/>
    <w:basedOn w:val="744"/>
    <w:next w:val="744"/>
    <w:link w:val="76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52">
    <w:name w:val="Heading 8"/>
    <w:basedOn w:val="744"/>
    <w:next w:val="744"/>
    <w:link w:val="76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53">
    <w:name w:val="Heading 9"/>
    <w:basedOn w:val="744"/>
    <w:next w:val="744"/>
    <w:link w:val="76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54" w:default="1">
    <w:name w:val="Default Paragraph Font"/>
    <w:uiPriority w:val="1"/>
    <w:semiHidden/>
    <w:unhideWhenUsed/>
  </w:style>
  <w:style w:type="table" w:styleId="75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56" w:default="1">
    <w:name w:val="No List"/>
    <w:uiPriority w:val="99"/>
    <w:semiHidden/>
    <w:unhideWhenUsed/>
  </w:style>
  <w:style w:type="character" w:styleId="757" w:customStyle="1">
    <w:name w:val="Заголовок 1 Знак"/>
    <w:basedOn w:val="754"/>
    <w:link w:val="745"/>
    <w:uiPriority w:val="9"/>
    <w:rPr>
      <w:rFonts w:ascii="Arial" w:hAnsi="Arial" w:eastAsia="Arial" w:cs="Arial"/>
      <w:sz w:val="40"/>
      <w:szCs w:val="40"/>
    </w:rPr>
  </w:style>
  <w:style w:type="character" w:styleId="758" w:customStyle="1">
    <w:name w:val="Heading 2 Char"/>
    <w:basedOn w:val="754"/>
    <w:uiPriority w:val="9"/>
    <w:rPr>
      <w:rFonts w:ascii="Arial" w:hAnsi="Arial" w:eastAsia="Arial" w:cs="Arial"/>
      <w:sz w:val="34"/>
    </w:rPr>
  </w:style>
  <w:style w:type="character" w:styleId="759" w:customStyle="1">
    <w:name w:val="Заголовок 3 Знак"/>
    <w:basedOn w:val="754"/>
    <w:link w:val="747"/>
    <w:uiPriority w:val="9"/>
    <w:rPr>
      <w:rFonts w:ascii="Arial" w:hAnsi="Arial" w:eastAsia="Arial" w:cs="Arial"/>
      <w:sz w:val="30"/>
      <w:szCs w:val="30"/>
    </w:rPr>
  </w:style>
  <w:style w:type="character" w:styleId="760" w:customStyle="1">
    <w:name w:val="Заголовок 4 Знак"/>
    <w:basedOn w:val="754"/>
    <w:link w:val="748"/>
    <w:uiPriority w:val="9"/>
    <w:rPr>
      <w:rFonts w:ascii="Arial" w:hAnsi="Arial" w:eastAsia="Arial" w:cs="Arial"/>
      <w:b/>
      <w:bCs/>
      <w:sz w:val="26"/>
      <w:szCs w:val="26"/>
    </w:rPr>
  </w:style>
  <w:style w:type="character" w:styleId="761" w:customStyle="1">
    <w:name w:val="Заголовок 5 Знак"/>
    <w:basedOn w:val="754"/>
    <w:link w:val="749"/>
    <w:uiPriority w:val="9"/>
    <w:rPr>
      <w:rFonts w:ascii="Arial" w:hAnsi="Arial" w:eastAsia="Arial" w:cs="Arial"/>
      <w:b/>
      <w:bCs/>
      <w:sz w:val="24"/>
      <w:szCs w:val="24"/>
    </w:rPr>
  </w:style>
  <w:style w:type="character" w:styleId="762" w:customStyle="1">
    <w:name w:val="Заголовок 6 Знак"/>
    <w:basedOn w:val="754"/>
    <w:link w:val="750"/>
    <w:uiPriority w:val="9"/>
    <w:rPr>
      <w:rFonts w:ascii="Arial" w:hAnsi="Arial" w:eastAsia="Arial" w:cs="Arial"/>
      <w:b/>
      <w:bCs/>
      <w:sz w:val="22"/>
      <w:szCs w:val="22"/>
    </w:rPr>
  </w:style>
  <w:style w:type="character" w:styleId="763" w:customStyle="1">
    <w:name w:val="Заголовок 7 Знак"/>
    <w:basedOn w:val="754"/>
    <w:link w:val="75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64" w:customStyle="1">
    <w:name w:val="Заголовок 8 Знак"/>
    <w:basedOn w:val="754"/>
    <w:link w:val="752"/>
    <w:uiPriority w:val="9"/>
    <w:rPr>
      <w:rFonts w:ascii="Arial" w:hAnsi="Arial" w:eastAsia="Arial" w:cs="Arial"/>
      <w:i/>
      <w:iCs/>
      <w:sz w:val="22"/>
      <w:szCs w:val="22"/>
    </w:rPr>
  </w:style>
  <w:style w:type="character" w:styleId="765" w:customStyle="1">
    <w:name w:val="Заголовок 9 Знак"/>
    <w:basedOn w:val="754"/>
    <w:link w:val="753"/>
    <w:uiPriority w:val="9"/>
    <w:rPr>
      <w:rFonts w:ascii="Arial" w:hAnsi="Arial" w:eastAsia="Arial" w:cs="Arial"/>
      <w:i/>
      <w:iCs/>
      <w:sz w:val="21"/>
      <w:szCs w:val="21"/>
    </w:rPr>
  </w:style>
  <w:style w:type="character" w:styleId="766" w:customStyle="1">
    <w:name w:val="Title Char"/>
    <w:basedOn w:val="754"/>
    <w:uiPriority w:val="10"/>
    <w:rPr>
      <w:sz w:val="48"/>
      <w:szCs w:val="48"/>
    </w:rPr>
  </w:style>
  <w:style w:type="paragraph" w:styleId="767">
    <w:name w:val="Subtitle"/>
    <w:basedOn w:val="744"/>
    <w:next w:val="744"/>
    <w:link w:val="768"/>
    <w:uiPriority w:val="11"/>
    <w:qFormat/>
    <w:pPr>
      <w:spacing w:before="200" w:after="200"/>
    </w:pPr>
    <w:rPr>
      <w:sz w:val="24"/>
      <w:szCs w:val="24"/>
    </w:rPr>
  </w:style>
  <w:style w:type="character" w:styleId="768" w:customStyle="1">
    <w:name w:val="Подзаголовок Знак"/>
    <w:basedOn w:val="754"/>
    <w:link w:val="767"/>
    <w:uiPriority w:val="11"/>
    <w:rPr>
      <w:sz w:val="24"/>
      <w:szCs w:val="24"/>
    </w:rPr>
  </w:style>
  <w:style w:type="paragraph" w:styleId="769">
    <w:name w:val="Quote"/>
    <w:basedOn w:val="744"/>
    <w:next w:val="744"/>
    <w:link w:val="770"/>
    <w:uiPriority w:val="29"/>
    <w:qFormat/>
    <w:pPr>
      <w:ind w:left="720" w:right="720"/>
    </w:pPr>
    <w:rPr>
      <w:i/>
    </w:rPr>
  </w:style>
  <w:style w:type="character" w:styleId="770" w:customStyle="1">
    <w:name w:val="Цитата 2 Знак"/>
    <w:link w:val="769"/>
    <w:uiPriority w:val="29"/>
    <w:rPr>
      <w:i/>
    </w:rPr>
  </w:style>
  <w:style w:type="paragraph" w:styleId="771">
    <w:name w:val="Intense Quote"/>
    <w:basedOn w:val="744"/>
    <w:next w:val="744"/>
    <w:link w:val="77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72" w:customStyle="1">
    <w:name w:val="Выделенная цитата Знак"/>
    <w:link w:val="771"/>
    <w:uiPriority w:val="30"/>
    <w:rPr>
      <w:i/>
    </w:rPr>
  </w:style>
  <w:style w:type="character" w:styleId="773" w:customStyle="1">
    <w:name w:val="Header Char"/>
    <w:basedOn w:val="754"/>
    <w:uiPriority w:val="99"/>
  </w:style>
  <w:style w:type="character" w:styleId="774" w:customStyle="1">
    <w:name w:val="Footer Char"/>
    <w:basedOn w:val="754"/>
    <w:uiPriority w:val="99"/>
  </w:style>
  <w:style w:type="paragraph" w:styleId="775">
    <w:name w:val="Caption"/>
    <w:basedOn w:val="744"/>
    <w:next w:val="74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76" w:customStyle="1">
    <w:name w:val="Caption Char"/>
    <w:uiPriority w:val="99"/>
  </w:style>
  <w:style w:type="table" w:styleId="777" w:customStyle="1">
    <w:name w:val="Table Grid Light"/>
    <w:basedOn w:val="755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78" w:customStyle="1">
    <w:name w:val="Plain Table 1"/>
    <w:basedOn w:val="755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9" w:customStyle="1">
    <w:name w:val="Plain Table 2"/>
    <w:basedOn w:val="755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0" w:customStyle="1">
    <w:name w:val="Plain Table 3"/>
    <w:basedOn w:val="75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81" w:customStyle="1">
    <w:name w:val="Plain Table 4"/>
    <w:basedOn w:val="75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Plain Table 5"/>
    <w:basedOn w:val="75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83" w:customStyle="1">
    <w:name w:val="Grid Table 1 Light"/>
    <w:basedOn w:val="755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Grid Table 1 Light - Accent 1"/>
    <w:basedOn w:val="755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Grid Table 1 Light - Accent 2"/>
    <w:basedOn w:val="755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Grid Table 1 Light - Accent 3"/>
    <w:basedOn w:val="755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Grid Table 1 Light - Accent 4"/>
    <w:basedOn w:val="755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Grid Table 1 Light - Accent 5"/>
    <w:basedOn w:val="755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Grid Table 1 Light - Accent 6"/>
    <w:basedOn w:val="755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Grid Table 2"/>
    <w:basedOn w:val="755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2 - Accent 1"/>
    <w:basedOn w:val="755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2 - Accent 2"/>
    <w:basedOn w:val="755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2 - Accent 3"/>
    <w:basedOn w:val="755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2 - Accent 4"/>
    <w:basedOn w:val="755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2 - Accent 5"/>
    <w:basedOn w:val="755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2 - Accent 6"/>
    <w:basedOn w:val="755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Grid Table 3"/>
    <w:basedOn w:val="755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Grid Table 3 - Accent 1"/>
    <w:basedOn w:val="755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Grid Table 3 - Accent 2"/>
    <w:basedOn w:val="755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Grid Table 3 - Accent 3"/>
    <w:basedOn w:val="755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Grid Table 3 - Accent 4"/>
    <w:basedOn w:val="755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Grid Table 3 - Accent 5"/>
    <w:basedOn w:val="755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Grid Table 3 - Accent 6"/>
    <w:basedOn w:val="755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Grid Table 4"/>
    <w:basedOn w:val="755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5" w:customStyle="1">
    <w:name w:val="Grid Table 4 - Accent 1"/>
    <w:basedOn w:val="755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06" w:customStyle="1">
    <w:name w:val="Grid Table 4 - Accent 2"/>
    <w:basedOn w:val="755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07" w:customStyle="1">
    <w:name w:val="Grid Table 4 - Accent 3"/>
    <w:basedOn w:val="755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08" w:customStyle="1">
    <w:name w:val="Grid Table 4 - Accent 4"/>
    <w:basedOn w:val="755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09" w:customStyle="1">
    <w:name w:val="Grid Table 4 - Accent 5"/>
    <w:basedOn w:val="755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10" w:customStyle="1">
    <w:name w:val="Grid Table 4 - Accent 6"/>
    <w:basedOn w:val="755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11" w:customStyle="1">
    <w:name w:val="Grid Table 5 Dark"/>
    <w:basedOn w:val="75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12" w:customStyle="1">
    <w:name w:val="Grid Table 5 Dark- Accent 1"/>
    <w:basedOn w:val="75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13" w:customStyle="1">
    <w:name w:val="Grid Table 5 Dark - Accent 2"/>
    <w:basedOn w:val="75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14" w:customStyle="1">
    <w:name w:val="Grid Table 5 Dark - Accent 3"/>
    <w:basedOn w:val="75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15" w:customStyle="1">
    <w:name w:val="Grid Table 5 Dark- Accent 4"/>
    <w:basedOn w:val="75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16" w:customStyle="1">
    <w:name w:val="Grid Table 5 Dark - Accent 5"/>
    <w:basedOn w:val="75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17" w:customStyle="1">
    <w:name w:val="Grid Table 5 Dark - Accent 6"/>
    <w:basedOn w:val="75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18" w:customStyle="1">
    <w:name w:val="Grid Table 6 Colorful"/>
    <w:basedOn w:val="755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19" w:customStyle="1">
    <w:name w:val="Grid Table 6 Colorful - Accent 1"/>
    <w:basedOn w:val="755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20" w:customStyle="1">
    <w:name w:val="Grid Table 6 Colorful - Accent 2"/>
    <w:basedOn w:val="755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21" w:customStyle="1">
    <w:name w:val="Grid Table 6 Colorful - Accent 3"/>
    <w:basedOn w:val="755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22" w:customStyle="1">
    <w:name w:val="Grid Table 6 Colorful - Accent 4"/>
    <w:basedOn w:val="755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23" w:customStyle="1">
    <w:name w:val="Grid Table 6 Colorful - Accent 5"/>
    <w:basedOn w:val="755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4" w:customStyle="1">
    <w:name w:val="Grid Table 6 Colorful - Accent 6"/>
    <w:basedOn w:val="755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5" w:customStyle="1">
    <w:name w:val="Grid Table 7 Colorful"/>
    <w:basedOn w:val="755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Grid Table 7 Colorful - Accent 1"/>
    <w:basedOn w:val="755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7" w:customStyle="1">
    <w:name w:val="Grid Table 7 Colorful - Accent 2"/>
    <w:basedOn w:val="755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8" w:customStyle="1">
    <w:name w:val="Grid Table 7 Colorful - Accent 3"/>
    <w:basedOn w:val="755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9" w:customStyle="1">
    <w:name w:val="Grid Table 7 Colorful - Accent 4"/>
    <w:basedOn w:val="755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0" w:customStyle="1">
    <w:name w:val="Grid Table 7 Colorful - Accent 5"/>
    <w:basedOn w:val="755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1" w:customStyle="1">
    <w:name w:val="Grid Table 7 Colorful - Accent 6"/>
    <w:basedOn w:val="755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2" w:customStyle="1">
    <w:name w:val="List Table 1 Light"/>
    <w:basedOn w:val="755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List Table 1 Light - Accent 1"/>
    <w:basedOn w:val="755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List Table 1 Light - Accent 2"/>
    <w:basedOn w:val="755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 w:customStyle="1">
    <w:name w:val="List Table 1 Light - Accent 3"/>
    <w:basedOn w:val="755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 w:customStyle="1">
    <w:name w:val="List Table 1 Light - Accent 4"/>
    <w:basedOn w:val="755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 w:customStyle="1">
    <w:name w:val="List Table 1 Light - Accent 5"/>
    <w:basedOn w:val="755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 w:customStyle="1">
    <w:name w:val="List Table 1 Light - Accent 6"/>
    <w:basedOn w:val="755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 w:customStyle="1">
    <w:name w:val="List Table 2"/>
    <w:basedOn w:val="755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40" w:customStyle="1">
    <w:name w:val="List Table 2 - Accent 1"/>
    <w:basedOn w:val="755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41" w:customStyle="1">
    <w:name w:val="List Table 2 - Accent 2"/>
    <w:basedOn w:val="755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42" w:customStyle="1">
    <w:name w:val="List Table 2 - Accent 3"/>
    <w:basedOn w:val="755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43" w:customStyle="1">
    <w:name w:val="List Table 2 - Accent 4"/>
    <w:basedOn w:val="755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44" w:customStyle="1">
    <w:name w:val="List Table 2 - Accent 5"/>
    <w:basedOn w:val="755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45" w:customStyle="1">
    <w:name w:val="List Table 2 - Accent 6"/>
    <w:basedOn w:val="755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46" w:customStyle="1">
    <w:name w:val="List Table 3"/>
    <w:basedOn w:val="755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 w:customStyle="1">
    <w:name w:val="List Table 3 - Accent 1"/>
    <w:basedOn w:val="755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 w:customStyle="1">
    <w:name w:val="List Table 3 - Accent 2"/>
    <w:basedOn w:val="755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 w:customStyle="1">
    <w:name w:val="List Table 3 - Accent 3"/>
    <w:basedOn w:val="755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 w:customStyle="1">
    <w:name w:val="List Table 3 - Accent 4"/>
    <w:basedOn w:val="755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 w:customStyle="1">
    <w:name w:val="List Table 3 - Accent 5"/>
    <w:basedOn w:val="755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 w:customStyle="1">
    <w:name w:val="List Table 3 - Accent 6"/>
    <w:basedOn w:val="755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 w:customStyle="1">
    <w:name w:val="List Table 4"/>
    <w:basedOn w:val="755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 w:customStyle="1">
    <w:name w:val="List Table 4 - Accent 1"/>
    <w:basedOn w:val="755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 w:customStyle="1">
    <w:name w:val="List Table 4 - Accent 2"/>
    <w:basedOn w:val="755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 w:customStyle="1">
    <w:name w:val="List Table 4 - Accent 3"/>
    <w:basedOn w:val="755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 w:customStyle="1">
    <w:name w:val="List Table 4 - Accent 4"/>
    <w:basedOn w:val="755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 w:customStyle="1">
    <w:name w:val="List Table 4 - Accent 5"/>
    <w:basedOn w:val="755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 w:customStyle="1">
    <w:name w:val="List Table 4 - Accent 6"/>
    <w:basedOn w:val="755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 w:customStyle="1">
    <w:name w:val="List Table 5 Dark"/>
    <w:basedOn w:val="755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1" w:customStyle="1">
    <w:name w:val="List Table 5 Dark - Accent 1"/>
    <w:basedOn w:val="755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2" w:customStyle="1">
    <w:name w:val="List Table 5 Dark - Accent 2"/>
    <w:basedOn w:val="755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3" w:customStyle="1">
    <w:name w:val="List Table 5 Dark - Accent 3"/>
    <w:basedOn w:val="755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4" w:customStyle="1">
    <w:name w:val="List Table 5 Dark - Accent 4"/>
    <w:basedOn w:val="755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5" w:customStyle="1">
    <w:name w:val="List Table 5 Dark - Accent 5"/>
    <w:basedOn w:val="755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6" w:customStyle="1">
    <w:name w:val="List Table 5 Dark - Accent 6"/>
    <w:basedOn w:val="755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7" w:customStyle="1">
    <w:name w:val="List Table 6 Colorful"/>
    <w:basedOn w:val="755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68" w:customStyle="1">
    <w:name w:val="List Table 6 Colorful - Accent 1"/>
    <w:basedOn w:val="755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69" w:customStyle="1">
    <w:name w:val="List Table 6 Colorful - Accent 2"/>
    <w:basedOn w:val="755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70" w:customStyle="1">
    <w:name w:val="List Table 6 Colorful - Accent 3"/>
    <w:basedOn w:val="755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71" w:customStyle="1">
    <w:name w:val="List Table 6 Colorful - Accent 4"/>
    <w:basedOn w:val="755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72" w:customStyle="1">
    <w:name w:val="List Table 6 Colorful - Accent 5"/>
    <w:basedOn w:val="755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73" w:customStyle="1">
    <w:name w:val="List Table 6 Colorful - Accent 6"/>
    <w:basedOn w:val="755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74" w:customStyle="1">
    <w:name w:val="List Table 7 Colorful"/>
    <w:basedOn w:val="755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5" w:customStyle="1">
    <w:name w:val="List Table 7 Colorful - Accent 1"/>
    <w:basedOn w:val="755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6" w:customStyle="1">
    <w:name w:val="List Table 7 Colorful - Accent 2"/>
    <w:basedOn w:val="755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7" w:customStyle="1">
    <w:name w:val="List Table 7 Colorful - Accent 3"/>
    <w:basedOn w:val="755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8" w:customStyle="1">
    <w:name w:val="List Table 7 Colorful - Accent 4"/>
    <w:basedOn w:val="755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9" w:customStyle="1">
    <w:name w:val="List Table 7 Colorful - Accent 5"/>
    <w:basedOn w:val="755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0" w:customStyle="1">
    <w:name w:val="List Table 7 Colorful - Accent 6"/>
    <w:basedOn w:val="755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1" w:customStyle="1">
    <w:name w:val="Lined - Accent"/>
    <w:basedOn w:val="75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2" w:customStyle="1">
    <w:name w:val="Lined - Accent 1"/>
    <w:basedOn w:val="75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83" w:customStyle="1">
    <w:name w:val="Lined - Accent 2"/>
    <w:basedOn w:val="75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84" w:customStyle="1">
    <w:name w:val="Lined - Accent 3"/>
    <w:basedOn w:val="75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85" w:customStyle="1">
    <w:name w:val="Lined - Accent 4"/>
    <w:basedOn w:val="75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86" w:customStyle="1">
    <w:name w:val="Lined - Accent 5"/>
    <w:basedOn w:val="75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87" w:customStyle="1">
    <w:name w:val="Lined - Accent 6"/>
    <w:basedOn w:val="75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88" w:customStyle="1">
    <w:name w:val="Bordered &amp; Lined - Accent"/>
    <w:basedOn w:val="755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9" w:customStyle="1">
    <w:name w:val="Bordered &amp; Lined - Accent 1"/>
    <w:basedOn w:val="755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90" w:customStyle="1">
    <w:name w:val="Bordered &amp; Lined - Accent 2"/>
    <w:basedOn w:val="755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91" w:customStyle="1">
    <w:name w:val="Bordered &amp; Lined - Accent 3"/>
    <w:basedOn w:val="755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92" w:customStyle="1">
    <w:name w:val="Bordered &amp; Lined - Accent 4"/>
    <w:basedOn w:val="755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93" w:customStyle="1">
    <w:name w:val="Bordered &amp; Lined - Accent 5"/>
    <w:basedOn w:val="755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94" w:customStyle="1">
    <w:name w:val="Bordered &amp; Lined - Accent 6"/>
    <w:basedOn w:val="755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95" w:customStyle="1">
    <w:name w:val="Bordered"/>
    <w:basedOn w:val="755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96" w:customStyle="1">
    <w:name w:val="Bordered - Accent 1"/>
    <w:basedOn w:val="755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97" w:customStyle="1">
    <w:name w:val="Bordered - Accent 2"/>
    <w:basedOn w:val="755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98" w:customStyle="1">
    <w:name w:val="Bordered - Accent 3"/>
    <w:basedOn w:val="755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99" w:customStyle="1">
    <w:name w:val="Bordered - Accent 4"/>
    <w:basedOn w:val="755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00" w:customStyle="1">
    <w:name w:val="Bordered - Accent 5"/>
    <w:basedOn w:val="755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01" w:customStyle="1">
    <w:name w:val="Bordered - Accent 6"/>
    <w:basedOn w:val="755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902">
    <w:name w:val="footnote text"/>
    <w:basedOn w:val="744"/>
    <w:link w:val="903"/>
    <w:uiPriority w:val="99"/>
    <w:semiHidden/>
    <w:unhideWhenUsed/>
    <w:pPr>
      <w:spacing w:after="40"/>
    </w:pPr>
    <w:rPr>
      <w:sz w:val="18"/>
    </w:rPr>
  </w:style>
  <w:style w:type="character" w:styleId="903" w:customStyle="1">
    <w:name w:val="Текст сноски Знак"/>
    <w:link w:val="902"/>
    <w:uiPriority w:val="99"/>
    <w:rPr>
      <w:sz w:val="18"/>
    </w:rPr>
  </w:style>
  <w:style w:type="character" w:styleId="904">
    <w:name w:val="footnote reference"/>
    <w:basedOn w:val="754"/>
    <w:uiPriority w:val="99"/>
    <w:unhideWhenUsed/>
    <w:rPr>
      <w:vertAlign w:val="superscript"/>
    </w:rPr>
  </w:style>
  <w:style w:type="paragraph" w:styleId="905">
    <w:name w:val="endnote text"/>
    <w:basedOn w:val="744"/>
    <w:link w:val="906"/>
    <w:uiPriority w:val="99"/>
    <w:semiHidden/>
    <w:unhideWhenUsed/>
  </w:style>
  <w:style w:type="character" w:styleId="906" w:customStyle="1">
    <w:name w:val="Текст концевой сноски Знак"/>
    <w:link w:val="905"/>
    <w:uiPriority w:val="99"/>
    <w:rPr>
      <w:sz w:val="20"/>
    </w:rPr>
  </w:style>
  <w:style w:type="character" w:styleId="907">
    <w:name w:val="endnote reference"/>
    <w:basedOn w:val="754"/>
    <w:uiPriority w:val="99"/>
    <w:semiHidden/>
    <w:unhideWhenUsed/>
    <w:rPr>
      <w:vertAlign w:val="superscript"/>
    </w:rPr>
  </w:style>
  <w:style w:type="paragraph" w:styleId="908">
    <w:name w:val="toc 1"/>
    <w:basedOn w:val="744"/>
    <w:next w:val="744"/>
    <w:uiPriority w:val="39"/>
    <w:unhideWhenUsed/>
    <w:pPr>
      <w:spacing w:after="57"/>
    </w:pPr>
  </w:style>
  <w:style w:type="paragraph" w:styleId="909">
    <w:name w:val="toc 2"/>
    <w:basedOn w:val="744"/>
    <w:next w:val="744"/>
    <w:uiPriority w:val="39"/>
    <w:unhideWhenUsed/>
    <w:pPr>
      <w:ind w:left="283"/>
      <w:spacing w:after="57"/>
    </w:pPr>
  </w:style>
  <w:style w:type="paragraph" w:styleId="910">
    <w:name w:val="toc 3"/>
    <w:basedOn w:val="744"/>
    <w:next w:val="744"/>
    <w:uiPriority w:val="39"/>
    <w:unhideWhenUsed/>
    <w:pPr>
      <w:ind w:left="567"/>
      <w:spacing w:after="57"/>
    </w:pPr>
  </w:style>
  <w:style w:type="paragraph" w:styleId="911">
    <w:name w:val="toc 4"/>
    <w:basedOn w:val="744"/>
    <w:next w:val="744"/>
    <w:uiPriority w:val="39"/>
    <w:unhideWhenUsed/>
    <w:pPr>
      <w:ind w:left="850"/>
      <w:spacing w:after="57"/>
    </w:pPr>
  </w:style>
  <w:style w:type="paragraph" w:styleId="912">
    <w:name w:val="toc 5"/>
    <w:basedOn w:val="744"/>
    <w:next w:val="744"/>
    <w:uiPriority w:val="39"/>
    <w:unhideWhenUsed/>
    <w:pPr>
      <w:ind w:left="1134"/>
      <w:spacing w:after="57"/>
    </w:pPr>
  </w:style>
  <w:style w:type="paragraph" w:styleId="913">
    <w:name w:val="toc 6"/>
    <w:basedOn w:val="744"/>
    <w:next w:val="744"/>
    <w:uiPriority w:val="39"/>
    <w:unhideWhenUsed/>
    <w:pPr>
      <w:ind w:left="1417"/>
      <w:spacing w:after="57"/>
    </w:pPr>
  </w:style>
  <w:style w:type="paragraph" w:styleId="914">
    <w:name w:val="toc 7"/>
    <w:basedOn w:val="744"/>
    <w:next w:val="744"/>
    <w:uiPriority w:val="39"/>
    <w:unhideWhenUsed/>
    <w:pPr>
      <w:ind w:left="1701"/>
      <w:spacing w:after="57"/>
    </w:pPr>
  </w:style>
  <w:style w:type="paragraph" w:styleId="915">
    <w:name w:val="toc 8"/>
    <w:basedOn w:val="744"/>
    <w:next w:val="744"/>
    <w:uiPriority w:val="39"/>
    <w:unhideWhenUsed/>
    <w:pPr>
      <w:ind w:left="1984"/>
      <w:spacing w:after="57"/>
    </w:pPr>
  </w:style>
  <w:style w:type="paragraph" w:styleId="916">
    <w:name w:val="toc 9"/>
    <w:basedOn w:val="744"/>
    <w:next w:val="744"/>
    <w:uiPriority w:val="39"/>
    <w:unhideWhenUsed/>
    <w:pPr>
      <w:ind w:left="2268"/>
      <w:spacing w:after="57"/>
    </w:pPr>
  </w:style>
  <w:style w:type="paragraph" w:styleId="917">
    <w:name w:val="TOC Heading"/>
    <w:uiPriority w:val="39"/>
    <w:unhideWhenUsed/>
  </w:style>
  <w:style w:type="paragraph" w:styleId="918">
    <w:name w:val="table of figures"/>
    <w:basedOn w:val="744"/>
    <w:next w:val="744"/>
    <w:uiPriority w:val="99"/>
    <w:unhideWhenUsed/>
  </w:style>
  <w:style w:type="paragraph" w:styleId="919">
    <w:name w:val="Body Text"/>
    <w:basedOn w:val="744"/>
    <w:pPr>
      <w:jc w:val="both"/>
    </w:pPr>
    <w:rPr>
      <w:sz w:val="24"/>
      <w:szCs w:val="24"/>
    </w:rPr>
  </w:style>
  <w:style w:type="paragraph" w:styleId="920">
    <w:name w:val="Body Text Indent"/>
    <w:basedOn w:val="744"/>
    <w:link w:val="944"/>
    <w:uiPriority w:val="99"/>
    <w:pPr>
      <w:ind w:left="283"/>
      <w:spacing w:after="120"/>
    </w:pPr>
  </w:style>
  <w:style w:type="paragraph" w:styleId="921">
    <w:name w:val="Body Text 2"/>
    <w:basedOn w:val="744"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922">
    <w:name w:val="Body Text Indent 2"/>
    <w:basedOn w:val="744"/>
    <w:pPr>
      <w:ind w:firstLine="709"/>
      <w:jc w:val="both"/>
    </w:pPr>
    <w:rPr>
      <w:bCs/>
      <w:sz w:val="26"/>
      <w:szCs w:val="26"/>
    </w:rPr>
  </w:style>
  <w:style w:type="paragraph" w:styleId="923">
    <w:name w:val="Body Text Indent 3"/>
    <w:basedOn w:val="744"/>
    <w:pPr>
      <w:ind w:firstLine="708"/>
      <w:jc w:val="both"/>
      <w:tabs>
        <w:tab w:val="left" w:pos="1080" w:leader="none"/>
      </w:tabs>
    </w:pPr>
    <w:rPr>
      <w:sz w:val="26"/>
      <w:szCs w:val="26"/>
    </w:rPr>
  </w:style>
  <w:style w:type="paragraph" w:styleId="924" w:customStyle="1">
    <w:name w:val="Знак Знак2"/>
    <w:basedOn w:val="744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25" w:customStyle="1">
    <w:name w:val="Заголовок 2 Знак"/>
    <w:link w:val="746"/>
    <w:uiPriority w:val="99"/>
    <w:semiHidden/>
    <w:rPr>
      <w:rFonts w:ascii="Cambria" w:hAnsi="Cambria" w:eastAsia="Times New Roman" w:cs="Times New Roman"/>
      <w:b/>
      <w:bCs/>
      <w:i/>
      <w:iCs/>
      <w:sz w:val="28"/>
      <w:szCs w:val="28"/>
    </w:rPr>
  </w:style>
  <w:style w:type="paragraph" w:styleId="926" w:customStyle="1">
    <w:name w:val="ConsPlusNormal"/>
    <w:pPr>
      <w:ind w:firstLine="720"/>
      <w:widowControl w:val="off"/>
    </w:pPr>
    <w:rPr>
      <w:rFonts w:ascii="Arial" w:hAnsi="Arial" w:cs="Arial"/>
    </w:rPr>
  </w:style>
  <w:style w:type="paragraph" w:styleId="927">
    <w:name w:val="Footer"/>
    <w:basedOn w:val="744"/>
    <w:link w:val="928"/>
    <w:uiPriority w:val="99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928" w:customStyle="1">
    <w:name w:val="Нижний колонтитул Знак"/>
    <w:link w:val="927"/>
    <w:uiPriority w:val="99"/>
    <w:rPr>
      <w:rFonts w:ascii="Arial" w:hAnsi="Arial" w:cs="Arial"/>
    </w:rPr>
  </w:style>
  <w:style w:type="character" w:styleId="929">
    <w:name w:val="page number"/>
    <w:uiPriority w:val="99"/>
  </w:style>
  <w:style w:type="paragraph" w:styleId="930">
    <w:name w:val="Header"/>
    <w:basedOn w:val="744"/>
    <w:link w:val="931"/>
    <w:uiPriority w:val="99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931" w:customStyle="1">
    <w:name w:val="Верхний колонтитул Знак"/>
    <w:link w:val="930"/>
    <w:uiPriority w:val="99"/>
    <w:rPr>
      <w:rFonts w:ascii="Arial" w:hAnsi="Arial" w:cs="Arial"/>
    </w:rPr>
  </w:style>
  <w:style w:type="paragraph" w:styleId="932" w:customStyle="1">
    <w:name w:val="ConsPlusCell"/>
    <w:uiPriority w:val="99"/>
    <w:pPr>
      <w:widowControl w:val="off"/>
    </w:pPr>
    <w:rPr>
      <w:rFonts w:ascii="Arial" w:hAnsi="Arial" w:cs="Arial"/>
    </w:rPr>
  </w:style>
  <w:style w:type="table" w:styleId="933">
    <w:name w:val="Table Grid"/>
    <w:basedOn w:val="755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34">
    <w:name w:val="Balloon Text"/>
    <w:basedOn w:val="744"/>
    <w:link w:val="935"/>
    <w:uiPriority w:val="99"/>
    <w:rPr>
      <w:rFonts w:ascii="Arial" w:hAnsi="Arial" w:cs="Arial"/>
      <w:sz w:val="16"/>
      <w:szCs w:val="16"/>
    </w:rPr>
  </w:style>
  <w:style w:type="character" w:styleId="935" w:customStyle="1">
    <w:name w:val="Текст выноски Знак"/>
    <w:link w:val="934"/>
    <w:uiPriority w:val="99"/>
    <w:rPr>
      <w:rFonts w:ascii="Arial" w:hAnsi="Arial" w:cs="Arial"/>
      <w:sz w:val="16"/>
      <w:szCs w:val="16"/>
    </w:rPr>
  </w:style>
  <w:style w:type="paragraph" w:styleId="936">
    <w:name w:val="List Paragraph"/>
    <w:basedOn w:val="744"/>
    <w:link w:val="937"/>
    <w:qFormat/>
    <w:pPr>
      <w:ind w:left="720"/>
      <w:spacing w:after="200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character" w:styleId="937" w:customStyle="1">
    <w:name w:val="Абзац списка Знак"/>
    <w:link w:val="936"/>
    <w:uiPriority w:val="99"/>
    <w:rPr>
      <w:rFonts w:ascii="Calibri" w:hAnsi="Calibri" w:eastAsia="Calibri" w:cs="Calibri"/>
      <w:sz w:val="22"/>
      <w:szCs w:val="22"/>
      <w:lang w:eastAsia="en-US"/>
    </w:rPr>
  </w:style>
  <w:style w:type="paragraph" w:styleId="938" w:customStyle="1">
    <w:name w:val="Абзац списка1"/>
    <w:basedOn w:val="744"/>
    <w:pPr>
      <w:ind w:left="720"/>
      <w:spacing w:after="200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character" w:styleId="939">
    <w:name w:val="Hyperlink"/>
    <w:rPr>
      <w:color w:val="0000ff"/>
      <w:u w:val="single"/>
    </w:rPr>
  </w:style>
  <w:style w:type="paragraph" w:styleId="940">
    <w:name w:val="No Spacing"/>
    <w:uiPriority w:val="1"/>
    <w:qFormat/>
    <w:rPr>
      <w:rFonts w:ascii="Calibri" w:hAnsi="Calibri" w:eastAsia="Calibri" w:cs="Calibri"/>
      <w:sz w:val="22"/>
      <w:szCs w:val="22"/>
      <w:lang w:eastAsia="en-US"/>
    </w:rPr>
  </w:style>
  <w:style w:type="paragraph" w:styleId="941" w:customStyle="1">
    <w:name w:val="ConsPlusTitle"/>
    <w:uiPriority w:val="99"/>
    <w:pPr>
      <w:widowControl w:val="off"/>
    </w:pPr>
    <w:rPr>
      <w:b/>
      <w:bCs/>
      <w:sz w:val="24"/>
      <w:szCs w:val="24"/>
    </w:rPr>
  </w:style>
  <w:style w:type="paragraph" w:styleId="942">
    <w:name w:val="Body Text 3"/>
    <w:basedOn w:val="744"/>
    <w:link w:val="943"/>
    <w:uiPriority w:val="99"/>
    <w:pPr>
      <w:spacing w:after="120"/>
    </w:pPr>
    <w:rPr>
      <w:sz w:val="16"/>
      <w:szCs w:val="16"/>
    </w:rPr>
  </w:style>
  <w:style w:type="character" w:styleId="943" w:customStyle="1">
    <w:name w:val="Основной текст 3 Знак"/>
    <w:basedOn w:val="754"/>
    <w:link w:val="942"/>
    <w:uiPriority w:val="99"/>
    <w:rPr>
      <w:sz w:val="16"/>
      <w:szCs w:val="16"/>
    </w:rPr>
  </w:style>
  <w:style w:type="character" w:styleId="944" w:customStyle="1">
    <w:name w:val="Основной текст с отступом Знак"/>
    <w:link w:val="920"/>
    <w:uiPriority w:val="99"/>
  </w:style>
  <w:style w:type="paragraph" w:styleId="945">
    <w:name w:val="Title"/>
    <w:basedOn w:val="744"/>
    <w:link w:val="946"/>
    <w:uiPriority w:val="99"/>
    <w:qFormat/>
    <w:pPr>
      <w:jc w:val="center"/>
    </w:pPr>
    <w:rPr>
      <w:caps/>
      <w:sz w:val="24"/>
      <w:szCs w:val="24"/>
    </w:rPr>
  </w:style>
  <w:style w:type="character" w:styleId="946" w:customStyle="1">
    <w:name w:val="Название Знак"/>
    <w:basedOn w:val="754"/>
    <w:link w:val="945"/>
    <w:uiPriority w:val="99"/>
    <w:rPr>
      <w:caps/>
      <w:sz w:val="24"/>
      <w:szCs w:val="24"/>
    </w:rPr>
  </w:style>
  <w:style w:type="paragraph" w:styleId="947" w:customStyle="1">
    <w:name w:val="Знак1"/>
    <w:basedOn w:val="744"/>
    <w:uiPriority w:val="99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styleId="948" w:customStyle="1">
    <w:name w:val="ConsPlusNonformat"/>
    <w:pPr>
      <w:widowControl w:val="off"/>
    </w:pPr>
    <w:rPr>
      <w:rFonts w:ascii="Courier New" w:hAnsi="Courier New" w:cs="Courier New"/>
    </w:rPr>
  </w:style>
  <w:style w:type="paragraph" w:styleId="949" w:customStyle="1">
    <w:name w:val="Знак Знак Знак Знак Знак Знак Знак Знак Знак Знак"/>
    <w:basedOn w:val="744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50">
    <w:name w:val="Emphasis"/>
    <w:qFormat/>
    <w:rPr>
      <w:i/>
      <w:iCs/>
    </w:rPr>
  </w:style>
  <w:style w:type="table" w:styleId="951" w:customStyle="1">
    <w:name w:val="Сетка таблицы1"/>
    <w:basedOn w:val="755"/>
    <w:next w:val="933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52" w:customStyle="1">
    <w:name w:val="Сетка таблицы2"/>
    <w:basedOn w:val="755"/>
    <w:next w:val="933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53" w:customStyle="1">
    <w:name w:val="Сетка таблицы3"/>
    <w:basedOn w:val="755"/>
    <w:next w:val="933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54" w:customStyle="1">
    <w:name w:val="Сетка таблицы4"/>
    <w:basedOn w:val="755"/>
    <w:next w:val="933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55" w:customStyle="1">
    <w:name w:val="Сетка таблицы5"/>
    <w:basedOn w:val="755"/>
    <w:next w:val="933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72BC98-6AF8-4AA2-BB40-C495176BFB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Lobanova</dc:creator>
  <cp:revision>4</cp:revision>
  <dcterms:created xsi:type="dcterms:W3CDTF">2026-05-28T12:34:00Z</dcterms:created>
  <dcterms:modified xsi:type="dcterms:W3CDTF">2026-06-15T12:21:58Z</dcterms:modified>
</cp:coreProperties>
</file>