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22.05.2026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910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«Комфортная среда проживания» на 2026 - 2028 годы, утвержденной постановлением администрации Печенгского муниципального округа от 18.11.2025 № 1890,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 План реализации муниципальной программы Печенгского муниципального округа «Комфортная среда проживани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Печенгского муниципального округа от 10.04.2026 № 564), изложить в редакции согласно приложению</w:t>
      </w:r>
      <w:bookmarkStart w:id="0" w:name="_GoBack"/>
      <w:r/>
      <w:bookmarkEnd w:id="0"/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 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А.С.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Ю.В., 5-12-91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397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val="en-US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val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val="en-US"/>
        </w:rPr>
        <w:t xml:space="preserve">05</w:t>
      </w:r>
      <w:r>
        <w:rPr>
          <w:rFonts w:ascii="Times New Roman" w:hAnsi="Times New Roman" w:eastAsia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val="en-US"/>
        </w:rPr>
        <w:t xml:space="preserve">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val="en-US"/>
        </w:rPr>
        <w:t xml:space="preserve">910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59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267"/>
        <w:gridCol w:w="1277"/>
        <w:gridCol w:w="851"/>
        <w:gridCol w:w="1275"/>
        <w:gridCol w:w="1276"/>
        <w:gridCol w:w="1276"/>
        <w:gridCol w:w="1276"/>
        <w:gridCol w:w="3826"/>
        <w:gridCol w:w="1559"/>
      </w:tblGrid>
      <w:tr>
        <w:tblPrEx/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</w:t>
            </w:r>
            <w:r>
              <w:rPr>
                <w:sz w:val="18"/>
                <w:szCs w:val="18"/>
                <w:lang w:eastAsia="ru-RU"/>
              </w:rPr>
              <w:t xml:space="preserve">п</w:t>
            </w:r>
            <w:r>
              <w:rPr>
                <w:sz w:val="18"/>
                <w:szCs w:val="18"/>
                <w:lang w:eastAsia="ru-RU"/>
              </w:rPr>
              <w:t xml:space="preserve">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</w:t>
            </w:r>
            <w:r>
              <w:rPr>
                <w:sz w:val="18"/>
                <w:szCs w:val="18"/>
                <w:lang w:eastAsia="ru-RU"/>
              </w:rPr>
              <w:t xml:space="preserve">и(</w:t>
            </w:r>
            <w:r>
              <w:rPr>
                <w:sz w:val="18"/>
                <w:szCs w:val="18"/>
                <w:lang w:eastAsia="ru-RU"/>
              </w:rPr>
              <w:t xml:space="preserve">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2026 - 2028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863 106 193,22   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496 575 535,22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183 266 679,00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183 263 979,00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 ОРН, администрация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МБ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722 569 820,63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359 418 820,63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181 578 300,00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181 572 700,00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ОБ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74 747 649,71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71 367 991,71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1 688 379,00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1 691 279,00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ФБ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          0,00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  <w:lang w:eastAsia="ru-RU"/>
              </w:rPr>
              <w:t xml:space="preserve"> «Экологическая безопасность и окружающая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69 727 254,74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63 549 896,74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 МБУ «РЭС», администрация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64 879 317,74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61 933 917,74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1.1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1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69 727 254,74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63 549 896,74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1.1. Количество вновь созданных и отремонтированных контейнерных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1.2. Количество договоров, заключенных с региональным оператором, по вывозу мусора с территорий общего пользования.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1.3. Количество </w:t>
            </w:r>
            <w:r>
              <w:rPr>
                <w:sz w:val="16"/>
                <w:szCs w:val="16"/>
                <w:lang w:eastAsia="ru-RU"/>
              </w:rPr>
              <w:t xml:space="preserve">рекультивированных</w:t>
            </w:r>
            <w:r>
              <w:rPr>
                <w:sz w:val="16"/>
                <w:szCs w:val="16"/>
                <w:lang w:eastAsia="ru-RU"/>
              </w:rPr>
              <w:t xml:space="preserve">, ликвидированных несанкционированных (санкционированных) свалок, включая разработку </w:t>
            </w:r>
            <w:r>
              <w:rPr>
                <w:sz w:val="16"/>
                <w:szCs w:val="16"/>
                <w:lang w:eastAsia="ru-RU"/>
              </w:rPr>
              <w:t xml:space="preserve">ПСД.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1.4. Количество эвакуированного бесхозяйного (брошенного) транспорта с дворовых территорий.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1.5. Количество отловленных животных без владельцев с территорий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1.6. Количество земельных участков, в отношении которых возмещен причиненный почвам вред.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 МБУ «РЭС», администрация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64 879 317,74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61 933 917,74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 и ремонт контейнерных площадок для накопления твердых коммунальных отходов»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вывоза мусора с территорий общего пользования»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518 100,00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Вывоз мусора с мест массового отдыха граждан («Первый мост» </w:t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Никель)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518 100,00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«Ликвидация объекта накопленного вреда окружающей среде «Санкционированная свалка на территории </w:t>
            </w:r>
            <w:r>
              <w:rPr>
                <w:sz w:val="18"/>
                <w:szCs w:val="18"/>
                <w:lang w:eastAsia="ru-RU"/>
              </w:rPr>
              <w:t xml:space="preserve">пгт</w:t>
            </w:r>
            <w:r>
              <w:rPr>
                <w:sz w:val="18"/>
                <w:szCs w:val="18"/>
                <w:lang w:eastAsia="ru-RU"/>
              </w:rPr>
              <w:t xml:space="preserve">. Никель Мурманской области»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Ликвидация санкционированной свалки в </w:t>
            </w:r>
            <w:r>
              <w:rPr>
                <w:sz w:val="16"/>
                <w:szCs w:val="16"/>
                <w:lang w:eastAsia="ru-RU"/>
              </w:rPr>
              <w:br/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Никель в целях улучшения экологической обстановки на территории Печенгского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1.1.4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«Эвакуация с дворовых территорий бесхозяйного (брошенного) транспорта»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1 025 000,00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425 000,00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 МБУ «НДС», 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1 025 000,00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425 000,00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1.1.5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мероприятий при осуществлении деятельности по обращению животных без владельцев»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1.1.6.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Возмещение вреда, причиненного почвам как объекту охраны окружающей среды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   МБУ «РЭС», МБУ «НДС», администрация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748 399 738,48   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413 948 738,48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167 228 300,00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167 222 700,00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612 928 602,89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278 477 602,89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167 228 300,00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167 222 700,00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69 682 412,71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69 682 412,71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0,00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мероприятий 2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инициативных проектов в сфере жилищного хозяйства»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2.1. Количество отремонтированных подъездов в многоквартирных домах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2.2.1.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субсидий юридическим лицам, осуществляющим деятельность по управлению МКД, в целях реализации инициативного проекта «Ремонт подъездов, замена окон, дверей, ремонт крылец»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Предоставление субсидий на выполнение работ по ремонту подъездов в МКД, улица Спортивная, д. 17, </w:t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Никель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346 726 048,60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246 726 048,60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0.4. Уровень качества городской среды.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2.2. Количество благоустроенных общественных территорий.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2.3. Количество благоустроенных дворовых территорий многоквартирных домов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2.4. Количество дворовых проездов, в отношении которых выполнен ямочный ремонт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227 138 520,89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127 138 520,89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общественных территорий»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маломобильными гражданами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многоквартирных домов»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проживания в многоквартирных домах путем благоустройства придомовых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90 000 000,00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в рамках </w:t>
            </w:r>
            <w:r>
              <w:rPr>
                <w:sz w:val="18"/>
                <w:szCs w:val="18"/>
                <w:lang w:eastAsia="ru-RU"/>
              </w:rPr>
              <w:t xml:space="preserve">реализации мероприятий планов социального развития экономического роста субъектов РФ Арктической зоны РФ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168 216 720,89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168 216 720,89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Благоустройство дворовых территорий: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Печенга, </w:t>
            </w:r>
            <w:r>
              <w:rPr>
                <w:sz w:val="16"/>
                <w:szCs w:val="16"/>
                <w:lang w:eastAsia="ru-RU"/>
              </w:rPr>
              <w:t xml:space="preserve">Печенгское</w:t>
            </w:r>
            <w:r>
              <w:rPr>
                <w:sz w:val="16"/>
                <w:szCs w:val="16"/>
                <w:lang w:eastAsia="ru-RU"/>
              </w:rPr>
              <w:t xml:space="preserve"> шоссе, 8-10, 7-12, 6-11, 3, 4;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Стадионная, 3, 4, 7, 5-8, 9, 10;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ж</w:t>
            </w:r>
            <w:r>
              <w:rPr>
                <w:sz w:val="16"/>
                <w:szCs w:val="16"/>
                <w:lang w:eastAsia="ru-RU"/>
              </w:rPr>
              <w:t xml:space="preserve">/д ст. Печенга, д. 1, 2, 3, 4;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</w:t>
            </w:r>
            <w:r>
              <w:rPr>
                <w:sz w:val="16"/>
                <w:szCs w:val="16"/>
                <w:lang w:eastAsia="ru-RU"/>
              </w:rPr>
              <w:t xml:space="preserve">. </w:t>
            </w:r>
            <w:r>
              <w:rPr>
                <w:sz w:val="16"/>
                <w:szCs w:val="16"/>
                <w:lang w:eastAsia="ru-RU"/>
              </w:rPr>
              <w:t xml:space="preserve">Луостари</w:t>
            </w:r>
            <w:r>
              <w:rPr>
                <w:sz w:val="16"/>
                <w:szCs w:val="16"/>
                <w:lang w:eastAsia="ru-RU"/>
              </w:rPr>
              <w:t xml:space="preserve">, ул. Нижняя, 4-10-12, 3, 2, 5, 9, 8, 11, 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Верхняя, 4-5, 1-2;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</w:t>
            </w:r>
            <w:r>
              <w:rPr>
                <w:sz w:val="16"/>
                <w:szCs w:val="16"/>
                <w:lang w:eastAsia="ru-RU"/>
              </w:rPr>
              <w:t xml:space="preserve">. Спутник, ул. </w:t>
            </w:r>
            <w:r>
              <w:rPr>
                <w:sz w:val="16"/>
                <w:szCs w:val="16"/>
                <w:lang w:eastAsia="ru-RU"/>
              </w:rPr>
              <w:t xml:space="preserve">Новая</w:t>
            </w:r>
            <w:r>
              <w:rPr>
                <w:sz w:val="16"/>
                <w:szCs w:val="16"/>
                <w:lang w:eastAsia="ru-RU"/>
              </w:rPr>
              <w:t xml:space="preserve">, 19-21, 18-20, 16-17, 8-15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2.3.4.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Выполнение работ по ямочному ремонту в </w:t>
            </w:r>
            <w:r>
              <w:rPr>
                <w:sz w:val="16"/>
                <w:szCs w:val="16"/>
                <w:lang w:eastAsia="ru-RU"/>
              </w:rPr>
              <w:br/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Никель, ул. </w:t>
            </w:r>
            <w:r>
              <w:rPr>
                <w:sz w:val="16"/>
                <w:szCs w:val="16"/>
                <w:lang w:eastAsia="ru-RU"/>
              </w:rPr>
              <w:t xml:space="preserve">Бредова</w:t>
            </w:r>
            <w:r>
              <w:rPr>
                <w:sz w:val="16"/>
                <w:szCs w:val="16"/>
                <w:lang w:eastAsia="ru-RU"/>
              </w:rPr>
              <w:t xml:space="preserve">, д. 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2.4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4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159 729 942,88   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76 300 542,88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41 717 500,00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41 711 900,00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2.6. Количество благоустроенных детских игровых и спортивных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2.7. Выполнение мероприятий по организации уличного освещения.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152 130 835,00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68 701 435,00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41 717 500,00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41 711 900,00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7 593 085,00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7 593 085,00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6 022,88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6 022,88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«Повышение привлекательности объектов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52 613 222,88   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26 956 022,88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12 831 400,00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12 825 800,00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52 607 200,00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26 950 000,00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12 831 400,00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12 825 800,00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6 022,88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           6 022,88   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«Создание, благоустройство и обслуживание инфраструктуры для комфортного развития детей, молодежи»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33 216 020,00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21 536 020,00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25 622 935,00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13 942 935,00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7 593 085,00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7 593 085,00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«Техническое обслуживание и устройство наружного освещения, оплата электроэнергии наружного освещения»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73 900 700,00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27 808 500,00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Организация осве</w:t>
            </w:r>
            <w:r>
              <w:rPr>
                <w:sz w:val="16"/>
                <w:szCs w:val="16"/>
                <w:lang w:eastAsia="ru-RU"/>
              </w:rPr>
              <w:t xml:space="preserve">щения улиц, обслуживание и улучшение технического состояния электрических сетей уличного освещения, модернизация и замена устаревшего оборудования сетей уличного освещения, обустройство наружного освещения в районе детских площадок, неосвещенных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»,  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73 900 700,00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27 808 500,00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2.5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5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проекта «Работа</w:t>
            </w:r>
            <w:r>
              <w:rPr>
                <w:sz w:val="18"/>
                <w:szCs w:val="18"/>
                <w:lang w:eastAsia="ru-RU"/>
              </w:rPr>
              <w:t xml:space="preserve"> Р</w:t>
            </w:r>
            <w:r>
              <w:rPr>
                <w:sz w:val="18"/>
                <w:szCs w:val="18"/>
                <w:lang w:eastAsia="ru-RU"/>
              </w:rPr>
              <w:t xml:space="preserve">ядом!»»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2.8. Численность граждан, привлеченных к </w:t>
            </w:r>
            <w:r>
              <w:rPr>
                <w:sz w:val="16"/>
                <w:szCs w:val="16"/>
                <w:lang w:eastAsia="ru-RU"/>
              </w:rPr>
              <w:t xml:space="preserve">временным общественно полезным работам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трудовых бригад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2.6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  <w:lang w:eastAsia="ru-RU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215 299 247,00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74 277 647,00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2.9. Обеспечение деятельности муниципального казенного учреждения в сфере благоустройства.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215 299 247,00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74 277 647,00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199 272 406,00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68 817 406,00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199 272 406,00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68 817 406,00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«Обеспечение функционирования 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16 026 841,00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5 460 241,00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16 026 841,00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5 460 241,00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В</w:t>
            </w:r>
            <w:r>
              <w:rPr>
                <w:b/>
                <w:sz w:val="18"/>
                <w:szCs w:val="18"/>
                <w:lang w:eastAsia="ru-RU"/>
              </w:rPr>
              <w:t xml:space="preserve">ыполнение комплекса мер по сохранению, благоустройству и </w:t>
            </w:r>
            <w:r>
              <w:rPr>
                <w:b/>
                <w:sz w:val="18"/>
                <w:szCs w:val="18"/>
                <w:lang w:eastAsia="ru-RU"/>
              </w:rPr>
              <w:t xml:space="preserve">надлежащему содержанию мест захоронения»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2026 - 2028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3.7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</w:t>
            </w:r>
            <w:r>
              <w:rPr>
                <w:sz w:val="18"/>
                <w:szCs w:val="18"/>
                <w:lang w:eastAsia="ru-RU"/>
              </w:rPr>
              <w:t xml:space="preserve"> «Организация ритуальных услуг и содержание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3.2. Выполнение мероприятий по организации захоронений трупов, невостребованных родственниками.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«Содержание мест захоронения (кладбищ), ритуальные услуги»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выплат по гарантированному перечню услуг по погребению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u w:val="single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4 </w:t>
            </w:r>
            <w:r>
              <w:rPr>
                <w:b/>
                <w:sz w:val="18"/>
                <w:szCs w:val="18"/>
                <w:lang w:eastAsia="ru-RU"/>
              </w:rPr>
              <w:t xml:space="preserve">«Устойчивое и надлежащее функционирование систем коммунальной инфраструктуры»</w:t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u w:val="single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u w:val="single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u w:val="single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u w:val="single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4.8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мероприятий 8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«Подготовка объектов жилищно-коммунального хозяйства к работе в отопительный период»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4.1. Протяженность отремонтированных инженерных сетей.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4.2. Наличие </w:t>
            </w:r>
            <w:r>
              <w:rPr>
                <w:sz w:val="16"/>
                <w:szCs w:val="16"/>
                <w:lang w:eastAsia="ru-RU"/>
              </w:rPr>
              <w:t xml:space="preserve">актуализированных</w:t>
            </w:r>
            <w:r>
              <w:rPr>
                <w:sz w:val="16"/>
                <w:szCs w:val="16"/>
                <w:lang w:eastAsia="ru-RU"/>
              </w:rPr>
              <w:t xml:space="preserve"> схемы теплоснабжения и программы комплексного развития системы коммунальной инфраструктуры.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4.8.1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</w:t>
            </w:r>
            <w:r>
              <w:rPr>
                <w:sz w:val="18"/>
                <w:szCs w:val="18"/>
                <w:lang w:eastAsia="ru-RU"/>
              </w:rPr>
              <w:t xml:space="preserve">«Предоставление субсидии МУП «Тепловые сети» на выполнение работ по капитальному ремонту участка трубопровода тепловой сети»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Предоставление субсидии на выполнение работ по </w:t>
            </w:r>
            <w:r>
              <w:rPr>
                <w:sz w:val="16"/>
                <w:szCs w:val="16"/>
                <w:lang w:eastAsia="ru-RU"/>
              </w:rPr>
              <w:t xml:space="preserve">капитальному ремонту участка трубопровода тепловой сети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4.8.2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схемы теплоснабжения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4.8.3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утвержденных постановлением РФ </w:t>
            </w:r>
            <w:r>
              <w:rPr>
                <w:sz w:val="16"/>
                <w:szCs w:val="16"/>
                <w:lang w:eastAsia="ru-RU"/>
              </w:rPr>
              <w:br/>
              <w:t xml:space="preserve">от 14.06.2013 № 502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Никельская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УБиР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.».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851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5"/>
  </w:num>
  <w:num w:numId="5">
    <w:abstractNumId w:val="16"/>
  </w:num>
  <w:num w:numId="6">
    <w:abstractNumId w:val="17"/>
  </w:num>
  <w:num w:numId="7">
    <w:abstractNumId w:val="6"/>
  </w:num>
  <w:num w:numId="8">
    <w:abstractNumId w:val="9"/>
  </w:num>
  <w:num w:numId="9">
    <w:abstractNumId w:val="3"/>
  </w:num>
  <w:num w:numId="10">
    <w:abstractNumId w:val="1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1"/>
  </w:num>
  <w:num w:numId="15">
    <w:abstractNumId w:val="10"/>
  </w:num>
  <w:num w:numId="16">
    <w:abstractNumId w:val="15"/>
  </w:num>
  <w:num w:numId="17">
    <w:abstractNumId w:val="14"/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1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2">
    <w:name w:val="Heading 1"/>
    <w:basedOn w:val="691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3">
    <w:name w:val="Heading 2"/>
    <w:basedOn w:val="691"/>
    <w:next w:val="691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94">
    <w:name w:val="Heading 3"/>
    <w:basedOn w:val="691"/>
    <w:next w:val="691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95">
    <w:name w:val="Heading 4"/>
    <w:basedOn w:val="691"/>
    <w:next w:val="691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691"/>
    <w:next w:val="691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8">
    <w:name w:val="Heading 7"/>
    <w:basedOn w:val="691"/>
    <w:next w:val="691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9">
    <w:name w:val="Heading 8"/>
    <w:basedOn w:val="691"/>
    <w:next w:val="691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0">
    <w:name w:val="Heading 9"/>
    <w:basedOn w:val="691"/>
    <w:next w:val="691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10" w:customStyle="1">
    <w:name w:val="Title Char"/>
    <w:basedOn w:val="701"/>
    <w:uiPriority w:val="10"/>
    <w:rPr>
      <w:sz w:val="48"/>
      <w:szCs w:val="48"/>
    </w:rPr>
  </w:style>
  <w:style w:type="character" w:styleId="711" w:customStyle="1">
    <w:name w:val="Subtitle Char"/>
    <w:basedOn w:val="701"/>
    <w:uiPriority w:val="11"/>
    <w:rPr>
      <w:sz w:val="24"/>
      <w:szCs w:val="24"/>
    </w:rPr>
  </w:style>
  <w:style w:type="character" w:styleId="712" w:customStyle="1">
    <w:name w:val="Quote Char"/>
    <w:uiPriority w:val="29"/>
    <w:rPr>
      <w:i/>
    </w:rPr>
  </w:style>
  <w:style w:type="character" w:styleId="713" w:customStyle="1">
    <w:name w:val="Intense Quote Char"/>
    <w:uiPriority w:val="30"/>
    <w:rPr>
      <w:i/>
    </w:rPr>
  </w:style>
  <w:style w:type="table" w:styleId="714" w:customStyle="1">
    <w:name w:val="Plain Table 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2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3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 w:customStyle="1">
    <w:name w:val="Plain Table 4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Plain Table 5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1 Light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2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4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Grid Table 5 Dark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4" w:customStyle="1">
    <w:name w:val="Grid Table 6 Colorful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5" w:customStyle="1">
    <w:name w:val="Grid Table 7 Colorful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6" w:customStyle="1">
    <w:name w:val="List Table 1 Light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List Table 2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8" w:customStyle="1">
    <w:name w:val="List Table 3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4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List Table 5 Dark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1" w:customStyle="1">
    <w:name w:val="List Table 6 Colorful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2" w:customStyle="1">
    <w:name w:val="List Table 7 Colorful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3" w:customStyle="1">
    <w:name w:val="Footnote Text Char"/>
    <w:uiPriority w:val="99"/>
    <w:rPr>
      <w:sz w:val="18"/>
    </w:rPr>
  </w:style>
  <w:style w:type="character" w:styleId="734" w:customStyle="1">
    <w:name w:val="Endnote Text Char"/>
    <w:uiPriority w:val="99"/>
    <w:rPr>
      <w:sz w:val="20"/>
    </w:rPr>
  </w:style>
  <w:style w:type="character" w:styleId="735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01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691"/>
    <w:next w:val="691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Название Знак"/>
    <w:basedOn w:val="701"/>
    <w:link w:val="744"/>
    <w:uiPriority w:val="10"/>
    <w:rPr>
      <w:sz w:val="48"/>
      <w:szCs w:val="48"/>
    </w:rPr>
  </w:style>
  <w:style w:type="paragraph" w:styleId="746">
    <w:name w:val="Subtitle"/>
    <w:basedOn w:val="691"/>
    <w:next w:val="691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01"/>
    <w:link w:val="746"/>
    <w:uiPriority w:val="11"/>
    <w:rPr>
      <w:sz w:val="24"/>
      <w:szCs w:val="24"/>
    </w:rPr>
  </w:style>
  <w:style w:type="paragraph" w:styleId="748">
    <w:name w:val="Quote"/>
    <w:basedOn w:val="691"/>
    <w:next w:val="691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691"/>
    <w:next w:val="691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01"/>
    <w:uiPriority w:val="99"/>
  </w:style>
  <w:style w:type="character" w:styleId="753" w:customStyle="1">
    <w:name w:val="Footer Char"/>
    <w:basedOn w:val="701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0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0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0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0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0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0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0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0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0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0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0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0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0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0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0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0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0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0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0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0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0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0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0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0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0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0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0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691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01"/>
    <w:uiPriority w:val="99"/>
    <w:unhideWhenUsed/>
    <w:rPr>
      <w:vertAlign w:val="superscript"/>
    </w:rPr>
  </w:style>
  <w:style w:type="paragraph" w:styleId="883">
    <w:name w:val="endnote text"/>
    <w:basedOn w:val="691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01"/>
    <w:uiPriority w:val="99"/>
    <w:semiHidden/>
    <w:unhideWhenUsed/>
    <w:rPr>
      <w:vertAlign w:val="superscript"/>
    </w:rPr>
  </w:style>
  <w:style w:type="paragraph" w:styleId="886">
    <w:name w:val="toc 1"/>
    <w:basedOn w:val="691"/>
    <w:next w:val="691"/>
    <w:uiPriority w:val="39"/>
    <w:unhideWhenUsed/>
    <w:pPr>
      <w:spacing w:after="57"/>
    </w:pPr>
  </w:style>
  <w:style w:type="paragraph" w:styleId="887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88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89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90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91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92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93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94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  <w:qFormat/>
  </w:style>
  <w:style w:type="paragraph" w:styleId="896">
    <w:name w:val="table of figures"/>
    <w:basedOn w:val="691"/>
    <w:next w:val="691"/>
    <w:uiPriority w:val="99"/>
    <w:unhideWhenUsed/>
    <w:pPr>
      <w:spacing w:after="0"/>
    </w:pPr>
  </w:style>
  <w:style w:type="paragraph" w:styleId="897" w:customStyle="1">
    <w:name w:val="ConsPlusNorma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691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691"/>
    <w:uiPriority w:val="99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691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691"/>
    <w:link w:val="908"/>
    <w:uiPriority w:val="99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uiPriority w:val="99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691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691"/>
    <w:link w:val="916"/>
    <w:uiPriority w:val="99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uiPriority w:val="99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692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693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694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02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691"/>
    <w:link w:val="922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691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691"/>
    <w:uiPriority w:val="99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691"/>
    <w:link w:val="93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691"/>
    <w:next w:val="691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691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691"/>
    <w:next w:val="691"/>
    <w:uiPriority w:val="99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691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691"/>
    <w:link w:val="944"/>
    <w:uiPriority w:val="99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691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uiPriority w:val="99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03"/>
    <w:semiHidden/>
    <w:unhideWhenUsed/>
  </w:style>
  <w:style w:type="table" w:styleId="951" w:customStyle="1">
    <w:name w:val="Сетка таблицы1"/>
    <w:basedOn w:val="702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691"/>
    <w:uiPriority w:val="99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uiPriority w:val="99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uiPriority w:val="99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691"/>
    <w:uiPriority w:val="99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691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69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691"/>
    <w:next w:val="691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691"/>
    <w:uiPriority w:val="99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691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01"/>
  </w:style>
  <w:style w:type="character" w:styleId="976">
    <w:name w:val="annotation reference"/>
    <w:basedOn w:val="701"/>
    <w:uiPriority w:val="99"/>
    <w:semiHidden/>
    <w:unhideWhenUsed/>
    <w:rPr>
      <w:sz w:val="16"/>
      <w:szCs w:val="16"/>
    </w:rPr>
  </w:style>
  <w:style w:type="paragraph" w:styleId="977">
    <w:name w:val="annotation text"/>
    <w:basedOn w:val="691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01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  <w:style w:type="character" w:styleId="981">
    <w:name w:val="FollowedHyperlink"/>
    <w:basedOn w:val="701"/>
    <w:uiPriority w:val="99"/>
    <w:semiHidden/>
    <w:unhideWhenUsed/>
    <w:rPr>
      <w:color w:val="800080"/>
      <w:u w:val="single"/>
    </w:rPr>
  </w:style>
  <w:style w:type="paragraph" w:styleId="982" w:customStyle="1">
    <w:name w:val="font5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983" w:customStyle="1">
    <w:name w:val="font6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84" w:customStyle="1">
    <w:name w:val="font7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985" w:customStyle="1">
    <w:name w:val="font8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986" w:customStyle="1">
    <w:name w:val="font9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987" w:customStyle="1">
    <w:name w:val="font10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88" w:customStyle="1">
    <w:name w:val="font11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989" w:customStyle="1">
    <w:name w:val="font12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990" w:customStyle="1">
    <w:name w:val="xl65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1" w:customStyle="1">
    <w:name w:val="xl66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2" w:customStyle="1">
    <w:name w:val="xl67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3" w:customStyle="1">
    <w:name w:val="xl68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4" w:customStyle="1">
    <w:name w:val="xl69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995" w:customStyle="1">
    <w:name w:val="xl70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6" w:customStyle="1">
    <w:name w:val="xl71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7" w:customStyle="1">
    <w:name w:val="xl72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98" w:customStyle="1">
    <w:name w:val="xl73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99" w:customStyle="1">
    <w:name w:val="xl74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0" w:customStyle="1">
    <w:name w:val="xl75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1" w:customStyle="1">
    <w:name w:val="xl76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2" w:customStyle="1">
    <w:name w:val="xl77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xl78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4" w:customStyle="1">
    <w:name w:val="xl79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5" w:customStyle="1">
    <w:name w:val="xl80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6" w:customStyle="1">
    <w:name w:val="xl81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7" w:customStyle="1">
    <w:name w:val="xl82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8" w:customStyle="1">
    <w:name w:val="xl83"/>
    <w:basedOn w:val="691"/>
    <w:uiPriority w:val="99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09" w:customStyle="1">
    <w:name w:val="xl84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0" w:customStyle="1">
    <w:name w:val="xl85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1" w:customStyle="1">
    <w:name w:val="xl86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2" w:customStyle="1">
    <w:name w:val="xl87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3" w:customStyle="1">
    <w:name w:val="xl88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4" w:customStyle="1">
    <w:name w:val="xl89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5" w:customStyle="1">
    <w:name w:val="xl90"/>
    <w:basedOn w:val="691"/>
    <w:uiPriority w:val="99"/>
    <w:pPr>
      <w:spacing w:before="100" w:beforeAutospacing="1" w:after="100" w:afterAutospacing="1" w:line="240" w:lineRule="auto"/>
      <w:shd w:val="clear" w:color="auto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6" w:customStyle="1">
    <w:name w:val="xl91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92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8" w:customStyle="1">
    <w:name w:val="xl93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9" w:customStyle="1">
    <w:name w:val="xl94"/>
    <w:basedOn w:val="691"/>
    <w:uiPriority w:val="99"/>
    <w:pPr>
      <w:spacing w:before="100" w:beforeAutospacing="1" w:after="100" w:afterAutospacing="1" w:line="240" w:lineRule="auto"/>
      <w:shd w:val="clear" w:color="auto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20" w:customStyle="1">
    <w:name w:val="xl95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1" w:customStyle="1">
    <w:name w:val="xl96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97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98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99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5" w:customStyle="1">
    <w:name w:val="xl100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101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102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8" w:customStyle="1">
    <w:name w:val="xl103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9" w:customStyle="1">
    <w:name w:val="xl104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0" w:customStyle="1">
    <w:name w:val="xl105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1" w:customStyle="1">
    <w:name w:val="xl106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2" w:customStyle="1">
    <w:name w:val="xl107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3" w:customStyle="1">
    <w:name w:val="xl108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109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5" w:customStyle="1">
    <w:name w:val="xl110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6" w:customStyle="1">
    <w:name w:val="xl111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7" w:customStyle="1">
    <w:name w:val="xl112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8" w:customStyle="1">
    <w:name w:val="xl113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9" w:customStyle="1">
    <w:name w:val="xl114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40" w:customStyle="1">
    <w:name w:val="xl115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1" w:customStyle="1">
    <w:name w:val="xl116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2" w:customStyle="1">
    <w:name w:val="xl117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3" w:customStyle="1">
    <w:name w:val="xl118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4" w:customStyle="1">
    <w:name w:val="xl119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5" w:customStyle="1">
    <w:name w:val="xl120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6" w:customStyle="1">
    <w:name w:val="xl121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7" w:customStyle="1">
    <w:name w:val="xl122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23"/>
    <w:basedOn w:val="691"/>
    <w:uiPriority w:val="99"/>
    <w:pPr>
      <w:spacing w:before="100" w:beforeAutospacing="1" w:after="100" w:afterAutospacing="1" w:line="240" w:lineRule="auto"/>
      <w:shd w:val="clear" w:color="auto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124"/>
    <w:basedOn w:val="691"/>
    <w:uiPriority w:val="99"/>
    <w:pPr>
      <w:jc w:val="center"/>
      <w:spacing w:before="100" w:beforeAutospacing="1" w:after="100" w:afterAutospacing="1" w:line="240" w:lineRule="auto"/>
      <w:shd w:val="clear" w:color="auto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0" w:customStyle="1">
    <w:name w:val="xl125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1" w:customStyle="1">
    <w:name w:val="xl126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27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28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4" w:customStyle="1">
    <w:name w:val="xl129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5" w:customStyle="1">
    <w:name w:val="xl130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6" w:customStyle="1">
    <w:name w:val="xl131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7" w:customStyle="1">
    <w:name w:val="xl132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8" w:customStyle="1">
    <w:name w:val="xl133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9" w:customStyle="1">
    <w:name w:val="xl134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0" w:customStyle="1">
    <w:name w:val="xl135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1" w:customStyle="1">
    <w:name w:val="xl136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2" w:customStyle="1">
    <w:name w:val="xl137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3" w:customStyle="1">
    <w:name w:val="xl138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4" w:customStyle="1">
    <w:name w:val="xl139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5" w:customStyle="1">
    <w:name w:val="xl140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6" w:customStyle="1">
    <w:name w:val="xl141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67" w:customStyle="1">
    <w:name w:val="xl142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68" w:customStyle="1">
    <w:name w:val="xl143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9" w:customStyle="1">
    <w:name w:val="xl144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70" w:customStyle="1">
    <w:name w:val="xl145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1" w:customStyle="1">
    <w:name w:val="xl146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2" w:customStyle="1">
    <w:name w:val="xl147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3" w:customStyle="1">
    <w:name w:val="xl148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4" w:customStyle="1">
    <w:name w:val="xl149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5" w:customStyle="1">
    <w:name w:val="xl150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6" w:customStyle="1">
    <w:name w:val="xl151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152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153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9" w:customStyle="1">
    <w:name w:val="xl154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0" w:customStyle="1">
    <w:name w:val="xl155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56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2" w:customStyle="1">
    <w:name w:val="xl157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3" w:customStyle="1">
    <w:name w:val="xl158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4" w:customStyle="1">
    <w:name w:val="xl159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60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6" w:customStyle="1">
    <w:name w:val="xl161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7" w:customStyle="1">
    <w:name w:val="xl162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63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89" w:customStyle="1">
    <w:name w:val="xl164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0" w:customStyle="1">
    <w:name w:val="xl165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1" w:customStyle="1">
    <w:name w:val="xl166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2" w:customStyle="1">
    <w:name w:val="xl167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3" w:customStyle="1">
    <w:name w:val="xl168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4" w:customStyle="1">
    <w:name w:val="xl169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5" w:customStyle="1">
    <w:name w:val="xl170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6" w:customStyle="1">
    <w:name w:val="xl171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7" w:customStyle="1">
    <w:name w:val="xl172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73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9" w:customStyle="1">
    <w:name w:val="xl174"/>
    <w:basedOn w:val="691"/>
    <w:uiPriority w:val="9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0" w:customStyle="1">
    <w:name w:val="xl175"/>
    <w:basedOn w:val="691"/>
    <w:uiPriority w:val="9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1" w:customStyle="1">
    <w:name w:val="xl176"/>
    <w:basedOn w:val="691"/>
    <w:uiPriority w:val="9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02" w:customStyle="1">
    <w:name w:val="xl177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78"/>
    <w:basedOn w:val="691"/>
    <w:uiPriority w:val="9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character" w:styleId="1104" w:customStyle="1">
    <w:name w:val="Основной текст + 8 pt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1105" w:customStyle="1">
    <w:name w:val="Таблица-сетка 7 цветная1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hint="default" w:ascii="Arial" w:hAnsi="Arial" w:cs="Arial"/>
        <w:color w:val="7f7f7f" w:themeColor="text1" w:themeTint="80" w:themeShade="95"/>
        <w:sz w:val="22"/>
        <w:szCs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hint="default" w:ascii="Arial" w:hAnsi="Arial" w:cs="Arial"/>
        <w:color w:val="7f7f7f" w:themeColor="text1" w:themeTint="80" w:themeShade="95"/>
        <w:sz w:val="22"/>
        <w:szCs w:val="22"/>
      </w:rPr>
    </w:tblStylePr>
    <w:tblStylePr w:type="fir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pPr>
        <w:jc w:val="right"/>
      </w:pPr>
      <w:tcPr>
        <w:shd w:val="clear" w:color="auto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hint="default" w:ascii="Arial" w:hAnsi="Arial" w:cs="Arial"/>
        <w:b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hint="default" w:ascii="Arial" w:hAnsi="Arial" w:cs="Arial"/>
        <w:b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6" w:customStyle="1">
    <w:name w:val="Список-таблица 7 цветная1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hint="default" w:ascii="Arial" w:hAnsi="Arial" w:cs="Arial"/>
        <w:color w:val="7f7f7f" w:themeColor="text1" w:themeTint="80" w:themeShade="95"/>
        <w:sz w:val="22"/>
        <w:szCs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hint="default" w:ascii="Arial" w:hAnsi="Arial" w:cs="Arial"/>
        <w:color w:val="7f7f7f" w:themeColor="text1" w:themeTint="80" w:themeShade="95"/>
        <w:sz w:val="22"/>
        <w:szCs w:val="22"/>
      </w:rPr>
    </w:tblStylePr>
    <w:tblStylePr w:type="fir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pPr>
        <w:jc w:val="right"/>
      </w:pPr>
      <w:tcPr>
        <w:shd w:val="clear" w:color="auto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7" w:customStyle="1">
    <w:name w:val="Таблица-сетка 7 цветная11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hint="default" w:ascii="Arial" w:hAnsi="Arial" w:cs="Arial"/>
        <w:color w:val="7f7f7f" w:themeColor="text1" w:themeTint="80" w:themeShade="95"/>
        <w:sz w:val="22"/>
        <w:szCs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hint="default" w:ascii="Arial" w:hAnsi="Arial" w:cs="Arial"/>
        <w:color w:val="7f7f7f" w:themeColor="text1" w:themeTint="80" w:themeShade="95"/>
        <w:sz w:val="22"/>
        <w:szCs w:val="22"/>
      </w:rPr>
    </w:tblStylePr>
    <w:tblStylePr w:type="fir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pPr>
        <w:jc w:val="right"/>
      </w:pPr>
      <w:tcPr>
        <w:shd w:val="clear" w:color="auto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hint="default" w:ascii="Arial" w:hAnsi="Arial" w:cs="Arial"/>
        <w:b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hint="default" w:ascii="Arial" w:hAnsi="Arial" w:cs="Arial"/>
        <w:b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8" w:customStyle="1">
    <w:name w:val="Список-таблица 7 цветная11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hint="default" w:ascii="Arial" w:hAnsi="Arial" w:cs="Arial"/>
        <w:color w:val="7f7f7f" w:themeColor="text1" w:themeTint="80" w:themeShade="95"/>
        <w:sz w:val="22"/>
        <w:szCs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hint="default" w:ascii="Arial" w:hAnsi="Arial" w:cs="Arial"/>
        <w:color w:val="7f7f7f" w:themeColor="text1" w:themeTint="80" w:themeShade="95"/>
        <w:sz w:val="22"/>
        <w:szCs w:val="22"/>
      </w:rPr>
    </w:tblStylePr>
    <w:tblStylePr w:type="fir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pPr>
        <w:jc w:val="right"/>
      </w:pPr>
      <w:tcPr>
        <w:shd w:val="clear" w:color="auto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hint="default" w:ascii="Arial" w:hAnsi="Arial" w:cs="Arial"/>
        <w:i/>
        <w:color w:val="7f7f7f" w:themeColor="text1" w:themeTint="80" w:themeShade="95"/>
        <w:sz w:val="22"/>
        <w:szCs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B568C-6B23-43DF-B156-A6283B9FE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</cp:revision>
  <dcterms:created xsi:type="dcterms:W3CDTF">2026-05-28T12:37:00Z</dcterms:created>
  <dcterms:modified xsi:type="dcterms:W3CDTF">2026-06-15T12:23:28Z</dcterms:modified>
</cp:coreProperties>
</file>