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2787015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9.4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 05.06.2026 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№ 1025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bCs/>
          <w:color w:val="auto"/>
        </w:rPr>
      </w:pPr>
      <w:r>
        <w:rPr>
          <w:b/>
          <w:bCs/>
          <w:color w:val="auto"/>
        </w:rPr>
        <w:t xml:space="preserve">О внесении изменений в план реализации муниципальной программы Печенгского муниципального округа «Обеспечение социальной стабильности» на 2026 - 2028 годы, утвержденный постановлением администрации Печенгского муниципального округа от 14.11.2025 № 1873</w:t>
      </w:r>
      <w:r>
        <w:rPr>
          <w:b/>
          <w:bCs/>
          <w:color w:val="auto"/>
        </w:rPr>
      </w:r>
      <w:r>
        <w:rPr>
          <w:b/>
          <w:bCs/>
          <w:color w:val="auto"/>
        </w:rPr>
      </w:r>
    </w:p>
    <w:p>
      <w:pPr>
        <w:ind w:firstLine="709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Р</w:t>
      </w:r>
      <w:r>
        <w:rPr>
          <w:color w:val="auto"/>
          <w:sz w:val="24"/>
          <w:szCs w:val="24"/>
        </w:rPr>
        <w:t xml:space="preserve">уководствуясь порядком разработки,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</w:t>
      </w:r>
      <w:r>
        <w:rPr>
          <w:color w:val="auto"/>
          <w:sz w:val="24"/>
          <w:szCs w:val="24"/>
        </w:rPr>
        <w:br/>
        <w:t xml:space="preserve">от 18.09.2025 № 1488, в соответствии с муниципальной</w:t>
      </w:r>
      <w:r>
        <w:rPr>
          <w:color w:val="auto"/>
          <w:sz w:val="24"/>
          <w:szCs w:val="24"/>
        </w:rPr>
        <w:t xml:space="preserve"> программой Печенгского муниципального округа «Обеспечение социальной стабильности» на 2026 - 2028 годы», утвержденной постановлением администрации Печенгского муниципального округа </w:t>
      </w:r>
      <w:r>
        <w:rPr>
          <w:color w:val="auto"/>
          <w:sz w:val="24"/>
          <w:szCs w:val="24"/>
        </w:rPr>
        <w:br/>
        <w:t xml:space="preserve">от 12.11.2025 № 1835, в целях повышения эффективности и результативности </w:t>
      </w:r>
      <w:r>
        <w:rPr>
          <w:color w:val="auto"/>
          <w:sz w:val="24"/>
          <w:szCs w:val="24"/>
        </w:rPr>
        <w:t xml:space="preserve">расходования бюджетных средств,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2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both"/>
        <w:rPr>
          <w:b/>
          <w:bCs/>
          <w:color w:val="auto"/>
          <w:sz w:val="24"/>
          <w:szCs w:val="24"/>
        </w:rPr>
      </w:pPr>
      <w:r>
        <w:rPr>
          <w:b/>
          <w:bCs/>
          <w:color w:val="auto"/>
          <w:sz w:val="24"/>
          <w:szCs w:val="24"/>
        </w:rPr>
        <w:t xml:space="preserve">ПОСТАНОВЛЯЮ:</w:t>
      </w:r>
      <w:r>
        <w:rPr>
          <w:b/>
          <w:bCs/>
          <w:color w:val="auto"/>
          <w:sz w:val="24"/>
          <w:szCs w:val="24"/>
        </w:rPr>
      </w:r>
      <w:r>
        <w:rPr>
          <w:b/>
          <w:bCs/>
          <w:color w:val="auto"/>
          <w:sz w:val="24"/>
          <w:szCs w:val="24"/>
        </w:rPr>
      </w:r>
    </w:p>
    <w:p>
      <w:pPr>
        <w:ind w:right="-5"/>
        <w:jc w:val="both"/>
        <w:widowControl w:val="off"/>
        <w:tabs>
          <w:tab w:val="left" w:pos="709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widowControl w:val="off"/>
        <w:tabs>
          <w:tab w:val="left" w:pos="993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1. План реализации муниципальной программы Печенгск</w:t>
      </w:r>
      <w:r>
        <w:rPr>
          <w:color w:val="auto"/>
          <w:sz w:val="24"/>
          <w:szCs w:val="24"/>
        </w:rPr>
        <w:t xml:space="preserve">ого муниципального округа «Обеспечение социальной стабильности» на 2026 - 2028 годы, утвержденный постановлением администрации Печенгского муниципального округа от 14.11.2025 № 1873 (в редакции постановления администрации Печенгского муниципального округа </w:t>
      </w:r>
      <w:r>
        <w:rPr>
          <w:color w:val="auto"/>
          <w:sz w:val="24"/>
          <w:szCs w:val="24"/>
        </w:rPr>
        <w:br/>
        <w:t xml:space="preserve">от 10.04.2026 № 562), изложить в редакции согласно приложению к настоящему постановлению.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right="-5" w:firstLine="709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2. Настоящее постановление вступает в силу после его подписания.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widowControl w:val="off"/>
        <w:tabs>
          <w:tab w:val="left" w:pos="993" w:leader="none"/>
          <w:tab w:val="left" w:pos="1276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3. Настоящее постановление разместить на сайте Печенгского муниципального округа в сети Интернет.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А.С. </w:t>
      </w:r>
      <w:r>
        <w:rPr>
          <w:sz w:val="24"/>
          <w:szCs w:val="24"/>
        </w:rPr>
        <w:t xml:space="preserve">Пеньшин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spacing w:after="200" w:line="276" w:lineRule="auto"/>
      </w:pPr>
      <w:r/>
      <w:r/>
    </w:p>
    <w:p>
      <w:pPr>
        <w:spacing w:after="200" w:line="276" w:lineRule="auto"/>
      </w:pPr>
      <w:r/>
      <w:r/>
    </w:p>
    <w:p>
      <w:pPr>
        <w:spacing w:after="200" w:line="276" w:lineRule="auto"/>
      </w:pPr>
      <w:r>
        <w:t xml:space="preserve">Рыжкова А.А., 25151</w:t>
      </w:r>
      <w:r/>
    </w:p>
    <w:p>
      <w:pPr>
        <w:spacing w:after="200" w:line="276" w:lineRule="auto"/>
        <w:sectPr>
          <w:footnotePr/>
          <w:endnotePr/>
          <w:type w:val="nextPage"/>
          <w:pgSz w:w="11906" w:h="16838" w:orient="portrait"/>
          <w:pgMar w:top="720" w:right="720" w:bottom="244" w:left="1701" w:header="709" w:footer="709" w:gutter="0"/>
          <w:rtlGutter/>
          <w:cols w:num="1" w:sep="0" w:space="709" w:equalWidth="1"/>
          <w:docGrid w:linePitch="360"/>
        </w:sectPr>
      </w:pPr>
      <w:r/>
      <w:r/>
    </w:p>
    <w:tbl>
      <w:tblPr>
        <w:tblW w:w="0" w:type="dxa"/>
        <w:tblInd w:w="-284" w:type="dxa"/>
        <w:tblLayout w:type="fixed"/>
        <w:tblLook w:val="04A0" w:firstRow="1" w:lastRow="0" w:firstColumn="1" w:lastColumn="0" w:noHBand="0" w:noVBand="1"/>
      </w:tblPr>
      <w:tblGrid>
        <w:gridCol w:w="581"/>
        <w:gridCol w:w="2113"/>
        <w:gridCol w:w="1124"/>
        <w:gridCol w:w="719"/>
        <w:gridCol w:w="1417"/>
        <w:gridCol w:w="1418"/>
        <w:gridCol w:w="1417"/>
        <w:gridCol w:w="1418"/>
        <w:gridCol w:w="3685"/>
        <w:gridCol w:w="1560"/>
      </w:tblGrid>
      <w:tr>
        <w:tblPrEx/>
        <w:trPr>
          <w:trHeight w:val="570"/>
        </w:trPr>
        <w:tc>
          <w:tcPr>
            <w:gridSpan w:val="10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5452" w:type="dxa"/>
            <w:vAlign w:val="center"/>
            <w:textDirection w:val="lrTb"/>
            <w:noWrap w:val="false"/>
          </w:tcPr>
          <w:p>
            <w:pPr>
              <w:contextualSpacing/>
              <w:ind w:left="11341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Приложение                                                                                                                           к постановлению администрации                                                                                              </w:t>
            </w:r>
            <w:r>
              <w:rPr>
                <w:sz w:val="24"/>
                <w:lang w:eastAsia="en-US"/>
              </w:rPr>
              <w:t xml:space="preserve">                             Печенгского муниципального округа                                                                                                                          от 05.06.2026 № 1025</w:t>
            </w:r>
            <w:r>
              <w:rPr>
                <w:sz w:val="24"/>
                <w:lang w:eastAsia="en-US"/>
              </w:rPr>
            </w:r>
            <w:r>
              <w:rPr>
                <w:sz w:val="24"/>
                <w:lang w:eastAsia="en-US"/>
              </w:rPr>
            </w:r>
          </w:p>
          <w:p>
            <w:pPr>
              <w:contextualSpacing/>
              <w:ind w:left="11341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</w:r>
            <w:r>
              <w:rPr>
                <w:sz w:val="24"/>
                <w:lang w:eastAsia="en-US"/>
              </w:rPr>
            </w:r>
            <w:r>
              <w:rPr>
                <w:sz w:val="24"/>
                <w:lang w:eastAsia="en-US"/>
              </w:rPr>
            </w:r>
          </w:p>
          <w:p>
            <w:pPr>
              <w:contextualSpacing/>
              <w:ind w:left="11341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«Приложение                                       </w:t>
            </w:r>
            <w:r>
              <w:rPr>
                <w:sz w:val="24"/>
                <w:lang w:eastAsia="en-US"/>
              </w:rPr>
              <w:t xml:space="preserve">                                                                                    к постановлению администрации                                                                                                                           Печенгского муниципа</w:t>
            </w:r>
            <w:r>
              <w:rPr>
                <w:sz w:val="24"/>
                <w:lang w:eastAsia="en-US"/>
              </w:rPr>
              <w:t xml:space="preserve">льного округа                                                                                                                          от 14.11.2025 № 1873</w:t>
            </w:r>
            <w:r>
              <w:rPr>
                <w:sz w:val="24"/>
                <w:lang w:eastAsia="en-US"/>
              </w:rPr>
            </w:r>
            <w:r>
              <w:rPr>
                <w:sz w:val="24"/>
                <w:lang w:eastAsia="en-US"/>
              </w:rPr>
            </w:r>
          </w:p>
          <w:p>
            <w:pPr>
              <w:jc w:val="center"/>
              <w:spacing w:line="276" w:lineRule="auto"/>
              <w:rPr>
                <w:b/>
                <w:bCs/>
                <w:color w:val="auto"/>
                <w:sz w:val="24"/>
                <w:szCs w:val="24"/>
                <w:lang w:eastAsia="en-US"/>
              </w:rPr>
            </w:pPr>
            <w:r>
              <w:rPr>
                <w:b/>
                <w:bCs/>
                <w:color w:val="auto"/>
                <w:sz w:val="24"/>
                <w:szCs w:val="24"/>
                <w:lang w:eastAsia="en-US"/>
              </w:rPr>
              <w:t xml:space="preserve">ПЛАН</w:t>
            </w:r>
            <w:r>
              <w:rPr>
                <w:b/>
                <w:bCs/>
                <w:color w:val="auto"/>
                <w:sz w:val="24"/>
                <w:szCs w:val="24"/>
                <w:lang w:eastAsia="en-US"/>
              </w:rPr>
            </w:r>
            <w:r>
              <w:rPr>
                <w:b/>
                <w:bCs/>
                <w:color w:val="auto"/>
                <w:sz w:val="24"/>
                <w:szCs w:val="24"/>
                <w:lang w:eastAsia="en-US"/>
              </w:rPr>
            </w:r>
          </w:p>
          <w:p>
            <w:pPr>
              <w:jc w:val="center"/>
              <w:spacing w:line="276" w:lineRule="auto"/>
              <w:rPr>
                <w:b/>
                <w:bCs/>
                <w:color w:val="auto"/>
                <w:sz w:val="24"/>
                <w:szCs w:val="24"/>
                <w:lang w:eastAsia="en-US"/>
              </w:rPr>
            </w:pPr>
            <w:r>
              <w:rPr>
                <w:b/>
                <w:bCs/>
                <w:color w:val="auto"/>
                <w:sz w:val="26"/>
                <w:szCs w:val="26"/>
                <w:lang w:eastAsia="en-US"/>
              </w:rPr>
              <w:t xml:space="preserve"> </w:t>
            </w:r>
            <w:r>
              <w:rPr>
                <w:b/>
                <w:bCs/>
                <w:color w:val="auto"/>
                <w:sz w:val="24"/>
                <w:szCs w:val="24"/>
                <w:lang w:eastAsia="en-US"/>
              </w:rPr>
              <w:t xml:space="preserve">реализации муниципальной программы Печенгского муниципального округа «Обеспечение социальной с</w:t>
            </w:r>
            <w:r>
              <w:rPr>
                <w:b/>
                <w:bCs/>
                <w:color w:val="auto"/>
                <w:sz w:val="24"/>
                <w:szCs w:val="24"/>
                <w:lang w:eastAsia="en-US"/>
              </w:rPr>
              <w:t xml:space="preserve">табильности» </w:t>
            </w:r>
            <w:r>
              <w:rPr>
                <w:b/>
                <w:bCs/>
                <w:color w:val="auto"/>
                <w:sz w:val="24"/>
                <w:szCs w:val="24"/>
                <w:lang w:eastAsia="en-US"/>
              </w:rPr>
            </w:r>
            <w:r>
              <w:rPr>
                <w:b/>
                <w:bCs/>
                <w:color w:val="auto"/>
                <w:sz w:val="24"/>
                <w:szCs w:val="24"/>
                <w:lang w:eastAsia="en-US"/>
              </w:rPr>
            </w:r>
          </w:p>
          <w:p>
            <w:pPr>
              <w:jc w:val="center"/>
              <w:spacing w:line="276" w:lineRule="auto"/>
              <w:rPr>
                <w:b/>
                <w:bCs/>
                <w:color w:val="auto"/>
                <w:sz w:val="24"/>
                <w:szCs w:val="24"/>
                <w:lang w:eastAsia="en-US"/>
              </w:rPr>
            </w:pPr>
            <w:r>
              <w:rPr>
                <w:b/>
                <w:bCs/>
                <w:color w:val="auto"/>
                <w:sz w:val="24"/>
                <w:szCs w:val="24"/>
                <w:lang w:eastAsia="en-US"/>
              </w:rPr>
              <w:t xml:space="preserve"> на 2026 - 2028 годы</w:t>
            </w:r>
            <w:r>
              <w:rPr>
                <w:b/>
                <w:bCs/>
                <w:color w:val="auto"/>
                <w:sz w:val="24"/>
                <w:szCs w:val="24"/>
                <w:lang w:eastAsia="en-US"/>
              </w:rPr>
            </w:r>
            <w:r>
              <w:rPr>
                <w:b/>
                <w:bCs/>
                <w:color w:val="auto"/>
                <w:sz w:val="24"/>
                <w:szCs w:val="24"/>
                <w:lang w:eastAsia="en-US"/>
              </w:rPr>
            </w:r>
          </w:p>
          <w:p>
            <w:pPr>
              <w:jc w:val="center"/>
              <w:spacing w:line="276" w:lineRule="auto"/>
              <w:rPr>
                <w:b/>
                <w:bCs/>
                <w:color w:val="auto"/>
                <w:sz w:val="24"/>
                <w:szCs w:val="24"/>
                <w:lang w:eastAsia="en-US"/>
              </w:rPr>
            </w:pPr>
            <w:r>
              <w:rPr>
                <w:b/>
                <w:bCs/>
                <w:color w:val="auto"/>
                <w:sz w:val="24"/>
                <w:szCs w:val="24"/>
                <w:lang w:eastAsia="en-US"/>
              </w:rPr>
            </w:r>
            <w:r>
              <w:rPr>
                <w:b/>
                <w:bCs/>
                <w:color w:val="auto"/>
                <w:sz w:val="24"/>
                <w:szCs w:val="24"/>
                <w:lang w:eastAsia="en-US"/>
              </w:rPr>
            </w:r>
            <w:r>
              <w:rPr>
                <w:b/>
                <w:bCs/>
                <w:color w:val="auto"/>
                <w:sz w:val="24"/>
                <w:szCs w:val="24"/>
                <w:lang w:eastAsia="en-US"/>
              </w:rPr>
            </w:r>
          </w:p>
        </w:tc>
      </w:tr>
      <w:tr>
        <w:tblPrEx/>
        <w:trPr>
          <w:trHeight w:val="39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№ </w:t>
            </w:r>
            <w:r>
              <w:rPr>
                <w:sz w:val="18"/>
                <w:szCs w:val="18"/>
                <w:lang w:eastAsia="en-US"/>
              </w:rPr>
              <w:t xml:space="preserve">п</w:t>
            </w:r>
            <w:r>
              <w:rPr>
                <w:sz w:val="18"/>
                <w:szCs w:val="18"/>
                <w:lang w:eastAsia="en-US"/>
              </w:rPr>
              <w:t xml:space="preserve">/п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11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Муниципальная программа,  направление (подпрограмма), комплексы процессных </w:t>
            </w:r>
            <w:r>
              <w:rPr>
                <w:sz w:val="18"/>
                <w:szCs w:val="18"/>
                <w:lang w:eastAsia="en-US"/>
              </w:rPr>
              <w:t xml:space="preserve">и(</w:t>
            </w:r>
            <w:r>
              <w:rPr>
                <w:sz w:val="18"/>
                <w:szCs w:val="18"/>
                <w:lang w:eastAsia="en-US"/>
              </w:rPr>
              <w:t xml:space="preserve">или) проектных мероприятий, мероприятие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12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Годы выполнения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gridSpan w:val="5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6389" w:type="dxa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rPr>
                <w:color w:val="auto"/>
                <w:lang w:eastAsia="en-US"/>
              </w:rPr>
            </w:pPr>
            <w:r>
              <w:rPr>
                <w:color w:val="auto"/>
                <w:lang w:eastAsia="en-US"/>
              </w:rPr>
              <w:t xml:space="preserve">Объемы и источники финансирования (рублей)</w:t>
            </w:r>
            <w:r>
              <w:rPr>
                <w:color w:val="auto"/>
                <w:lang w:eastAsia="en-US"/>
              </w:rPr>
            </w:r>
            <w:r>
              <w:rPr>
                <w:color w:val="auto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color w:val="auto"/>
                <w:sz w:val="18"/>
                <w:szCs w:val="18"/>
                <w:lang w:eastAsia="en-US"/>
              </w:rPr>
              <w:t xml:space="preserve">Связь комплексов процессных </w:t>
            </w:r>
            <w:r>
              <w:rPr>
                <w:color w:val="auto"/>
                <w:sz w:val="18"/>
                <w:szCs w:val="18"/>
                <w:lang w:eastAsia="en-US"/>
              </w:rPr>
              <w:t xml:space="preserve">и(</w:t>
            </w:r>
            <w:r>
              <w:rPr>
                <w:color w:val="auto"/>
                <w:sz w:val="18"/>
                <w:szCs w:val="18"/>
                <w:lang w:eastAsia="en-US"/>
              </w:rPr>
              <w:t xml:space="preserve">или) пр</w:t>
            </w:r>
            <w:r>
              <w:rPr>
                <w:color w:val="auto"/>
                <w:sz w:val="18"/>
                <w:szCs w:val="18"/>
                <w:lang w:eastAsia="en-US"/>
              </w:rPr>
              <w:t xml:space="preserve">оектных мероприятий с показателями муниципальной программы, направлений (подпрограмм), ожидаемые результаты реализации (краткая характеристика) мероприятий</w:t>
            </w: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Соисполнители, участники </w:t>
            </w:r>
            <w:r>
              <w:rPr>
                <w:sz w:val="18"/>
                <w:szCs w:val="18"/>
                <w:vertAlign w:val="superscript"/>
                <w:lang w:eastAsia="en-US"/>
              </w:rPr>
              <w:t xml:space="preserve">1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</w:tr>
      <w:tr>
        <w:tblPrEx/>
        <w:trPr>
          <w:trHeight w:val="73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По годам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ВСЕГО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2026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2027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2028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985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</w:tr>
      <w:tr>
        <w:tblPrEx/>
        <w:trPr>
          <w:trHeight w:val="219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none" w:color="000000" w:sz="4" w:space="0"/>
            </w:tcBorders>
            <w:tcW w:w="581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</w:r>
            <w:r>
              <w:rPr>
                <w:b/>
                <w:bCs/>
                <w:sz w:val="24"/>
                <w:szCs w:val="24"/>
                <w:lang w:eastAsia="en-US"/>
              </w:rPr>
            </w:r>
            <w:r>
              <w:rPr>
                <w:b/>
                <w:bCs/>
                <w:sz w:val="24"/>
                <w:szCs w:val="24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13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</w:p>
          <w:p>
            <w:pPr>
              <w:jc w:val="center"/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Муниципальная программа «Обеспечение социальной стабильности»</w:t>
            </w: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24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  <w:p>
            <w:pPr>
              <w:jc w:val="center"/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  <w:p>
            <w:pPr>
              <w:jc w:val="center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 xml:space="preserve">2026 - 2028</w:t>
            </w:r>
            <w:r>
              <w:rPr>
                <w:b/>
                <w:sz w:val="18"/>
                <w:szCs w:val="18"/>
                <w:lang w:eastAsia="en-US"/>
              </w:rPr>
            </w:r>
            <w:r>
              <w:rPr>
                <w:b/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Всего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8"/>
                <w:lang w:eastAsia="en-US"/>
              </w:rPr>
            </w:pPr>
            <w:r>
              <w:rPr>
                <w:b/>
                <w:bCs/>
                <w:sz w:val="16"/>
                <w:szCs w:val="18"/>
                <w:lang w:eastAsia="en-US"/>
              </w:rPr>
              <w:t xml:space="preserve">  113 415 999,00   </w:t>
            </w:r>
            <w:r>
              <w:rPr>
                <w:b/>
                <w:bCs/>
                <w:sz w:val="16"/>
                <w:szCs w:val="18"/>
                <w:lang w:eastAsia="en-US"/>
              </w:rPr>
            </w:r>
            <w:r>
              <w:rPr>
                <w:b/>
                <w:bCs/>
                <w:sz w:val="16"/>
                <w:szCs w:val="18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8"/>
                <w:lang w:eastAsia="en-US"/>
              </w:rPr>
            </w:pPr>
            <w:r>
              <w:rPr>
                <w:b/>
                <w:bCs/>
                <w:sz w:val="16"/>
                <w:szCs w:val="18"/>
                <w:lang w:eastAsia="en-US"/>
              </w:rPr>
              <w:t xml:space="preserve">    39 368 000,00   </w:t>
            </w:r>
            <w:r>
              <w:rPr>
                <w:b/>
                <w:bCs/>
                <w:sz w:val="16"/>
                <w:szCs w:val="18"/>
                <w:lang w:eastAsia="en-US"/>
              </w:rPr>
            </w:r>
            <w:r>
              <w:rPr>
                <w:b/>
                <w:bCs/>
                <w:sz w:val="16"/>
                <w:szCs w:val="18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8"/>
                <w:lang w:eastAsia="en-US"/>
              </w:rPr>
            </w:pPr>
            <w:r>
              <w:rPr>
                <w:b/>
                <w:bCs/>
                <w:sz w:val="16"/>
                <w:szCs w:val="18"/>
                <w:lang w:eastAsia="en-US"/>
              </w:rPr>
              <w:t xml:space="preserve">    36 970 899,00   </w:t>
            </w:r>
            <w:r>
              <w:rPr>
                <w:b/>
                <w:bCs/>
                <w:sz w:val="16"/>
                <w:szCs w:val="18"/>
                <w:lang w:eastAsia="en-US"/>
              </w:rPr>
            </w:r>
            <w:r>
              <w:rPr>
                <w:b/>
                <w:bCs/>
                <w:sz w:val="16"/>
                <w:szCs w:val="18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8"/>
                <w:lang w:eastAsia="en-US"/>
              </w:rPr>
            </w:pPr>
            <w:r>
              <w:rPr>
                <w:b/>
                <w:bCs/>
                <w:sz w:val="16"/>
                <w:szCs w:val="18"/>
                <w:lang w:eastAsia="en-US"/>
              </w:rPr>
              <w:t xml:space="preserve">    37 077 100,00   </w:t>
            </w:r>
            <w:r>
              <w:rPr>
                <w:b/>
                <w:bCs/>
                <w:sz w:val="16"/>
                <w:szCs w:val="18"/>
                <w:lang w:eastAsia="en-US"/>
              </w:rPr>
            </w:r>
            <w:r>
              <w:rPr>
                <w:b/>
                <w:bCs/>
                <w:sz w:val="16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restart"/>
            <w:textDirection w:val="lrTb"/>
            <w:noWrap w:val="false"/>
          </w:tcPr>
          <w:p>
            <w:pPr>
              <w:ind w:right="-315"/>
              <w:jc w:val="center"/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-</w:t>
            </w: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Управляющий делами администрации; сектор муниципальной службы и кадров; специалист по раб</w:t>
            </w:r>
            <w:r>
              <w:rPr>
                <w:sz w:val="16"/>
                <w:szCs w:val="16"/>
                <w:lang w:eastAsia="en-US"/>
              </w:rPr>
              <w:t xml:space="preserve">оте с населением; ОРН; отдел образования; отдел </w:t>
            </w:r>
            <w:r>
              <w:rPr>
                <w:sz w:val="16"/>
                <w:szCs w:val="16"/>
                <w:lang w:eastAsia="en-US"/>
              </w:rPr>
              <w:t xml:space="preserve">КСиМП</w:t>
            </w:r>
            <w:r>
              <w:rPr>
                <w:sz w:val="16"/>
                <w:szCs w:val="16"/>
                <w:lang w:eastAsia="en-US"/>
              </w:rPr>
              <w:t xml:space="preserve">; КУИ; ОС и ЖКХ; МКУ «Управление </w:t>
            </w:r>
            <w:r>
              <w:rPr>
                <w:sz w:val="16"/>
                <w:szCs w:val="16"/>
                <w:lang w:eastAsia="en-US"/>
              </w:rPr>
              <w:t xml:space="preserve">по</w:t>
            </w:r>
            <w:r>
              <w:rPr>
                <w:sz w:val="16"/>
                <w:szCs w:val="16"/>
                <w:lang w:eastAsia="en-US"/>
              </w:rPr>
              <w:t xml:space="preserve"> ОДА»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</w:tr>
      <w:tr>
        <w:tblPrEx/>
        <w:trPr>
          <w:trHeight w:val="127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none" w:color="000000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</w:r>
            <w:r>
              <w:rPr>
                <w:b/>
                <w:bCs/>
                <w:sz w:val="24"/>
                <w:szCs w:val="24"/>
                <w:lang w:eastAsia="en-US"/>
              </w:rPr>
            </w:r>
            <w:r>
              <w:rPr>
                <w:b/>
                <w:bCs/>
                <w:sz w:val="24"/>
                <w:szCs w:val="24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</w:r>
            <w:r>
              <w:rPr>
                <w:b/>
                <w:sz w:val="18"/>
                <w:szCs w:val="18"/>
                <w:lang w:eastAsia="en-US"/>
              </w:rPr>
            </w:r>
            <w:r>
              <w:rPr>
                <w:b/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МБ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8"/>
                <w:lang w:eastAsia="en-US"/>
              </w:rPr>
            </w:pPr>
            <w:r>
              <w:rPr>
                <w:b/>
                <w:bCs/>
                <w:sz w:val="16"/>
                <w:szCs w:val="18"/>
                <w:lang w:eastAsia="en-US"/>
              </w:rPr>
              <w:t xml:space="preserve">    28 027 790,00   </w:t>
            </w:r>
            <w:r>
              <w:rPr>
                <w:b/>
                <w:bCs/>
                <w:sz w:val="16"/>
                <w:szCs w:val="18"/>
                <w:lang w:eastAsia="en-US"/>
              </w:rPr>
            </w:r>
            <w:r>
              <w:rPr>
                <w:b/>
                <w:bCs/>
                <w:sz w:val="16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8"/>
                <w:lang w:eastAsia="en-US"/>
              </w:rPr>
            </w:pPr>
            <w:r>
              <w:rPr>
                <w:b/>
                <w:bCs/>
                <w:sz w:val="16"/>
                <w:szCs w:val="18"/>
                <w:lang w:eastAsia="en-US"/>
              </w:rPr>
              <w:t xml:space="preserve">    11 231 831,00   </w:t>
            </w:r>
            <w:r>
              <w:rPr>
                <w:b/>
                <w:bCs/>
                <w:sz w:val="16"/>
                <w:szCs w:val="18"/>
                <w:lang w:eastAsia="en-US"/>
              </w:rPr>
            </w:r>
            <w:r>
              <w:rPr>
                <w:b/>
                <w:bCs/>
                <w:sz w:val="16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8"/>
                <w:lang w:eastAsia="en-US"/>
              </w:rPr>
            </w:pPr>
            <w:r>
              <w:rPr>
                <w:b/>
                <w:bCs/>
                <w:sz w:val="16"/>
                <w:szCs w:val="18"/>
                <w:lang w:eastAsia="en-US"/>
              </w:rPr>
              <w:t xml:space="preserve">      8 345 416,00   </w:t>
            </w:r>
            <w:r>
              <w:rPr>
                <w:b/>
                <w:bCs/>
                <w:sz w:val="16"/>
                <w:szCs w:val="18"/>
                <w:lang w:eastAsia="en-US"/>
              </w:rPr>
            </w:r>
            <w:r>
              <w:rPr>
                <w:b/>
                <w:bCs/>
                <w:sz w:val="16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8"/>
                <w:lang w:eastAsia="en-US"/>
              </w:rPr>
            </w:pPr>
            <w:r>
              <w:rPr>
                <w:b/>
                <w:bCs/>
                <w:sz w:val="16"/>
                <w:szCs w:val="18"/>
                <w:lang w:eastAsia="en-US"/>
              </w:rPr>
              <w:t xml:space="preserve">      8 450 543,00   </w:t>
            </w:r>
            <w:r>
              <w:rPr>
                <w:b/>
                <w:bCs/>
                <w:sz w:val="16"/>
                <w:szCs w:val="18"/>
                <w:lang w:eastAsia="en-US"/>
              </w:rPr>
            </w:r>
            <w:r>
              <w:rPr>
                <w:b/>
                <w:bCs/>
                <w:sz w:val="16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auto" w:sz="4" w:space="0"/>
            </w:tcBorders>
            <w:tcW w:w="3985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</w:tr>
      <w:tr>
        <w:tblPrEx/>
        <w:trPr>
          <w:trHeight w:val="214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none" w:color="000000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</w:r>
            <w:r>
              <w:rPr>
                <w:b/>
                <w:bCs/>
                <w:sz w:val="24"/>
                <w:szCs w:val="24"/>
                <w:lang w:eastAsia="en-US"/>
              </w:rPr>
            </w:r>
            <w:r>
              <w:rPr>
                <w:b/>
                <w:bCs/>
                <w:sz w:val="24"/>
                <w:szCs w:val="24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</w:r>
            <w:r>
              <w:rPr>
                <w:b/>
                <w:sz w:val="18"/>
                <w:szCs w:val="18"/>
                <w:lang w:eastAsia="en-US"/>
              </w:rPr>
            </w:r>
            <w:r>
              <w:rPr>
                <w:b/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ОБ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8"/>
                <w:lang w:eastAsia="en-US"/>
              </w:rPr>
            </w:pPr>
            <w:r>
              <w:rPr>
                <w:b/>
                <w:bCs/>
                <w:sz w:val="16"/>
                <w:szCs w:val="18"/>
                <w:lang w:eastAsia="en-US"/>
              </w:rPr>
              <w:t xml:space="preserve">    82 252 600,00   </w:t>
            </w:r>
            <w:r>
              <w:rPr>
                <w:b/>
                <w:bCs/>
                <w:sz w:val="16"/>
                <w:szCs w:val="18"/>
                <w:lang w:eastAsia="en-US"/>
              </w:rPr>
            </w:r>
            <w:r>
              <w:rPr>
                <w:b/>
                <w:bCs/>
                <w:sz w:val="16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8"/>
                <w:lang w:eastAsia="en-US"/>
              </w:rPr>
            </w:pPr>
            <w:r>
              <w:rPr>
                <w:b/>
                <w:bCs/>
                <w:sz w:val="16"/>
                <w:szCs w:val="18"/>
                <w:lang w:eastAsia="en-US"/>
              </w:rPr>
              <w:t xml:space="preserve">    27 076 800,00   </w:t>
            </w:r>
            <w:r>
              <w:rPr>
                <w:b/>
                <w:bCs/>
                <w:sz w:val="16"/>
                <w:szCs w:val="18"/>
                <w:lang w:eastAsia="en-US"/>
              </w:rPr>
            </w:r>
            <w:r>
              <w:rPr>
                <w:b/>
                <w:bCs/>
                <w:sz w:val="16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8"/>
                <w:lang w:eastAsia="en-US"/>
              </w:rPr>
            </w:pPr>
            <w:r>
              <w:rPr>
                <w:b/>
                <w:bCs/>
                <w:sz w:val="16"/>
                <w:szCs w:val="18"/>
                <w:lang w:eastAsia="en-US"/>
              </w:rPr>
              <w:t xml:space="preserve">    27 587 900,00   </w:t>
            </w:r>
            <w:r>
              <w:rPr>
                <w:b/>
                <w:bCs/>
                <w:sz w:val="16"/>
                <w:szCs w:val="18"/>
                <w:lang w:eastAsia="en-US"/>
              </w:rPr>
            </w:r>
            <w:r>
              <w:rPr>
                <w:b/>
                <w:bCs/>
                <w:sz w:val="16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8"/>
                <w:lang w:eastAsia="en-US"/>
              </w:rPr>
            </w:pPr>
            <w:r>
              <w:rPr>
                <w:b/>
                <w:bCs/>
                <w:sz w:val="16"/>
                <w:szCs w:val="18"/>
                <w:lang w:eastAsia="en-US"/>
              </w:rPr>
              <w:t xml:space="preserve">    27 587 900,00   </w:t>
            </w:r>
            <w:r>
              <w:rPr>
                <w:b/>
                <w:bCs/>
                <w:sz w:val="16"/>
                <w:szCs w:val="18"/>
                <w:lang w:eastAsia="en-US"/>
              </w:rPr>
            </w:r>
            <w:r>
              <w:rPr>
                <w:b/>
                <w:bCs/>
                <w:sz w:val="16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auto" w:sz="4" w:space="0"/>
            </w:tcBorders>
            <w:tcW w:w="3985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</w:tr>
      <w:tr>
        <w:tblPrEx/>
        <w:trPr>
          <w:trHeight w:val="147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none" w:color="000000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</w:r>
            <w:r>
              <w:rPr>
                <w:b/>
                <w:bCs/>
                <w:sz w:val="24"/>
                <w:szCs w:val="24"/>
                <w:lang w:eastAsia="en-US"/>
              </w:rPr>
            </w:r>
            <w:r>
              <w:rPr>
                <w:b/>
                <w:bCs/>
                <w:sz w:val="24"/>
                <w:szCs w:val="24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</w:r>
            <w:r>
              <w:rPr>
                <w:b/>
                <w:sz w:val="18"/>
                <w:szCs w:val="18"/>
                <w:lang w:eastAsia="en-US"/>
              </w:rPr>
            </w:r>
            <w:r>
              <w:rPr>
                <w:b/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ФБ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8"/>
                <w:lang w:eastAsia="en-US"/>
              </w:rPr>
            </w:pPr>
            <w:r>
              <w:rPr>
                <w:b/>
                <w:bCs/>
                <w:sz w:val="16"/>
                <w:szCs w:val="18"/>
                <w:lang w:eastAsia="en-US"/>
              </w:rPr>
              <w:t xml:space="preserve">           40 909,00   </w:t>
            </w:r>
            <w:r>
              <w:rPr>
                <w:b/>
                <w:bCs/>
                <w:sz w:val="16"/>
                <w:szCs w:val="18"/>
                <w:lang w:eastAsia="en-US"/>
              </w:rPr>
            </w:r>
            <w:r>
              <w:rPr>
                <w:b/>
                <w:bCs/>
                <w:sz w:val="16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8"/>
                <w:lang w:eastAsia="en-US"/>
              </w:rPr>
            </w:pPr>
            <w:r>
              <w:rPr>
                <w:b/>
                <w:bCs/>
                <w:sz w:val="16"/>
                <w:szCs w:val="18"/>
                <w:lang w:eastAsia="en-US"/>
              </w:rPr>
              <w:t xml:space="preserve">           14 869,00   </w:t>
            </w:r>
            <w:r>
              <w:rPr>
                <w:b/>
                <w:bCs/>
                <w:sz w:val="16"/>
                <w:szCs w:val="18"/>
                <w:lang w:eastAsia="en-US"/>
              </w:rPr>
            </w:r>
            <w:r>
              <w:rPr>
                <w:b/>
                <w:bCs/>
                <w:sz w:val="16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8"/>
                <w:lang w:eastAsia="en-US"/>
              </w:rPr>
            </w:pPr>
            <w:r>
              <w:rPr>
                <w:b/>
                <w:bCs/>
                <w:sz w:val="16"/>
                <w:szCs w:val="18"/>
                <w:lang w:eastAsia="en-US"/>
              </w:rPr>
              <w:t xml:space="preserve">           12 483,00   </w:t>
            </w:r>
            <w:r>
              <w:rPr>
                <w:b/>
                <w:bCs/>
                <w:sz w:val="16"/>
                <w:szCs w:val="18"/>
                <w:lang w:eastAsia="en-US"/>
              </w:rPr>
            </w:r>
            <w:r>
              <w:rPr>
                <w:b/>
                <w:bCs/>
                <w:sz w:val="16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8"/>
                <w:lang w:eastAsia="en-US"/>
              </w:rPr>
            </w:pPr>
            <w:r>
              <w:rPr>
                <w:b/>
                <w:bCs/>
                <w:sz w:val="16"/>
                <w:szCs w:val="18"/>
                <w:lang w:eastAsia="en-US"/>
              </w:rPr>
              <w:t xml:space="preserve">           13 557,00   </w:t>
            </w:r>
            <w:r>
              <w:rPr>
                <w:b/>
                <w:bCs/>
                <w:sz w:val="16"/>
                <w:szCs w:val="18"/>
                <w:lang w:eastAsia="en-US"/>
              </w:rPr>
            </w:r>
            <w:r>
              <w:rPr>
                <w:b/>
                <w:bCs/>
                <w:sz w:val="16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auto" w:sz="4" w:space="0"/>
            </w:tcBorders>
            <w:tcW w:w="3985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</w:tr>
      <w:tr>
        <w:tblPrEx/>
        <w:trPr>
          <w:trHeight w:val="3357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none" w:color="000000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</w:r>
            <w:r>
              <w:rPr>
                <w:b/>
                <w:bCs/>
                <w:sz w:val="24"/>
                <w:szCs w:val="24"/>
                <w:lang w:eastAsia="en-US"/>
              </w:rPr>
            </w:r>
            <w:r>
              <w:rPr>
                <w:b/>
                <w:bCs/>
                <w:sz w:val="24"/>
                <w:szCs w:val="24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</w:r>
            <w:r>
              <w:rPr>
                <w:b/>
                <w:sz w:val="18"/>
                <w:szCs w:val="18"/>
                <w:lang w:eastAsia="en-US"/>
              </w:rPr>
            </w:r>
            <w:r>
              <w:rPr>
                <w:b/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textDirection w:val="lrTb"/>
            <w:noWrap w:val="false"/>
          </w:tcPr>
          <w:p>
            <w:pPr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ВБС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8"/>
                <w:lang w:eastAsia="en-US"/>
              </w:rPr>
            </w:pPr>
            <w:r>
              <w:rPr>
                <w:b/>
                <w:bCs/>
                <w:sz w:val="16"/>
                <w:szCs w:val="18"/>
                <w:lang w:eastAsia="en-US"/>
              </w:rPr>
              <w:t xml:space="preserve">      3 094 700,00   </w:t>
            </w:r>
            <w:r>
              <w:rPr>
                <w:b/>
                <w:bCs/>
                <w:sz w:val="16"/>
                <w:szCs w:val="18"/>
                <w:lang w:eastAsia="en-US"/>
              </w:rPr>
            </w:r>
            <w:r>
              <w:rPr>
                <w:b/>
                <w:bCs/>
                <w:sz w:val="16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8"/>
                <w:lang w:eastAsia="en-US"/>
              </w:rPr>
            </w:pPr>
            <w:r>
              <w:rPr>
                <w:b/>
                <w:bCs/>
                <w:sz w:val="16"/>
                <w:szCs w:val="18"/>
                <w:lang w:eastAsia="en-US"/>
              </w:rPr>
              <w:t xml:space="preserve">      1 044 500,00   </w:t>
            </w:r>
            <w:r>
              <w:rPr>
                <w:b/>
                <w:bCs/>
                <w:sz w:val="16"/>
                <w:szCs w:val="18"/>
                <w:lang w:eastAsia="en-US"/>
              </w:rPr>
            </w:r>
            <w:r>
              <w:rPr>
                <w:b/>
                <w:bCs/>
                <w:sz w:val="16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8"/>
                <w:lang w:eastAsia="en-US"/>
              </w:rPr>
            </w:pPr>
            <w:r>
              <w:rPr>
                <w:b/>
                <w:bCs/>
                <w:sz w:val="16"/>
                <w:szCs w:val="18"/>
                <w:lang w:eastAsia="en-US"/>
              </w:rPr>
              <w:t xml:space="preserve">      1 025 100,00   </w:t>
            </w:r>
            <w:r>
              <w:rPr>
                <w:b/>
                <w:bCs/>
                <w:sz w:val="16"/>
                <w:szCs w:val="18"/>
                <w:lang w:eastAsia="en-US"/>
              </w:rPr>
            </w:r>
            <w:r>
              <w:rPr>
                <w:b/>
                <w:bCs/>
                <w:sz w:val="16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8"/>
                <w:lang w:eastAsia="en-US"/>
              </w:rPr>
            </w:pPr>
            <w:r>
              <w:rPr>
                <w:b/>
                <w:bCs/>
                <w:sz w:val="16"/>
                <w:szCs w:val="18"/>
                <w:lang w:eastAsia="en-US"/>
              </w:rPr>
              <w:t xml:space="preserve">      1 025 100,00   </w:t>
            </w:r>
            <w:r>
              <w:rPr>
                <w:b/>
                <w:bCs/>
                <w:sz w:val="16"/>
                <w:szCs w:val="18"/>
                <w:lang w:eastAsia="en-US"/>
              </w:rPr>
            </w:r>
            <w:r>
              <w:rPr>
                <w:b/>
                <w:bCs/>
                <w:sz w:val="16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auto" w:sz="4" w:space="0"/>
            </w:tcBorders>
            <w:tcW w:w="3985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</w:tr>
      <w:tr>
        <w:tblPrEx/>
        <w:trPr>
          <w:trHeight w:val="7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</w:p>
          <w:p>
            <w:pPr>
              <w:jc w:val="center"/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1</w:t>
            </w: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13" w:type="dxa"/>
            <w:vMerge w:val="restart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u w:val="single"/>
                <w:lang w:eastAsia="en-US"/>
              </w:rPr>
            </w:pPr>
            <w:r>
              <w:rPr>
                <w:sz w:val="18"/>
                <w:szCs w:val="18"/>
                <w:u w:val="single"/>
                <w:lang w:eastAsia="en-US"/>
              </w:rPr>
            </w:r>
            <w:r>
              <w:rPr>
                <w:sz w:val="18"/>
                <w:szCs w:val="18"/>
                <w:u w:val="single"/>
                <w:lang w:eastAsia="en-US"/>
              </w:rPr>
            </w:r>
            <w:r>
              <w:rPr>
                <w:sz w:val="18"/>
                <w:szCs w:val="18"/>
                <w:u w:val="single"/>
                <w:lang w:eastAsia="en-US"/>
              </w:rPr>
            </w:r>
          </w:p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u w:val="single"/>
                <w:lang w:eastAsia="en-US"/>
              </w:rPr>
              <w:t xml:space="preserve">Комплекс процессных мероприятий 1 </w:t>
            </w:r>
            <w:r>
              <w:rPr>
                <w:sz w:val="18"/>
                <w:szCs w:val="18"/>
                <w:lang w:eastAsia="en-US"/>
              </w:rPr>
              <w:t xml:space="preserve">«Создание условий для роста благосостояния граждан – получателей мер социальной поддержки»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24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  <w:p>
            <w:pPr>
              <w:jc w:val="center"/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2026 - 2028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Всего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8"/>
                <w:lang w:eastAsia="en-US"/>
              </w:rPr>
            </w:pPr>
            <w:r>
              <w:rPr>
                <w:b/>
                <w:bCs/>
                <w:sz w:val="16"/>
                <w:szCs w:val="18"/>
                <w:lang w:eastAsia="en-US"/>
              </w:rPr>
              <w:t xml:space="preserve">  101 729 599,00   </w:t>
            </w:r>
            <w:r>
              <w:rPr>
                <w:b/>
                <w:bCs/>
                <w:sz w:val="16"/>
                <w:szCs w:val="18"/>
                <w:lang w:eastAsia="en-US"/>
              </w:rPr>
            </w:r>
            <w:r>
              <w:rPr>
                <w:b/>
                <w:bCs/>
                <w:sz w:val="16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8"/>
                <w:lang w:eastAsia="en-US"/>
              </w:rPr>
            </w:pPr>
            <w:r>
              <w:rPr>
                <w:b/>
                <w:bCs/>
                <w:sz w:val="16"/>
                <w:szCs w:val="18"/>
                <w:lang w:eastAsia="en-US"/>
              </w:rPr>
              <w:t xml:space="preserve">    35 335 373,00   </w:t>
            </w:r>
            <w:r>
              <w:rPr>
                <w:b/>
                <w:bCs/>
                <w:sz w:val="16"/>
                <w:szCs w:val="18"/>
                <w:lang w:eastAsia="en-US"/>
              </w:rPr>
            </w:r>
            <w:r>
              <w:rPr>
                <w:b/>
                <w:bCs/>
                <w:sz w:val="16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8"/>
                <w:lang w:eastAsia="en-US"/>
              </w:rPr>
            </w:pPr>
            <w:r>
              <w:rPr>
                <w:b/>
                <w:bCs/>
                <w:sz w:val="16"/>
                <w:szCs w:val="18"/>
                <w:lang w:eastAsia="en-US"/>
              </w:rPr>
              <w:t xml:space="preserve">    33 197 113,00   </w:t>
            </w:r>
            <w:r>
              <w:rPr>
                <w:b/>
                <w:bCs/>
                <w:sz w:val="16"/>
                <w:szCs w:val="18"/>
                <w:lang w:eastAsia="en-US"/>
              </w:rPr>
            </w:r>
            <w:r>
              <w:rPr>
                <w:b/>
                <w:bCs/>
                <w:sz w:val="16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8"/>
                <w:lang w:eastAsia="en-US"/>
              </w:rPr>
            </w:pPr>
            <w:r>
              <w:rPr>
                <w:b/>
                <w:bCs/>
                <w:sz w:val="16"/>
                <w:szCs w:val="18"/>
                <w:lang w:eastAsia="en-US"/>
              </w:rPr>
              <w:t xml:space="preserve">    33 197 113,00   </w:t>
            </w:r>
            <w:r>
              <w:rPr>
                <w:b/>
                <w:bCs/>
                <w:sz w:val="16"/>
                <w:szCs w:val="18"/>
                <w:lang w:eastAsia="en-US"/>
              </w:rPr>
            </w:r>
            <w:r>
              <w:rPr>
                <w:b/>
                <w:bCs/>
                <w:sz w:val="16"/>
                <w:szCs w:val="18"/>
                <w:lang w:eastAsia="en-US"/>
              </w:rPr>
            </w:r>
          </w:p>
        </w:tc>
        <w:tc>
          <w:tcPr>
            <w:shd w:val="clear" w:color="auto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restart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  <w:t xml:space="preserve">0.1. Доля граждан, получивших</w:t>
            </w:r>
            <w:r>
              <w:rPr>
                <w:color w:val="auto"/>
                <w:sz w:val="16"/>
                <w:szCs w:val="16"/>
                <w:lang w:eastAsia="en-US"/>
              </w:rPr>
              <w:t xml:space="preserve"> социальную поддержку, от общего числа граждан, которым назначена социальная поддержка</w:t>
            </w:r>
            <w:r>
              <w:rPr>
                <w:color w:val="auto"/>
                <w:sz w:val="16"/>
                <w:szCs w:val="16"/>
                <w:lang w:eastAsia="en-US"/>
              </w:rPr>
              <w:br/>
              <w:t xml:space="preserve">0.2. Доля муниципальных служащих </w:t>
            </w:r>
            <w:r>
              <w:rPr>
                <w:color w:val="auto"/>
                <w:sz w:val="16"/>
                <w:szCs w:val="16"/>
                <w:lang w:eastAsia="en-US"/>
              </w:rPr>
              <w:t xml:space="preserve">своевременно получающих пенсию за выслугу лет от общей численности муниципальных служащих, которым назначена пенсия за выслугу лет</w:t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  <w:t xml:space="preserve">0.3. </w:t>
            </w:r>
            <w:r>
              <w:rPr>
                <w:color w:val="auto"/>
                <w:sz w:val="16"/>
                <w:szCs w:val="16"/>
                <w:lang w:eastAsia="en-US"/>
              </w:rPr>
              <w:t xml:space="preserve">Доля почетных граждан г. Заполярный, граждан, награжденных почетным знаком «За заслуги перед </w:t>
            </w:r>
            <w:r>
              <w:rPr>
                <w:color w:val="auto"/>
                <w:sz w:val="16"/>
                <w:szCs w:val="16"/>
                <w:lang w:eastAsia="en-US"/>
              </w:rPr>
              <w:t xml:space="preserve">Печенгским</w:t>
            </w:r>
            <w:r>
              <w:rPr>
                <w:color w:val="auto"/>
                <w:sz w:val="16"/>
                <w:szCs w:val="16"/>
                <w:lang w:eastAsia="en-US"/>
              </w:rPr>
              <w:t xml:space="preserve"> округом», граждан, которым присвоено почетное звание «Почетный гражданин «Печенгского муниципального округа», своевременно получивших социальную поддерж</w:t>
            </w:r>
            <w:r>
              <w:rPr>
                <w:color w:val="auto"/>
                <w:sz w:val="16"/>
                <w:szCs w:val="16"/>
                <w:lang w:eastAsia="en-US"/>
              </w:rPr>
              <w:t xml:space="preserve">ку от общего числа граждан, которым присвоены такие звания          </w:t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  <w:t xml:space="preserve">0.4. Выполнение обязательств, связанных с захоронением погибших в ходе специальной военной операции </w:t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shd w:val="clear" w:color="auto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Управляющий делами администрации; 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center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сектор </w:t>
            </w:r>
            <w:r>
              <w:rPr>
                <w:sz w:val="16"/>
                <w:szCs w:val="16"/>
                <w:lang w:eastAsia="en-US"/>
              </w:rPr>
              <w:t xml:space="preserve">муниципальной службы и кадров; специалист по</w:t>
            </w:r>
            <w:r>
              <w:rPr>
                <w:sz w:val="16"/>
                <w:szCs w:val="16"/>
                <w:lang w:eastAsia="en-US"/>
              </w:rPr>
              <w:t xml:space="preserve"> работе с населением; 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center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ОРН;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center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отдел образования;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center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отдел </w:t>
            </w:r>
            <w:r>
              <w:rPr>
                <w:sz w:val="16"/>
                <w:szCs w:val="16"/>
                <w:lang w:eastAsia="en-US"/>
              </w:rPr>
              <w:t xml:space="preserve">КСиМП</w:t>
            </w:r>
            <w:r>
              <w:rPr>
                <w:sz w:val="16"/>
                <w:szCs w:val="16"/>
                <w:lang w:eastAsia="en-US"/>
              </w:rPr>
              <w:t xml:space="preserve">; МКУ «Управление </w:t>
            </w:r>
            <w:r>
              <w:rPr>
                <w:sz w:val="16"/>
                <w:szCs w:val="16"/>
                <w:lang w:eastAsia="en-US"/>
              </w:rPr>
              <w:t xml:space="preserve">по</w:t>
            </w:r>
            <w:r>
              <w:rPr>
                <w:sz w:val="16"/>
                <w:szCs w:val="16"/>
                <w:lang w:eastAsia="en-US"/>
              </w:rPr>
              <w:t xml:space="preserve"> ОДА»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center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center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center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</w:tr>
      <w:tr>
        <w:tblPrEx/>
        <w:trPr>
          <w:trHeight w:val="117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МБ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8"/>
                <w:lang w:eastAsia="en-US"/>
              </w:rPr>
            </w:pPr>
            <w:r>
              <w:rPr>
                <w:sz w:val="16"/>
                <w:szCs w:val="18"/>
                <w:lang w:eastAsia="en-US"/>
              </w:rPr>
              <w:t xml:space="preserve">    22 506 999,00   </w:t>
            </w:r>
            <w:r>
              <w:rPr>
                <w:sz w:val="16"/>
                <w:szCs w:val="18"/>
                <w:lang w:eastAsia="en-US"/>
              </w:rPr>
            </w:r>
            <w:r>
              <w:rPr>
                <w:sz w:val="16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8"/>
                <w:lang w:eastAsia="en-US"/>
              </w:rPr>
            </w:pPr>
            <w:r>
              <w:rPr>
                <w:sz w:val="16"/>
                <w:szCs w:val="18"/>
                <w:lang w:eastAsia="en-US"/>
              </w:rPr>
              <w:t xml:space="preserve">      9 268 573,00   </w:t>
            </w:r>
            <w:r>
              <w:rPr>
                <w:sz w:val="16"/>
                <w:szCs w:val="18"/>
                <w:lang w:eastAsia="en-US"/>
              </w:rPr>
            </w:r>
            <w:r>
              <w:rPr>
                <w:sz w:val="16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8"/>
                <w:lang w:eastAsia="en-US"/>
              </w:rPr>
            </w:pPr>
            <w:r>
              <w:rPr>
                <w:sz w:val="16"/>
                <w:szCs w:val="18"/>
                <w:lang w:eastAsia="en-US"/>
              </w:rPr>
              <w:t xml:space="preserve">      6 619 213,00   </w:t>
            </w:r>
            <w:r>
              <w:rPr>
                <w:sz w:val="16"/>
                <w:szCs w:val="18"/>
                <w:lang w:eastAsia="en-US"/>
              </w:rPr>
            </w:r>
            <w:r>
              <w:rPr>
                <w:sz w:val="16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8"/>
                <w:lang w:eastAsia="en-US"/>
              </w:rPr>
            </w:pPr>
            <w:r>
              <w:rPr>
                <w:sz w:val="16"/>
                <w:szCs w:val="18"/>
                <w:lang w:eastAsia="en-US"/>
              </w:rPr>
              <w:t xml:space="preserve">      6 619 213,00   </w:t>
            </w:r>
            <w:r>
              <w:rPr>
                <w:sz w:val="16"/>
                <w:szCs w:val="18"/>
                <w:lang w:eastAsia="en-US"/>
              </w:rPr>
            </w:r>
            <w:r>
              <w:rPr>
                <w:sz w:val="16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auto" w:sz="4" w:space="0"/>
            </w:tcBorders>
            <w:tcW w:w="3985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</w:tr>
      <w:tr>
        <w:tblPrEx/>
        <w:trPr>
          <w:trHeight w:val="163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ОБ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8"/>
                <w:lang w:eastAsia="en-US"/>
              </w:rPr>
            </w:pPr>
            <w:r>
              <w:rPr>
                <w:sz w:val="16"/>
                <w:szCs w:val="18"/>
                <w:lang w:eastAsia="en-US"/>
              </w:rPr>
              <w:t xml:space="preserve">    79 222 600,00   </w:t>
            </w:r>
            <w:r>
              <w:rPr>
                <w:sz w:val="16"/>
                <w:szCs w:val="18"/>
                <w:lang w:eastAsia="en-US"/>
              </w:rPr>
            </w:r>
            <w:r>
              <w:rPr>
                <w:sz w:val="16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8"/>
                <w:lang w:eastAsia="en-US"/>
              </w:rPr>
            </w:pPr>
            <w:r>
              <w:rPr>
                <w:sz w:val="16"/>
                <w:szCs w:val="18"/>
                <w:lang w:eastAsia="en-US"/>
              </w:rPr>
              <w:t xml:space="preserve">    26 066 800,00   </w:t>
            </w:r>
            <w:r>
              <w:rPr>
                <w:sz w:val="16"/>
                <w:szCs w:val="18"/>
                <w:lang w:eastAsia="en-US"/>
              </w:rPr>
            </w:r>
            <w:r>
              <w:rPr>
                <w:sz w:val="16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8"/>
                <w:lang w:eastAsia="en-US"/>
              </w:rPr>
            </w:pPr>
            <w:r>
              <w:rPr>
                <w:sz w:val="16"/>
                <w:szCs w:val="18"/>
                <w:lang w:eastAsia="en-US"/>
              </w:rPr>
              <w:t xml:space="preserve">    26 577 900,00   </w:t>
            </w:r>
            <w:r>
              <w:rPr>
                <w:sz w:val="16"/>
                <w:szCs w:val="18"/>
                <w:lang w:eastAsia="en-US"/>
              </w:rPr>
            </w:r>
            <w:r>
              <w:rPr>
                <w:sz w:val="16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8"/>
                <w:lang w:eastAsia="en-US"/>
              </w:rPr>
            </w:pPr>
            <w:r>
              <w:rPr>
                <w:sz w:val="16"/>
                <w:szCs w:val="18"/>
                <w:lang w:eastAsia="en-US"/>
              </w:rPr>
              <w:t xml:space="preserve">    26 577 900,00   </w:t>
            </w:r>
            <w:r>
              <w:rPr>
                <w:sz w:val="16"/>
                <w:szCs w:val="18"/>
                <w:lang w:eastAsia="en-US"/>
              </w:rPr>
            </w:r>
            <w:r>
              <w:rPr>
                <w:sz w:val="16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auto" w:sz="4" w:space="0"/>
            </w:tcBorders>
            <w:tcW w:w="3985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</w:tr>
      <w:tr>
        <w:tblPrEx/>
        <w:trPr>
          <w:trHeight w:val="139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ФБ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auto" w:sz="4" w:space="0"/>
            </w:tcBorders>
            <w:tcW w:w="3985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</w:tr>
      <w:tr>
        <w:tblPrEx/>
        <w:trPr>
          <w:trHeight w:val="259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ВБС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auto" w:sz="4" w:space="0"/>
            </w:tcBorders>
            <w:tcW w:w="3985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</w:tr>
      <w:tr>
        <w:tblPrEx/>
        <w:trPr>
          <w:trHeight w:val="274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none" w:color="000000" w:sz="4" w:space="0"/>
            </w:tcBorders>
            <w:tcW w:w="581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1.1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13" w:type="dxa"/>
            <w:vMerge w:val="restart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Мероприятие «Выплата пенсий за выслугу лет муниципальным служащим и лицам, замещавшим муниципальные должности в органах местного самоуправления»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24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2026 - 2028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Всего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20 647 600,00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7 600 000,00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       6 523 800,00   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      6 523 800,00   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shd w:val="clear" w:color="auto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Merge w:val="restart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Ведение реестра муниципальных должностей. Расчет, назначение и выплата пенсии за выслугу лет муниципальным служащим и лицам, замещавшим муниципальные должности в органах местного самоу</w:t>
            </w:r>
            <w:r>
              <w:rPr>
                <w:sz w:val="16"/>
                <w:szCs w:val="16"/>
                <w:lang w:eastAsia="en-US"/>
              </w:rPr>
              <w:t xml:space="preserve">правления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color w:val="auto"/>
                <w:sz w:val="18"/>
                <w:szCs w:val="18"/>
                <w:lang w:eastAsia="en-US"/>
              </w:rPr>
              <w:t xml:space="preserve">сектор муниципальной службы и кадров</w:t>
            </w: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</w:p>
        </w:tc>
      </w:tr>
      <w:tr>
        <w:tblPrEx/>
        <w:trPr>
          <w:trHeight w:val="15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none" w:color="000000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МБ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20 647 600,00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shd w:val="clear" w:color="auto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7 600 000,00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shd w:val="clear" w:color="auto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6 523 800,00   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shd w:val="clear" w:color="auto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6 523 800,00   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985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</w:p>
        </w:tc>
      </w:tr>
      <w:tr>
        <w:tblPrEx/>
        <w:trPr>
          <w:trHeight w:val="97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none" w:color="000000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ОБ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985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</w:p>
        </w:tc>
      </w:tr>
      <w:tr>
        <w:tblPrEx/>
        <w:trPr>
          <w:trHeight w:val="184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none" w:color="000000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ФБ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985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</w:p>
        </w:tc>
      </w:tr>
      <w:tr>
        <w:tblPrEx/>
        <w:trPr>
          <w:trHeight w:val="918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none" w:color="000000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spacing w:line="240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ВБС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985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</w:p>
        </w:tc>
      </w:tr>
      <w:tr>
        <w:tblPrEx/>
        <w:trPr>
          <w:trHeight w:val="287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1.2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13" w:type="dxa"/>
            <w:vMerge w:val="restart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Мероприятие «Организация и предоставление мер социальной поддержки по оплате жилого помещения и коммунальных услуг отдельным категориям граждан, работающих в сельских населенных пунктах или поселках городского типа»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24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2026 - 2028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Всего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      72 546 900,00   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     23 870 300,00   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     24 338 300,00   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    24 338 300,00   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shd w:val="clear" w:color="auto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Merge w:val="restart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Расчет, назначение и выплата компенсации расходов по оплате жилого помещения и коммунальных услуг отдельным категориям граждан, работающих в сельских населенных пунктах или поселках городско</w:t>
            </w:r>
            <w:r>
              <w:rPr>
                <w:sz w:val="16"/>
                <w:szCs w:val="16"/>
                <w:lang w:eastAsia="en-US"/>
              </w:rPr>
              <w:t xml:space="preserve">го типа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color w:val="auto"/>
                <w:sz w:val="18"/>
                <w:szCs w:val="18"/>
                <w:lang w:eastAsia="en-US"/>
              </w:rPr>
              <w:t xml:space="preserve">отдел образования, отдел </w:t>
            </w:r>
            <w:r>
              <w:rPr>
                <w:color w:val="auto"/>
                <w:sz w:val="18"/>
                <w:szCs w:val="18"/>
                <w:lang w:eastAsia="en-US"/>
              </w:rPr>
              <w:t xml:space="preserve">КСиМП</w:t>
            </w: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</w:p>
        </w:tc>
      </w:tr>
      <w:tr>
        <w:tblPrEx/>
        <w:trPr>
          <w:trHeight w:val="13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МБ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985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</w:p>
        </w:tc>
      </w:tr>
      <w:tr>
        <w:tblPrEx/>
        <w:trPr>
          <w:trHeight w:val="223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ОБ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72 546 900,00   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shd w:val="clear" w:color="auto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23 870 300,00   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24 338 300,00   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24 338 300,00   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985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</w:p>
        </w:tc>
      </w:tr>
      <w:tr>
        <w:tblPrEx/>
        <w:trPr>
          <w:trHeight w:val="14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ФБ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985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</w:p>
        </w:tc>
      </w:tr>
      <w:tr>
        <w:tblPrEx/>
        <w:trPr>
          <w:trHeight w:val="57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ВБС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985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</w:p>
        </w:tc>
      </w:tr>
      <w:tr>
        <w:tblPrEx/>
        <w:trPr>
          <w:trHeight w:val="303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1.3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13" w:type="dxa"/>
            <w:vMerge w:val="restart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color w:val="auto"/>
                <w:sz w:val="18"/>
                <w:szCs w:val="18"/>
                <w:lang w:eastAsia="en-US"/>
              </w:rPr>
              <w:t xml:space="preserve">Мероприятие «Выплата денежного вознаграждения гражданам, </w:t>
            </w:r>
            <w:r>
              <w:rPr>
                <w:color w:val="auto"/>
                <w:sz w:val="18"/>
                <w:szCs w:val="18"/>
                <w:lang w:eastAsia="en-US"/>
              </w:rPr>
              <w:t xml:space="preserve">удостоенных</w:t>
            </w:r>
            <w:r>
              <w:rPr>
                <w:color w:val="auto"/>
                <w:sz w:val="18"/>
                <w:szCs w:val="18"/>
                <w:lang w:eastAsia="en-US"/>
              </w:rPr>
              <w:t xml:space="preserve"> звания «Почетный гражданин города Заполярный», «Почетный гражданин Печенгского муниципального </w:t>
            </w:r>
            <w:r>
              <w:rPr>
                <w:color w:val="auto"/>
                <w:sz w:val="18"/>
                <w:szCs w:val="18"/>
                <w:lang w:eastAsia="en-US"/>
              </w:rPr>
              <w:t xml:space="preserve">округа», награждаемых  почетным знаком «За заслуги перед </w:t>
            </w:r>
            <w:r>
              <w:rPr>
                <w:color w:val="auto"/>
                <w:sz w:val="18"/>
                <w:szCs w:val="18"/>
                <w:lang w:eastAsia="en-US"/>
              </w:rPr>
              <w:t xml:space="preserve">Печенгским</w:t>
            </w:r>
            <w:r>
              <w:rPr>
                <w:color w:val="auto"/>
                <w:sz w:val="18"/>
                <w:szCs w:val="18"/>
                <w:lang w:eastAsia="en-US"/>
              </w:rPr>
              <w:t xml:space="preserve"> округом»</w:t>
            </w: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24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2026 - 2028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Всег</w:t>
            </w:r>
            <w:r>
              <w:rPr>
                <w:b/>
                <w:bCs/>
                <w:sz w:val="16"/>
                <w:szCs w:val="16"/>
                <w:lang w:eastAsia="en-US"/>
              </w:rPr>
              <w:t xml:space="preserve">о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           286 239,00   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            95 413,00   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            95 413,00   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           95 413,00   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shd w:val="clear" w:color="auto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Merge w:val="restart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Назначение и выплата вознаграждения гражданам, </w:t>
            </w:r>
            <w:r>
              <w:rPr>
                <w:sz w:val="16"/>
                <w:szCs w:val="16"/>
                <w:lang w:eastAsia="en-US"/>
              </w:rPr>
              <w:t xml:space="preserve">удостоенных</w:t>
            </w:r>
            <w:r>
              <w:rPr>
                <w:sz w:val="16"/>
                <w:szCs w:val="16"/>
                <w:lang w:eastAsia="en-US"/>
              </w:rPr>
              <w:t xml:space="preserve"> звания «Почетный гражданин города Заполярный», «Почетный гражданин Печенгского муниципального ок</w:t>
            </w:r>
            <w:r>
              <w:rPr>
                <w:sz w:val="16"/>
                <w:szCs w:val="16"/>
                <w:lang w:eastAsia="en-US"/>
              </w:rPr>
              <w:t xml:space="preserve">руга», награждаемых почетным знаком «За заслуги перед </w:t>
            </w:r>
            <w:r>
              <w:rPr>
                <w:sz w:val="16"/>
                <w:szCs w:val="16"/>
                <w:lang w:eastAsia="en-US"/>
              </w:rPr>
              <w:t xml:space="preserve">Печенгским</w:t>
            </w:r>
            <w:r>
              <w:rPr>
                <w:sz w:val="16"/>
                <w:szCs w:val="16"/>
                <w:lang w:eastAsia="en-US"/>
              </w:rPr>
              <w:t xml:space="preserve"> округом»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color w:val="auto"/>
                <w:sz w:val="18"/>
                <w:szCs w:val="18"/>
                <w:lang w:eastAsia="en-US"/>
              </w:rPr>
              <w:t xml:space="preserve">ОРН</w:t>
            </w: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</w:p>
        </w:tc>
      </w:tr>
      <w:tr>
        <w:tblPrEx/>
        <w:trPr>
          <w:trHeight w:val="229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МБ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   286 239,00   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    95 413,00   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    95 413,00   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   95 413,00   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985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</w:p>
        </w:tc>
      </w:tr>
      <w:tr>
        <w:tblPrEx/>
        <w:trPr>
          <w:trHeight w:val="133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ОБ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985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</w:p>
        </w:tc>
      </w:tr>
      <w:tr>
        <w:tblPrEx/>
        <w:trPr>
          <w:trHeight w:val="221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ФБ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985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</w:p>
        </w:tc>
      </w:tr>
      <w:tr>
        <w:tblPrEx/>
        <w:trPr>
          <w:trHeight w:val="84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ВБС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985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</w:p>
        </w:tc>
      </w:tr>
      <w:tr>
        <w:tblPrEx/>
        <w:trPr>
          <w:trHeight w:val="22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1.4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13" w:type="dxa"/>
            <w:vMerge w:val="restart"/>
            <w:textDirection w:val="lrTb"/>
            <w:noWrap w:val="false"/>
          </w:tcPr>
          <w:p>
            <w:pPr>
              <w:jc w:val="both"/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Мероприятие «Исполнение государственных полномочий по предоставлению и организации выплаты вознаграждения опекунам совершеннолетних недееспособных граждан»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24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2026 - 2028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Всего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        6 675 700,00   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       2 196 500,00   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       2 239 600,00   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      2 239 600,00   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shd w:val="clear" w:color="auto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Merge w:val="restart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Рассмотрение документов, назначение, заключение договора выплаты вознаграждения опекунам совершеннолетних недееспособных граждан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color w:val="auto"/>
                <w:sz w:val="18"/>
                <w:szCs w:val="18"/>
                <w:lang w:eastAsia="en-US"/>
              </w:rPr>
              <w:t xml:space="preserve">специалист по работе с населением</w:t>
            </w: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</w:p>
        </w:tc>
      </w:tr>
      <w:tr>
        <w:tblPrEx/>
        <w:trPr>
          <w:trHeight w:val="128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МБ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985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</w:p>
        </w:tc>
      </w:tr>
      <w:tr>
        <w:tblPrEx/>
        <w:trPr>
          <w:trHeight w:val="89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ОБ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6 675 700,00   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2 196 500,00   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2 239 600,00   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2 239 600,00   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985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</w:p>
        </w:tc>
      </w:tr>
      <w:tr>
        <w:tblPrEx/>
        <w:trPr>
          <w:trHeight w:val="177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ФБ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985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</w:p>
        </w:tc>
      </w:tr>
      <w:tr>
        <w:tblPrEx/>
        <w:trPr>
          <w:trHeight w:val="42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ВБС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985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1.5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13" w:type="dxa"/>
            <w:vMerge w:val="restart"/>
            <w:textDirection w:val="lrTb"/>
            <w:noWrap w:val="false"/>
          </w:tcPr>
          <w:p>
            <w:pPr>
              <w:jc w:val="both"/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Мероприятие «Проведение мероприятий, связанных с захоронением погибших в ходе специальной военной операции»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24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2026 - 2028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Всего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8"/>
                <w:lang w:eastAsia="en-US"/>
              </w:rPr>
            </w:pPr>
            <w:r>
              <w:rPr>
                <w:b/>
                <w:bCs/>
                <w:sz w:val="16"/>
                <w:szCs w:val="18"/>
                <w:lang w:eastAsia="en-US"/>
              </w:rPr>
              <w:t xml:space="preserve">      1 573 160,00   </w:t>
            </w:r>
            <w:r>
              <w:rPr>
                <w:b/>
                <w:bCs/>
                <w:sz w:val="16"/>
                <w:szCs w:val="18"/>
                <w:lang w:eastAsia="en-US"/>
              </w:rPr>
            </w:r>
            <w:r>
              <w:rPr>
                <w:b/>
                <w:bCs/>
                <w:sz w:val="16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8"/>
                <w:lang w:eastAsia="en-US"/>
              </w:rPr>
            </w:pPr>
            <w:r>
              <w:rPr>
                <w:b/>
                <w:bCs/>
                <w:sz w:val="16"/>
                <w:szCs w:val="18"/>
                <w:lang w:eastAsia="en-US"/>
              </w:rPr>
              <w:t xml:space="preserve">      1 573 160,00   </w:t>
            </w:r>
            <w:r>
              <w:rPr>
                <w:b/>
                <w:bCs/>
                <w:sz w:val="16"/>
                <w:szCs w:val="18"/>
                <w:lang w:eastAsia="en-US"/>
              </w:rPr>
            </w:r>
            <w:r>
              <w:rPr>
                <w:b/>
                <w:bCs/>
                <w:sz w:val="16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0,00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0,00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shd w:val="clear" w:color="auto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Merge w:val="restart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Выполнение обязательств, связанных с захоронением погибших в ходе специальной военной операции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color w:val="auto"/>
                <w:sz w:val="18"/>
                <w:szCs w:val="18"/>
                <w:lang w:eastAsia="en-US"/>
              </w:rPr>
              <w:t xml:space="preserve">Управляющий делами администрации, МКУ «Управление </w:t>
            </w:r>
            <w:r>
              <w:rPr>
                <w:color w:val="auto"/>
                <w:sz w:val="18"/>
                <w:szCs w:val="18"/>
                <w:lang w:eastAsia="en-US"/>
              </w:rPr>
              <w:t xml:space="preserve">по</w:t>
            </w:r>
            <w:r>
              <w:rPr>
                <w:color w:val="auto"/>
                <w:sz w:val="18"/>
                <w:szCs w:val="18"/>
                <w:lang w:eastAsia="en-US"/>
              </w:rPr>
              <w:t xml:space="preserve"> ОДА»</w:t>
            </w: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</w:p>
        </w:tc>
      </w:tr>
      <w:tr>
        <w:tblPrEx/>
        <w:trPr>
          <w:trHeight w:val="264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МБ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8"/>
                <w:lang w:eastAsia="en-US"/>
              </w:rPr>
            </w:pPr>
            <w:r>
              <w:rPr>
                <w:sz w:val="16"/>
                <w:szCs w:val="18"/>
                <w:lang w:eastAsia="en-US"/>
              </w:rPr>
              <w:t xml:space="preserve">      1 573 160,00   </w:t>
            </w:r>
            <w:r>
              <w:rPr>
                <w:sz w:val="16"/>
                <w:szCs w:val="18"/>
                <w:lang w:eastAsia="en-US"/>
              </w:rPr>
            </w:r>
            <w:r>
              <w:rPr>
                <w:sz w:val="16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8"/>
                <w:lang w:eastAsia="en-US"/>
              </w:rPr>
            </w:pPr>
            <w:r>
              <w:rPr>
                <w:sz w:val="16"/>
                <w:szCs w:val="18"/>
                <w:lang w:eastAsia="en-US"/>
              </w:rPr>
              <w:t xml:space="preserve">      1 573 160,00   </w:t>
            </w:r>
            <w:r>
              <w:rPr>
                <w:sz w:val="16"/>
                <w:szCs w:val="18"/>
                <w:lang w:eastAsia="en-US"/>
              </w:rPr>
            </w:r>
            <w:r>
              <w:rPr>
                <w:sz w:val="16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985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</w:p>
        </w:tc>
      </w:tr>
      <w:tr>
        <w:tblPrEx/>
        <w:trPr>
          <w:trHeight w:val="126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ОБ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985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</w:p>
        </w:tc>
      </w:tr>
      <w:tr>
        <w:tblPrEx/>
        <w:trPr>
          <w:trHeight w:val="214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ФБ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985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ВБС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985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</w:p>
        </w:tc>
      </w:tr>
      <w:tr>
        <w:tblPrEx/>
        <w:trPr>
          <w:trHeight w:val="138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</w:r>
            <w:r>
              <w:rPr>
                <w:b/>
                <w:bCs/>
                <w:sz w:val="18"/>
                <w:szCs w:val="18"/>
                <w:lang w:eastAsia="en-US"/>
              </w:rPr>
            </w:r>
            <w:r>
              <w:rPr>
                <w:b/>
                <w:bCs/>
                <w:sz w:val="18"/>
                <w:szCs w:val="18"/>
                <w:lang w:eastAsia="en-US"/>
              </w:rPr>
            </w:r>
          </w:p>
          <w:p>
            <w:pPr>
              <w:jc w:val="center"/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2</w:t>
            </w: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13" w:type="dxa"/>
            <w:vMerge w:val="restart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u w:val="single"/>
                <w:lang w:eastAsia="en-US"/>
              </w:rPr>
            </w:pPr>
            <w:r>
              <w:rPr>
                <w:sz w:val="18"/>
                <w:szCs w:val="18"/>
                <w:u w:val="single"/>
                <w:lang w:eastAsia="en-US"/>
              </w:rPr>
            </w:r>
            <w:r>
              <w:rPr>
                <w:sz w:val="18"/>
                <w:szCs w:val="18"/>
                <w:u w:val="single"/>
                <w:lang w:eastAsia="en-US"/>
              </w:rPr>
            </w:r>
            <w:r>
              <w:rPr>
                <w:sz w:val="18"/>
                <w:szCs w:val="18"/>
                <w:u w:val="single"/>
                <w:lang w:eastAsia="en-US"/>
              </w:rPr>
            </w:r>
          </w:p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u w:val="single"/>
                <w:lang w:eastAsia="en-US"/>
              </w:rPr>
              <w:t xml:space="preserve">Комплекс процессных мероприятий 2</w:t>
            </w:r>
            <w:r>
              <w:rPr>
                <w:sz w:val="18"/>
                <w:szCs w:val="18"/>
                <w:lang w:eastAsia="en-US"/>
              </w:rPr>
              <w:t xml:space="preserve"> «Создание условий для эффективной интеграции инвалидов в общество»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24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  <w:p>
            <w:pPr>
              <w:jc w:val="center"/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2026 - 2028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Всего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        1 470 581,00   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          491 207,00   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          490 187,00   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         489 187,00   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shd w:val="clear" w:color="auto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restart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0.5. Доля приоритетных объектов социальной инфраструктуры (далее - ОСИ)  Печенгского муниципального округа занесенных в электронный реестр ОСИ Мурманской области, а также размещенных на электронной карте досту</w:t>
            </w:r>
            <w:r>
              <w:rPr>
                <w:sz w:val="16"/>
                <w:szCs w:val="16"/>
                <w:lang w:eastAsia="en-US"/>
              </w:rPr>
              <w:t xml:space="preserve">пности интернет портала "Жить вместе" государственной программы Российской федерации "Доступная среда"                                                                            0.6. Доля исполненных обоснованных заявлений (обращений) по обеспечению доступ</w:t>
            </w:r>
            <w:r>
              <w:rPr>
                <w:sz w:val="16"/>
                <w:szCs w:val="16"/>
                <w:lang w:eastAsia="en-US"/>
              </w:rPr>
              <w:t xml:space="preserve">ности в МКД, в которых проживают инвалиды от общего числа поступивших заявлений (обращений)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color w:val="auto"/>
                <w:sz w:val="18"/>
                <w:szCs w:val="18"/>
                <w:lang w:eastAsia="en-US"/>
              </w:rPr>
              <w:t xml:space="preserve">ОРН</w:t>
            </w: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</w:p>
        </w:tc>
      </w:tr>
      <w:tr>
        <w:tblPrEx/>
        <w:trPr>
          <w:trHeight w:val="1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МБ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1 470 581,00   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  491 207,00   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  490 187,00   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 489 187,00   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auto" w:sz="4" w:space="0"/>
            </w:tcBorders>
            <w:tcW w:w="3985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</w:p>
        </w:tc>
      </w:tr>
      <w:tr>
        <w:tblPrEx/>
        <w:trPr>
          <w:trHeight w:val="203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ОБ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auto" w:sz="4" w:space="0"/>
            </w:tcBorders>
            <w:tcW w:w="3985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</w:p>
        </w:tc>
      </w:tr>
      <w:tr>
        <w:tblPrEx/>
        <w:trPr>
          <w:trHeight w:val="13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ФБ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auto" w:sz="4" w:space="0"/>
            </w:tcBorders>
            <w:tcW w:w="3985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</w:p>
        </w:tc>
      </w:tr>
      <w:tr>
        <w:tblPrEx/>
        <w:trPr>
          <w:trHeight w:val="117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ВБС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auto" w:sz="4" w:space="0"/>
            </w:tcBorders>
            <w:tcW w:w="3985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</w:p>
        </w:tc>
      </w:tr>
      <w:tr>
        <w:tblPrEx/>
        <w:trPr>
          <w:trHeight w:val="271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2.1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13" w:type="dxa"/>
            <w:vMerge w:val="restart"/>
            <w:textDirection w:val="lrTb"/>
            <w:noWrap w:val="false"/>
          </w:tcPr>
          <w:p>
            <w:pPr>
              <w:jc w:val="both"/>
              <w:spacing w:line="276" w:lineRule="auto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color w:val="auto"/>
                <w:sz w:val="18"/>
                <w:szCs w:val="18"/>
                <w:lang w:eastAsia="en-US"/>
              </w:rPr>
              <w:t xml:space="preserve">Мероприятие «Обеспечение доступности в многоквартирных домах»</w:t>
            </w: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24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color w:val="auto"/>
                <w:sz w:val="18"/>
                <w:szCs w:val="18"/>
                <w:lang w:eastAsia="en-US"/>
              </w:rPr>
              <w:t xml:space="preserve">2026 - 2028</w:t>
            </w: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b/>
                <w:bCs/>
                <w:color w:val="auto"/>
                <w:sz w:val="16"/>
                <w:szCs w:val="16"/>
                <w:lang w:eastAsia="en-US"/>
              </w:rPr>
            </w:pPr>
            <w:r>
              <w:rPr>
                <w:b/>
                <w:bCs/>
                <w:color w:val="auto"/>
                <w:sz w:val="16"/>
                <w:szCs w:val="16"/>
                <w:lang w:eastAsia="en-US"/>
              </w:rPr>
              <w:t xml:space="preserve">Всего</w:t>
            </w:r>
            <w:r>
              <w:rPr>
                <w:b/>
                <w:bCs/>
                <w:color w:val="auto"/>
                <w:sz w:val="16"/>
                <w:szCs w:val="16"/>
                <w:lang w:eastAsia="en-US"/>
              </w:rPr>
            </w:r>
            <w:r>
              <w:rPr>
                <w:b/>
                <w:bCs/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b/>
                <w:bCs/>
                <w:color w:val="auto"/>
                <w:sz w:val="16"/>
                <w:szCs w:val="16"/>
                <w:lang w:eastAsia="en-US"/>
              </w:rPr>
            </w:pPr>
            <w:r>
              <w:rPr>
                <w:b/>
                <w:bCs/>
                <w:color w:val="auto"/>
                <w:sz w:val="16"/>
                <w:szCs w:val="16"/>
                <w:lang w:eastAsia="en-US"/>
              </w:rPr>
              <w:t xml:space="preserve">        1 470 581,00   </w:t>
            </w:r>
            <w:r>
              <w:rPr>
                <w:b/>
                <w:bCs/>
                <w:color w:val="auto"/>
                <w:sz w:val="16"/>
                <w:szCs w:val="16"/>
                <w:lang w:eastAsia="en-US"/>
              </w:rPr>
            </w:r>
            <w:r>
              <w:rPr>
                <w:b/>
                <w:bCs/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b/>
                <w:bCs/>
                <w:color w:val="auto"/>
                <w:sz w:val="16"/>
                <w:szCs w:val="16"/>
                <w:lang w:eastAsia="en-US"/>
              </w:rPr>
            </w:pPr>
            <w:r>
              <w:rPr>
                <w:b/>
                <w:bCs/>
                <w:color w:val="auto"/>
                <w:sz w:val="16"/>
                <w:szCs w:val="16"/>
                <w:lang w:eastAsia="en-US"/>
              </w:rPr>
              <w:t xml:space="preserve">          491 207,00   </w:t>
            </w:r>
            <w:r>
              <w:rPr>
                <w:b/>
                <w:bCs/>
                <w:color w:val="auto"/>
                <w:sz w:val="16"/>
                <w:szCs w:val="16"/>
                <w:lang w:eastAsia="en-US"/>
              </w:rPr>
            </w:r>
            <w:r>
              <w:rPr>
                <w:b/>
                <w:bCs/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b/>
                <w:bCs/>
                <w:color w:val="auto"/>
                <w:sz w:val="16"/>
                <w:szCs w:val="16"/>
                <w:lang w:eastAsia="en-US"/>
              </w:rPr>
            </w:pPr>
            <w:r>
              <w:rPr>
                <w:b/>
                <w:bCs/>
                <w:color w:val="auto"/>
                <w:sz w:val="16"/>
                <w:szCs w:val="16"/>
                <w:lang w:eastAsia="en-US"/>
              </w:rPr>
              <w:t xml:space="preserve">          490 187,00   </w:t>
            </w:r>
            <w:r>
              <w:rPr>
                <w:b/>
                <w:bCs/>
                <w:color w:val="auto"/>
                <w:sz w:val="16"/>
                <w:szCs w:val="16"/>
                <w:lang w:eastAsia="en-US"/>
              </w:rPr>
            </w:r>
            <w:r>
              <w:rPr>
                <w:b/>
                <w:bCs/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b/>
                <w:bCs/>
                <w:color w:val="auto"/>
                <w:sz w:val="16"/>
                <w:szCs w:val="16"/>
                <w:lang w:eastAsia="en-US"/>
              </w:rPr>
            </w:pPr>
            <w:r>
              <w:rPr>
                <w:b/>
                <w:bCs/>
                <w:color w:val="auto"/>
                <w:sz w:val="16"/>
                <w:szCs w:val="16"/>
                <w:lang w:eastAsia="en-US"/>
              </w:rPr>
              <w:t xml:space="preserve">         489 187,00   </w:t>
            </w:r>
            <w:r>
              <w:rPr>
                <w:b/>
                <w:bCs/>
                <w:color w:val="auto"/>
                <w:sz w:val="16"/>
                <w:szCs w:val="16"/>
                <w:lang w:eastAsia="en-US"/>
              </w:rPr>
            </w:r>
            <w:r>
              <w:rPr>
                <w:b/>
                <w:bCs/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shd w:val="clear" w:color="auto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auto" w:sz="4" w:space="0"/>
            </w:tcBorders>
            <w:tcW w:w="3685" w:type="dxa"/>
            <w:vMerge w:val="restart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Проведение мероприятий по обеспечению доступности в многоквартирных домах (установка поручней, пандусов и т.д.)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  <w:t xml:space="preserve">ОРН</w:t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</w:tr>
      <w:tr>
        <w:tblPrEx/>
        <w:trPr>
          <w:trHeight w:val="133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  <w:t xml:space="preserve">МБ</w:t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  <w:t xml:space="preserve">        1 470 581,00   </w:t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  <w:t xml:space="preserve">          491 207,00   </w:t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  <w:t xml:space="preserve">          490 187,00   </w:t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  <w:t xml:space="preserve">         489 187,00   </w:t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auto" w:sz="4" w:space="0"/>
            </w:tcBorders>
            <w:tcW w:w="3985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</w:tr>
      <w:tr>
        <w:tblPrEx/>
        <w:trPr>
          <w:trHeight w:val="221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  <w:t xml:space="preserve">ОБ</w:t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auto" w:sz="4" w:space="0"/>
            </w:tcBorders>
            <w:tcW w:w="3985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</w:tr>
      <w:tr>
        <w:tblPrEx/>
        <w:trPr>
          <w:trHeight w:val="267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  <w:t xml:space="preserve">ФБ</w:t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auto" w:sz="4" w:space="0"/>
            </w:tcBorders>
            <w:tcW w:w="3985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</w:tr>
      <w:tr>
        <w:tblPrEx/>
        <w:trPr>
          <w:trHeight w:val="143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  <w:t xml:space="preserve">ВБС</w:t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auto" w:sz="4" w:space="0"/>
            </w:tcBorders>
            <w:tcW w:w="3985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</w:tr>
      <w:tr>
        <w:tblPrEx/>
        <w:trPr>
          <w:trHeight w:val="217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2.2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13" w:type="dxa"/>
            <w:vMerge w:val="restart"/>
            <w:textDirection w:val="lrTb"/>
            <w:noWrap w:val="false"/>
          </w:tcPr>
          <w:p>
            <w:pPr>
              <w:jc w:val="both"/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Мероприятие «Участие в создании на </w:t>
            </w:r>
            <w:r>
              <w:rPr>
                <w:sz w:val="18"/>
                <w:szCs w:val="18"/>
                <w:lang w:eastAsia="en-US"/>
              </w:rPr>
              <w:t xml:space="preserve">территории Печенгского муниципального округа инвалидам и </w:t>
            </w:r>
            <w:r>
              <w:rPr>
                <w:sz w:val="18"/>
                <w:szCs w:val="18"/>
                <w:lang w:eastAsia="en-US"/>
              </w:rPr>
              <w:t xml:space="preserve">маломобильным группам населения условий для беспрепятственного доступа к объектам социальной инфраструктуры, а также для беспрепятственного пользования средствами связи, информации, транспорта, разме</w:t>
            </w:r>
            <w:r>
              <w:rPr>
                <w:sz w:val="18"/>
                <w:szCs w:val="18"/>
                <w:lang w:eastAsia="en-US"/>
              </w:rPr>
              <w:t xml:space="preserve">щение информации на </w:t>
            </w:r>
            <w:r>
              <w:rPr>
                <w:sz w:val="18"/>
                <w:szCs w:val="18"/>
                <w:lang w:eastAsia="en-US"/>
              </w:rPr>
              <w:t xml:space="preserve">интернет-портале</w:t>
            </w:r>
            <w:r>
              <w:rPr>
                <w:sz w:val="18"/>
                <w:szCs w:val="18"/>
                <w:lang w:eastAsia="en-US"/>
              </w:rPr>
              <w:t xml:space="preserve"> «Учимся жить вместе», государственной программы «Доступная среда» по паспортам доступности ОСИ Печенгского муниципального округа»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24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2026 - 2028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Всего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 xml:space="preserve">0,00</w:t>
            </w:r>
            <w:r>
              <w:rPr>
                <w:b/>
                <w:sz w:val="16"/>
                <w:szCs w:val="16"/>
                <w:lang w:eastAsia="en-US"/>
              </w:rPr>
            </w:r>
            <w:r>
              <w:rPr>
                <w:b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 xml:space="preserve">0,00</w:t>
            </w:r>
            <w:r>
              <w:rPr>
                <w:b/>
                <w:sz w:val="16"/>
                <w:szCs w:val="16"/>
                <w:lang w:eastAsia="en-US"/>
              </w:rPr>
            </w:r>
            <w:r>
              <w:rPr>
                <w:b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 xml:space="preserve">0,00</w:t>
            </w:r>
            <w:r>
              <w:rPr>
                <w:b/>
                <w:sz w:val="16"/>
                <w:szCs w:val="16"/>
                <w:lang w:eastAsia="en-US"/>
              </w:rPr>
            </w:r>
            <w:r>
              <w:rPr>
                <w:b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 xml:space="preserve">0,00</w:t>
            </w:r>
            <w:r>
              <w:rPr>
                <w:b/>
                <w:sz w:val="16"/>
                <w:szCs w:val="16"/>
                <w:lang w:eastAsia="en-US"/>
              </w:rPr>
            </w:r>
            <w:r>
              <w:rPr>
                <w:b/>
                <w:sz w:val="16"/>
                <w:szCs w:val="16"/>
                <w:lang w:eastAsia="en-US"/>
              </w:rPr>
            </w:r>
          </w:p>
        </w:tc>
        <w:tc>
          <w:tcPr>
            <w:shd w:val="clear" w:color="auto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Merge w:val="restart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Размещение информации на </w:t>
            </w:r>
            <w:r>
              <w:rPr>
                <w:sz w:val="16"/>
                <w:szCs w:val="16"/>
                <w:lang w:eastAsia="en-US"/>
              </w:rPr>
              <w:t xml:space="preserve">Интернет-портале</w:t>
            </w:r>
            <w:r>
              <w:rPr>
                <w:sz w:val="16"/>
                <w:szCs w:val="16"/>
                <w:lang w:eastAsia="en-US"/>
              </w:rPr>
              <w:t xml:space="preserve"> «Учимся жить вместе» Государственной программы «Доступная среда» по паспортам доступности ОСИ Печенгского муниципального округа» 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  <w:t xml:space="preserve">ОРН </w:t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</w:tr>
      <w:tr>
        <w:tblPrEx/>
        <w:trPr>
          <w:trHeight w:val="149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МБ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985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</w:tr>
      <w:tr>
        <w:tblPrEx/>
        <w:trPr>
          <w:trHeight w:val="223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ОБ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985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</w:tr>
      <w:tr>
        <w:tblPrEx/>
        <w:trPr>
          <w:trHeight w:val="141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ФБ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985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</w:tr>
      <w:tr>
        <w:tblPrEx/>
        <w:trPr>
          <w:trHeight w:val="64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  <w:t xml:space="preserve">ВБС</w:t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985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</w:p>
          <w:p>
            <w:pPr>
              <w:jc w:val="center"/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3</w:t>
            </w: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13" w:type="dxa"/>
            <w:vMerge w:val="restart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u w:val="single"/>
                <w:lang w:eastAsia="en-US"/>
              </w:rPr>
            </w:pPr>
            <w:r>
              <w:rPr>
                <w:sz w:val="18"/>
                <w:szCs w:val="18"/>
                <w:u w:val="single"/>
                <w:lang w:eastAsia="en-US"/>
              </w:rPr>
            </w:r>
            <w:r>
              <w:rPr>
                <w:sz w:val="18"/>
                <w:szCs w:val="18"/>
                <w:u w:val="single"/>
                <w:lang w:eastAsia="en-US"/>
              </w:rPr>
            </w:r>
            <w:r>
              <w:rPr>
                <w:sz w:val="18"/>
                <w:szCs w:val="18"/>
                <w:u w:val="single"/>
                <w:lang w:eastAsia="en-US"/>
              </w:rPr>
            </w:r>
          </w:p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u w:val="single"/>
                <w:lang w:eastAsia="en-US"/>
              </w:rPr>
              <w:t xml:space="preserve">Комплекс процессных мероприятий 3 </w:t>
            </w:r>
            <w:r>
              <w:rPr>
                <w:sz w:val="18"/>
                <w:szCs w:val="18"/>
                <w:lang w:eastAsia="en-US"/>
              </w:rPr>
              <w:t xml:space="preserve">«Создание условий для социальной помощи семьям»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24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  <w:p>
            <w:pPr>
              <w:jc w:val="center"/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2026 - 2028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Всего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      10 215 820,00   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       3 541 420,00   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       3 283 600,00   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      3 390 800,00   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shd w:val="clear" w:color="auto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auto" w:sz="4" w:space="0"/>
            </w:tcBorders>
            <w:tcW w:w="3685" w:type="dxa"/>
            <w:vMerge w:val="restart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0.7. Число семей участников Государственной программы получивших социальную выплату на приобретение (строительство) жилья от общего числа семей, обратившихся за получением меры социальной </w:t>
            </w:r>
            <w:r>
              <w:rPr>
                <w:sz w:val="16"/>
                <w:szCs w:val="16"/>
                <w:lang w:eastAsia="en-US"/>
              </w:rPr>
              <w:t xml:space="preserve">поддержки. 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  <w:p>
            <w:pPr>
              <w:jc w:val="center"/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  <w:t xml:space="preserve">ОС и ЖКХ; </w:t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  <w:p>
            <w:pPr>
              <w:jc w:val="center"/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  <w:t xml:space="preserve">КУИ</w:t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</w:tr>
      <w:tr>
        <w:tblPrEx/>
        <w:trPr>
          <w:trHeight w:val="264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МБ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4 050 210,00   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1 472 051,00   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1 236 016,00   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1 342 143,00   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auto" w:sz="4" w:space="0"/>
            </w:tcBorders>
            <w:tcW w:w="3985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</w:tr>
      <w:tr>
        <w:tblPrEx/>
        <w:trPr>
          <w:trHeight w:val="268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ОБ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3 030 000,00   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1 010 000,00   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1 010 000,00   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1 010 000,00   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auto" w:sz="4" w:space="0"/>
            </w:tcBorders>
            <w:tcW w:w="3985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</w:tr>
      <w:tr>
        <w:tblPrEx/>
        <w:trPr>
          <w:trHeight w:val="272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ФБ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     40 910,00   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    14 869,00   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    12 484,00   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   13 557,00   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auto" w:sz="4" w:space="0"/>
            </w:tcBorders>
            <w:tcW w:w="3985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</w:tr>
      <w:tr>
        <w:tblPrEx/>
        <w:trPr>
          <w:trHeight w:val="27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ВБС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3 094 700,00   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1 044 500,00   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1 025 100,00   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1 025 100,00   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auto" w:sz="4" w:space="0"/>
            </w:tcBorders>
            <w:tcW w:w="3985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3.1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  <w:p>
            <w:pPr>
              <w:jc w:val="center"/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13" w:type="dxa"/>
            <w:vMerge w:val="restart"/>
            <w:textDirection w:val="lrTb"/>
            <w:noWrap w:val="false"/>
          </w:tcPr>
          <w:p>
            <w:pPr>
              <w:jc w:val="both"/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Мероприятие «Предоставление социальных выплат молодым семьям»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24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color w:val="auto"/>
                <w:sz w:val="18"/>
                <w:szCs w:val="18"/>
                <w:lang w:eastAsia="en-US"/>
              </w:rPr>
              <w:t xml:space="preserve">2026 - 2027</w:t>
            </w: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Всего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shd w:val="clear" w:color="auto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        7 185 820,00   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shd w:val="clear" w:color="auto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       2 531 420,00   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shd w:val="clear" w:color="auto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       2 273 600,00   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shd w:val="clear" w:color="auto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      2 380 800,00   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shd w:val="clear" w:color="auto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Merge w:val="restart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Обеспечение рассмотрения предоставленных документов, расчёт, назначение, обеспечение</w:t>
            </w:r>
            <w:r>
              <w:rPr>
                <w:sz w:val="16"/>
                <w:szCs w:val="16"/>
                <w:lang w:eastAsia="en-US"/>
              </w:rPr>
              <w:t xml:space="preserve"> выплат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ОС и ЖКХ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center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</w:tr>
      <w:tr>
        <w:tblPrEx/>
        <w:trPr>
          <w:trHeight w:val="199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МБ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shd w:val="clear" w:color="auto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4 050 210,00   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shd w:val="clear" w:color="auto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1 472 051,00   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shd w:val="clear" w:color="auto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1 236 016,00   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shd w:val="clear" w:color="auto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1 342 143,00   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985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</w:tr>
      <w:tr>
        <w:tblPrEx/>
        <w:trPr>
          <w:trHeight w:val="173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ОБ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985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</w:tr>
      <w:tr>
        <w:tblPrEx/>
        <w:trPr>
          <w:trHeight w:val="261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ФБ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shd w:val="clear" w:color="auto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     40 910,00   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shd w:val="clear" w:color="auto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    14 869,00   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shd w:val="clear" w:color="auto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    12 484,00   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shd w:val="clear" w:color="auto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   13 557,00   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985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</w:tr>
      <w:tr>
        <w:tblPrEx/>
        <w:trPr>
          <w:trHeight w:val="137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ВБС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shd w:val="clear" w:color="auto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3 094 700,00   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shd w:val="clear" w:color="auto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1 044 500,00   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shd w:val="clear" w:color="auto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1 025 100,00   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shd w:val="clear" w:color="auto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1 025 100,00   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985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3.2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13" w:type="dxa"/>
            <w:vMerge w:val="restart"/>
            <w:textDirection w:val="lrTb"/>
            <w:noWrap w:val="false"/>
          </w:tcPr>
          <w:p>
            <w:pPr>
              <w:jc w:val="both"/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Мероприятие «Предоставление единовременной денежной выплаты многодетным семьям на улучшение жилищных условий»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24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2026 - 2028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Всего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shd w:val="clear" w:color="auto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        3 030 000,00   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shd w:val="clear" w:color="auto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       1 010 000,00   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shd w:val="clear" w:color="auto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       1 010 000,00   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shd w:val="clear" w:color="auto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      1 010 000,00   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shd w:val="clear" w:color="auto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Merge w:val="restart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Обеспечение рассмотрения предоставленных документов, своевременное направление на единовременные выплаты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КУИ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center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center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</w:tr>
      <w:tr>
        <w:tblPrEx/>
        <w:trPr>
          <w:trHeight w:val="201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МБ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985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</w:tr>
      <w:tr>
        <w:tblPrEx/>
        <w:trPr>
          <w:trHeight w:val="27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ОБ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shd w:val="clear" w:color="auto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3 030 000,00   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shd w:val="clear" w:color="auto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1 010 000,00   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shd w:val="clear" w:color="auto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1 010 000,00   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shd w:val="clear" w:color="auto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1 010 000,00   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985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</w:tr>
      <w:tr>
        <w:tblPrEx/>
        <w:trPr>
          <w:trHeight w:val="137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ФБ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985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ВБС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985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</w:tr>
    </w:tbl>
    <w:p>
      <w:pPr>
        <w:jc w:val="both"/>
        <w:spacing w:line="276" w:lineRule="auto"/>
        <w:rPr>
          <w:color w:val="auto"/>
          <w:sz w:val="18"/>
          <w:szCs w:val="18"/>
          <w:u w:val="single"/>
          <w:vertAlign w:val="superscript"/>
        </w:rPr>
      </w:pPr>
      <w:r>
        <w:rPr>
          <w:color w:val="auto"/>
          <w:sz w:val="18"/>
          <w:szCs w:val="18"/>
          <w:u w:val="single"/>
          <w:vertAlign w:val="superscript"/>
        </w:rPr>
      </w:r>
      <w:r>
        <w:rPr>
          <w:color w:val="auto"/>
          <w:sz w:val="18"/>
          <w:szCs w:val="18"/>
          <w:u w:val="single"/>
          <w:vertAlign w:val="superscript"/>
        </w:rPr>
      </w:r>
      <w:r>
        <w:rPr>
          <w:color w:val="auto"/>
          <w:sz w:val="18"/>
          <w:szCs w:val="18"/>
          <w:u w:val="single"/>
          <w:vertAlign w:val="superscript"/>
        </w:rPr>
      </w:r>
    </w:p>
    <w:p>
      <w:pPr>
        <w:jc w:val="both"/>
        <w:spacing w:line="276" w:lineRule="auto"/>
        <w:rPr>
          <w:color w:val="auto"/>
          <w:sz w:val="18"/>
          <w:szCs w:val="18"/>
          <w:u w:val="single"/>
          <w:vertAlign w:val="superscript"/>
        </w:rPr>
      </w:pPr>
      <w:r>
        <w:rPr>
          <w:color w:val="auto"/>
          <w:sz w:val="18"/>
          <w:szCs w:val="18"/>
          <w:u w:val="single"/>
          <w:vertAlign w:val="superscript"/>
        </w:rPr>
      </w:r>
      <w:r>
        <w:rPr>
          <w:color w:val="auto"/>
          <w:sz w:val="18"/>
          <w:szCs w:val="18"/>
          <w:u w:val="single"/>
          <w:vertAlign w:val="superscript"/>
        </w:rPr>
      </w:r>
      <w:r>
        <w:rPr>
          <w:color w:val="auto"/>
          <w:sz w:val="18"/>
          <w:szCs w:val="18"/>
          <w:u w:val="single"/>
          <w:vertAlign w:val="superscript"/>
        </w:rPr>
      </w:r>
    </w:p>
    <w:p>
      <w:pPr>
        <w:jc w:val="both"/>
        <w:spacing w:line="276" w:lineRule="auto"/>
        <w:rPr>
          <w:color w:val="auto"/>
          <w:sz w:val="18"/>
          <w:szCs w:val="18"/>
          <w:u w:val="single"/>
          <w:vertAlign w:val="superscript"/>
        </w:rPr>
      </w:pPr>
      <w:r>
        <w:rPr>
          <w:color w:val="auto"/>
          <w:sz w:val="18"/>
          <w:szCs w:val="18"/>
          <w:u w:val="single"/>
          <w:vertAlign w:val="superscript"/>
        </w:rPr>
      </w:r>
      <w:r>
        <w:rPr>
          <w:color w:val="auto"/>
          <w:sz w:val="18"/>
          <w:szCs w:val="18"/>
          <w:u w:val="single"/>
          <w:vertAlign w:val="superscript"/>
        </w:rPr>
      </w:r>
      <w:r>
        <w:rPr>
          <w:color w:val="auto"/>
          <w:sz w:val="18"/>
          <w:szCs w:val="18"/>
          <w:u w:val="single"/>
          <w:vertAlign w:val="superscript"/>
        </w:rPr>
      </w:r>
    </w:p>
    <w:p>
      <w:pPr>
        <w:jc w:val="both"/>
        <w:spacing w:line="276" w:lineRule="auto"/>
        <w:rPr>
          <w:color w:val="auto"/>
          <w:sz w:val="18"/>
          <w:szCs w:val="18"/>
          <w:u w:val="single"/>
          <w:vertAlign w:val="superscript"/>
        </w:rPr>
      </w:pPr>
      <w:r/>
      <w:bookmarkStart w:id="0" w:name="_GoBack"/>
      <w:r/>
      <w:bookmarkEnd w:id="0"/>
      <w:r>
        <w:rPr>
          <w:color w:val="auto"/>
          <w:sz w:val="18"/>
          <w:szCs w:val="18"/>
          <w:u w:val="single"/>
          <w:vertAlign w:val="superscript"/>
        </w:rPr>
      </w:r>
      <w:r>
        <w:rPr>
          <w:color w:val="auto"/>
          <w:sz w:val="18"/>
          <w:szCs w:val="18"/>
          <w:u w:val="single"/>
          <w:vertAlign w:val="superscript"/>
        </w:rPr>
      </w:r>
    </w:p>
    <w:p>
      <w:pPr>
        <w:jc w:val="both"/>
        <w:spacing w:line="276" w:lineRule="auto"/>
        <w:rPr>
          <w:color w:val="auto"/>
          <w:sz w:val="18"/>
          <w:szCs w:val="18"/>
          <w:u w:val="single"/>
        </w:rPr>
      </w:pPr>
      <w:r>
        <w:rPr>
          <w:color w:val="auto"/>
          <w:sz w:val="18"/>
          <w:szCs w:val="18"/>
          <w:u w:val="single"/>
          <w:vertAlign w:val="superscript"/>
        </w:rPr>
        <w:t xml:space="preserve">1 </w:t>
      </w:r>
      <w:r>
        <w:rPr>
          <w:color w:val="auto"/>
          <w:sz w:val="18"/>
          <w:szCs w:val="18"/>
          <w:u w:val="single"/>
        </w:rPr>
        <w:t xml:space="preserve">Соисполнители, участники:</w:t>
      </w:r>
      <w:r>
        <w:rPr>
          <w:color w:val="auto"/>
          <w:sz w:val="18"/>
          <w:szCs w:val="18"/>
          <w:u w:val="single"/>
        </w:rPr>
      </w:r>
      <w:r>
        <w:rPr>
          <w:color w:val="auto"/>
          <w:sz w:val="18"/>
          <w:szCs w:val="18"/>
          <w:u w:val="single"/>
        </w:rPr>
      </w:r>
    </w:p>
    <w:p>
      <w:pPr>
        <w:jc w:val="both"/>
        <w:spacing w:line="276" w:lineRule="auto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 xml:space="preserve">- Управляющий делами администрации – Администрация Печенгского муниципального округа (Управляющий делами администрации Печенгского муниципального округа);</w:t>
      </w:r>
      <w:r>
        <w:rPr>
          <w:color w:val="auto"/>
          <w:sz w:val="18"/>
          <w:szCs w:val="18"/>
        </w:rPr>
      </w:r>
      <w:r>
        <w:rPr>
          <w:color w:val="auto"/>
          <w:sz w:val="18"/>
          <w:szCs w:val="18"/>
        </w:rPr>
      </w:r>
    </w:p>
    <w:p>
      <w:pPr>
        <w:jc w:val="both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 xml:space="preserve">- сектор муниципальной службы и кадров – Администрация Печенгского муниципального округа (Сектор муниципальной службы и кадров администрации Печенгского муниципального округа);</w:t>
      </w:r>
      <w:r>
        <w:rPr>
          <w:color w:val="auto"/>
          <w:sz w:val="18"/>
          <w:szCs w:val="18"/>
        </w:rPr>
      </w:r>
      <w:r>
        <w:rPr>
          <w:color w:val="auto"/>
          <w:sz w:val="18"/>
          <w:szCs w:val="18"/>
        </w:rPr>
      </w:r>
    </w:p>
    <w:p>
      <w:pPr>
        <w:jc w:val="both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 xml:space="preserve">- специалист по работе с населением – Администрация Печенгского муниципального </w:t>
      </w:r>
      <w:r>
        <w:rPr>
          <w:color w:val="auto"/>
          <w:sz w:val="18"/>
          <w:szCs w:val="18"/>
        </w:rPr>
        <w:t xml:space="preserve">округа (Специалист по работе с населением администрации Печенгского муниципального округа);</w:t>
      </w:r>
      <w:r>
        <w:rPr>
          <w:color w:val="auto"/>
          <w:sz w:val="18"/>
          <w:szCs w:val="18"/>
        </w:rPr>
      </w:r>
      <w:r>
        <w:rPr>
          <w:color w:val="auto"/>
          <w:sz w:val="18"/>
          <w:szCs w:val="18"/>
        </w:rPr>
      </w:r>
    </w:p>
    <w:p>
      <w:pPr>
        <w:jc w:val="both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 xml:space="preserve">- ОРН – отдел работы с населением муниципального казенного учреждения «Управление по обеспечению деятельности администрации Печенгского муниципального округа»;</w:t>
      </w:r>
      <w:r>
        <w:rPr>
          <w:color w:val="auto"/>
          <w:sz w:val="18"/>
          <w:szCs w:val="18"/>
        </w:rPr>
      </w:r>
      <w:r>
        <w:rPr>
          <w:color w:val="auto"/>
          <w:sz w:val="18"/>
          <w:szCs w:val="18"/>
        </w:rPr>
      </w:r>
    </w:p>
    <w:p>
      <w:pPr>
        <w:jc w:val="both"/>
        <w:rPr>
          <w:sz w:val="18"/>
          <w:szCs w:val="18"/>
        </w:rPr>
      </w:pPr>
      <w:r>
        <w:rPr>
          <w:color w:val="auto"/>
          <w:sz w:val="18"/>
          <w:szCs w:val="18"/>
        </w:rPr>
        <w:t xml:space="preserve">- отдел образования - </w:t>
      </w:r>
      <w:r>
        <w:rPr>
          <w:sz w:val="18"/>
          <w:szCs w:val="18"/>
        </w:rPr>
        <w:t xml:space="preserve">Отдел образования администрации Печенгского муниципального округа;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 xml:space="preserve">- отдел </w:t>
      </w:r>
      <w:r>
        <w:rPr>
          <w:color w:val="auto"/>
          <w:sz w:val="18"/>
          <w:szCs w:val="18"/>
        </w:rPr>
        <w:t xml:space="preserve">КСиМП</w:t>
      </w:r>
      <w:r>
        <w:rPr>
          <w:color w:val="auto"/>
          <w:sz w:val="18"/>
          <w:szCs w:val="18"/>
        </w:rPr>
        <w:t xml:space="preserve"> – Отдел культуры, спорта и молодежной политики администрации Печенгского муниципального округа;</w:t>
      </w:r>
      <w:r>
        <w:rPr>
          <w:color w:val="auto"/>
          <w:sz w:val="18"/>
          <w:szCs w:val="18"/>
        </w:rPr>
      </w:r>
      <w:r>
        <w:rPr>
          <w:color w:val="auto"/>
          <w:sz w:val="18"/>
          <w:szCs w:val="18"/>
        </w:rPr>
      </w:r>
    </w:p>
    <w:p>
      <w:pPr>
        <w:jc w:val="both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 xml:space="preserve">- КУИ – Комитет по управлению имуществом администрации Пе</w:t>
      </w:r>
      <w:r>
        <w:rPr>
          <w:color w:val="auto"/>
          <w:sz w:val="18"/>
          <w:szCs w:val="18"/>
        </w:rPr>
        <w:t xml:space="preserve">ченгского муниципального округа;</w:t>
      </w:r>
      <w:r>
        <w:rPr>
          <w:color w:val="auto"/>
          <w:sz w:val="18"/>
          <w:szCs w:val="18"/>
        </w:rPr>
      </w:r>
      <w:r>
        <w:rPr>
          <w:color w:val="auto"/>
          <w:sz w:val="18"/>
          <w:szCs w:val="18"/>
        </w:rPr>
      </w:r>
    </w:p>
    <w:p>
      <w:pPr>
        <w:jc w:val="both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 xml:space="preserve">- ОС и ЖКХ – Администрация Печенгского муниципального округа (Отдел строительства и жилищно-коммунального хозяйства администрации Печенгского муниципального округа).</w:t>
      </w:r>
      <w:r>
        <w:rPr>
          <w:color w:val="auto"/>
          <w:sz w:val="18"/>
          <w:szCs w:val="18"/>
        </w:rPr>
      </w:r>
      <w:r>
        <w:rPr>
          <w:color w:val="auto"/>
          <w:sz w:val="18"/>
          <w:szCs w:val="18"/>
        </w:rPr>
      </w:r>
    </w:p>
    <w:p>
      <w:pPr>
        <w:jc w:val="both"/>
        <w:rPr>
          <w:color w:val="auto"/>
          <w:sz w:val="18"/>
          <w:szCs w:val="18"/>
          <w:u w:val="single"/>
        </w:rPr>
      </w:pPr>
      <w:r>
        <w:rPr>
          <w:color w:val="auto"/>
          <w:sz w:val="18"/>
          <w:szCs w:val="18"/>
          <w:u w:val="single"/>
        </w:rPr>
      </w:r>
      <w:r>
        <w:rPr>
          <w:color w:val="auto"/>
          <w:sz w:val="18"/>
          <w:szCs w:val="18"/>
          <w:u w:val="single"/>
        </w:rPr>
      </w:r>
      <w:r>
        <w:rPr>
          <w:color w:val="auto"/>
          <w:sz w:val="18"/>
          <w:szCs w:val="18"/>
          <w:u w:val="single"/>
        </w:rPr>
      </w:r>
    </w:p>
    <w:p>
      <w:pPr>
        <w:jc w:val="both"/>
        <w:rPr>
          <w:color w:val="auto"/>
          <w:sz w:val="18"/>
          <w:szCs w:val="18"/>
          <w:u w:val="single"/>
        </w:rPr>
      </w:pPr>
      <w:r>
        <w:rPr>
          <w:color w:val="auto"/>
          <w:sz w:val="18"/>
          <w:szCs w:val="18"/>
          <w:u w:val="single"/>
        </w:rPr>
        <w:t xml:space="preserve">Используемые сокращения:</w:t>
      </w:r>
      <w:r>
        <w:rPr>
          <w:color w:val="auto"/>
          <w:sz w:val="18"/>
          <w:szCs w:val="18"/>
          <w:u w:val="single"/>
        </w:rPr>
      </w:r>
      <w:r>
        <w:rPr>
          <w:color w:val="auto"/>
          <w:sz w:val="18"/>
          <w:szCs w:val="18"/>
          <w:u w:val="single"/>
        </w:rPr>
      </w:r>
    </w:p>
    <w:p>
      <w:pPr>
        <w:jc w:val="both"/>
        <w:rPr>
          <w:bCs/>
          <w:sz w:val="16"/>
          <w:szCs w:val="16"/>
        </w:rPr>
      </w:pPr>
      <w:r>
        <w:rPr>
          <w:color w:val="auto"/>
          <w:sz w:val="18"/>
          <w:szCs w:val="18"/>
        </w:rPr>
        <w:t xml:space="preserve">МБ – местный бюджет; ОБ – облас</w:t>
      </w:r>
      <w:r>
        <w:rPr>
          <w:color w:val="auto"/>
          <w:sz w:val="18"/>
          <w:szCs w:val="18"/>
        </w:rPr>
        <w:t xml:space="preserve">тной бюджет; ФБ – федеральный бюджет; ВБС – внебюджетные средства</w:t>
      </w:r>
      <w:r>
        <w:rPr>
          <w:color w:val="auto"/>
          <w:sz w:val="18"/>
          <w:szCs w:val="18"/>
        </w:rPr>
        <w:t xml:space="preserve">.».</w:t>
      </w:r>
      <w:r>
        <w:rPr>
          <w:bCs/>
          <w:sz w:val="16"/>
          <w:szCs w:val="16"/>
        </w:rPr>
      </w:r>
      <w:r>
        <w:rPr>
          <w:bCs/>
          <w:sz w:val="16"/>
          <w:szCs w:val="16"/>
        </w:rPr>
      </w:r>
    </w:p>
    <w:p>
      <w:pPr>
        <w:rPr>
          <w:bCs/>
          <w:sz w:val="24"/>
          <w:szCs w:val="24"/>
        </w:rPr>
        <w:sectPr>
          <w:footnotePr/>
          <w:endnotePr/>
          <w:type w:val="nextPage"/>
          <w:pgSz w:w="16838" w:h="11906" w:orient="landscape"/>
          <w:pgMar w:top="567" w:right="536" w:bottom="567" w:left="1135" w:header="709" w:footer="709" w:gutter="0"/>
          <w:rtlGutter/>
          <w:cols w:num="1" w:sep="0" w:space="720" w:equalWidth="1"/>
          <w:docGrid w:linePitch="360"/>
        </w:sect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r/>
    </w:p>
    <w:sectPr>
      <w:footnotePr/>
      <w:endnotePr/>
      <w:type w:val="nextPage"/>
      <w:pgSz w:w="11906" w:h="16838" w:orient="portrait"/>
      <w:pgMar w:top="1134" w:right="707" w:bottom="426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Symbol">
    <w:panose1 w:val="05050102010706020507"/>
  </w:font>
  <w:font w:name="TimesNewRomanPSMT">
    <w:panose1 w:val="02020603050405020304"/>
  </w:font>
  <w:font w:name="Courier New">
    <w:panose1 w:val="02070309020205020404"/>
  </w:font>
  <w:font w:name="Tahoma">
    <w:panose1 w:val="020B0604030504040204"/>
  </w:font>
  <w:font w:name="Calibri">
    <w:panose1 w:val="020F0502020204030204"/>
  </w:font>
  <w:font w:name="Arial">
    <w:panose1 w:val="020B060402020202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 w:cs="Symbol"/>
        <w:b w:val="0"/>
        <w:color w:val="auto"/>
        <w:sz w:val="25"/>
        <w:szCs w:val="25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864" w:hanging="1155"/>
        <w:tabs>
          <w:tab w:val="num" w:pos="1864" w:leader="none"/>
        </w:tabs>
      </w:pPr>
      <w:rPr>
        <w:rFonts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5"/>
      <w:numFmt w:val="decimal"/>
      <w:isLgl/>
      <w:suff w:val="tab"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907" w:hanging="340"/>
        <w:tabs>
          <w:tab w:val="num" w:pos="907" w:leader="none"/>
        </w:tabs>
      </w:pPr>
      <w:rPr>
        <w:rFonts w:hint="default" w:ascii="Symbol" w:hAnsi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7" w:hanging="245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1">
      <w:start w:val="1"/>
      <w:numFmt w:val="decimal"/>
      <w:isLgl w:val="false"/>
      <w:suff w:val="tab"/>
      <w:lvlText w:val="%2)"/>
      <w:lvlJc w:val="left"/>
      <w:pPr>
        <w:ind w:left="325" w:hanging="218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1370" w:hanging="218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2421" w:hanging="218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3471" w:hanging="218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4522" w:hanging="218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5572" w:hanging="218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623" w:hanging="218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673" w:hanging="218"/>
      </w:pPr>
      <w:rPr>
        <w:rFonts w:hint="default"/>
        <w:lang w:val="ru-RU" w:eastAsia="en-US" w:bidi="ar-SA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5"/>
      <w:numFmt w:val="decimal"/>
      <w:isLgl/>
      <w:suff w:val="tab"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107" w:hanging="201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1067" w:hanging="201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2035" w:hanging="201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002" w:hanging="201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3970" w:hanging="201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4937" w:hanging="201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5905" w:hanging="201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872" w:hanging="201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840" w:hanging="201"/>
      </w:pPr>
      <w:rPr>
        <w:rFonts w:hint="default"/>
        <w:lang w:val="ru-RU" w:eastAsia="en-US" w:bidi="ar-SA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0" w:hanging="360"/>
        <w:tabs>
          <w:tab w:val="num" w:pos="1060" w:leader="none"/>
        </w:tabs>
      </w:pPr>
      <w:rPr>
        <w:rFonts w:hint="default"/>
        <w:color w:val="000000"/>
        <w:sz w:val="25"/>
        <w:szCs w:val="25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 w:cs="Symbol"/>
        <w:b w:val="0"/>
        <w:color w:val="auto"/>
      </w:rPr>
    </w:lvl>
    <w:lvl w:ilvl="1">
      <w:start w:val="1"/>
      <w:numFmt w:val="bullet"/>
      <w:isLgl w:val="false"/>
      <w:suff w:val="tab"/>
      <w:lvlText w:val=""/>
      <w:lvlJc w:val="left"/>
      <w:pPr>
        <w:ind w:left="1364" w:hanging="284"/>
        <w:tabs>
          <w:tab w:val="num" w:pos="1364" w:leader="none"/>
        </w:tabs>
      </w:pPr>
      <w:rPr>
        <w:rFonts w:hint="default" w:ascii="Wingdings" w:hAnsi="Wingdings" w:cs="Wingdings"/>
        <w:b w:val="0"/>
        <w:color w:val="auto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 w:cs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 w:cs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 w:cs="Wingdings"/>
      </w:rPr>
    </w:lvl>
  </w:abstractNum>
  <w:abstractNum w:abstractNumId="11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42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8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7" w:hanging="216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1081" w:hanging="216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2063" w:hanging="216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045" w:hanging="216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027" w:hanging="216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009" w:hanging="216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5991" w:hanging="216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973" w:hanging="216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955" w:hanging="216"/>
      </w:pPr>
      <w:rPr>
        <w:rFonts w:hint="default"/>
        <w:lang w:val="ru-RU" w:eastAsia="en-US" w:bidi="ar-SA"/>
      </w:rPr>
    </w:lvl>
  </w:abstractNum>
  <w:abstractNum w:abstractNumId="13">
    <w:multiLevelType w:val="hybridMultilevel"/>
    <w:lvl w:ilvl="0">
      <w:start w:val="11"/>
      <w:numFmt w:val="decimal"/>
      <w:isLgl w:val="false"/>
      <w:suff w:val="tab"/>
      <w:lvlText w:val="%1"/>
      <w:lvlJc w:val="left"/>
      <w:pPr>
        <w:ind w:left="1391" w:hanging="540"/>
      </w:pPr>
      <w:rPr>
        <w:rFonts w:hint="default"/>
        <w:lang w:val="ru-RU" w:eastAsia="en-US" w:bidi="ar-SA"/>
      </w:rPr>
    </w:lvl>
    <w:lvl w:ilvl="1">
      <w:start w:val="1"/>
      <w:numFmt w:val="decimal"/>
      <w:isLgl w:val="false"/>
      <w:suff w:val="tab"/>
      <w:lvlText w:val="%1.%2."/>
      <w:lvlJc w:val="left"/>
      <w:pPr>
        <w:ind w:left="1391" w:hanging="540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sz w:val="24"/>
        <w:szCs w:val="24"/>
        <w:lang w:val="ru-RU" w:eastAsia="en-US" w:bidi="ar-SA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3" w:hanging="852"/>
      </w:pPr>
      <w:rPr>
        <w:rFonts w:hint="default"/>
        <w:spacing w:val="0"/>
        <w:lang w:val="ru-RU" w:eastAsia="en-US" w:bidi="ar-SA"/>
      </w:rPr>
    </w:lvl>
    <w:lvl w:ilvl="3">
      <w:start w:val="1"/>
      <w:numFmt w:val="bullet"/>
      <w:isLgl w:val="false"/>
      <w:suff w:val="tab"/>
      <w:lvlText w:val="-"/>
      <w:lvlJc w:val="left"/>
      <w:pPr>
        <w:ind w:left="143" w:hanging="852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4"/>
        <w:szCs w:val="24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335" w:hanging="852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313" w:hanging="852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292" w:hanging="852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7270" w:hanging="852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8249" w:hanging="852"/>
      </w:pPr>
      <w:rPr>
        <w:rFonts w:hint="default"/>
        <w:lang w:val="ru-RU" w:eastAsia="en-US" w:bidi="ar-SA"/>
      </w:rPr>
    </w:lvl>
  </w:abstractNum>
  <w:num w:numId="1">
    <w:abstractNumId w:val="11"/>
  </w:num>
  <w:num w:numId="2">
    <w:abstractNumId w:val="2"/>
  </w:num>
  <w:num w:numId="3">
    <w:abstractNumId w:val="10"/>
  </w:num>
  <w:num w:numId="4">
    <w:abstractNumId w:val="9"/>
  </w:num>
  <w:num w:numId="5">
    <w:abstractNumId w:val="4"/>
  </w:num>
  <w:num w:numId="6">
    <w:abstractNumId w:val="6"/>
  </w:num>
  <w:num w:numId="7">
    <w:abstractNumId w:val="1"/>
  </w:num>
  <w:num w:numId="8">
    <w:abstractNumId w:val="0"/>
  </w:num>
  <w:num w:numId="9">
    <w:abstractNumId w:val="3"/>
  </w:num>
  <w:num w:numId="10">
    <w:abstractNumId w:val="8"/>
  </w:num>
  <w:num w:numId="11">
    <w:abstractNumId w:val="7"/>
  </w:num>
  <w:num w:numId="12">
    <w:abstractNumId w:val="5"/>
  </w:num>
  <w:num w:numId="13">
    <w:abstractNumId w:val="13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82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683">
    <w:name w:val="Heading 1"/>
    <w:basedOn w:val="682"/>
    <w:next w:val="682"/>
    <w:link w:val="71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71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716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717"/>
    <w:qFormat/>
    <w:pPr>
      <w:ind w:firstLine="709"/>
      <w:keepNext/>
      <w:outlineLvl w:val="3"/>
    </w:pPr>
    <w:rPr>
      <w:sz w:val="28"/>
    </w:rPr>
  </w:style>
  <w:style w:type="paragraph" w:styleId="687">
    <w:name w:val="Heading 5"/>
    <w:basedOn w:val="682"/>
    <w:next w:val="682"/>
    <w:link w:val="718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19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89">
    <w:name w:val="Heading 7"/>
    <w:basedOn w:val="682"/>
    <w:next w:val="682"/>
    <w:link w:val="72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90">
    <w:name w:val="Heading 8"/>
    <w:basedOn w:val="682"/>
    <w:next w:val="682"/>
    <w:link w:val="72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691">
    <w:name w:val="Heading 9"/>
    <w:basedOn w:val="682"/>
    <w:next w:val="682"/>
    <w:link w:val="72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table" w:styleId="695" w:customStyle="1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6" w:customStyle="1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7" w:customStyle="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8" w:customStyle="1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 w:customStyle="1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0" w:customStyle="1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 w:customStyle="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 w:customStyle="1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 w:customStyle="1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4" w:customStyle="1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05" w:customStyle="1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06" w:customStyle="1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07" w:customStyle="1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 w:customStyle="1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09" w:customStyle="1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12" w:customStyle="1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13" w:customStyle="1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character" w:styleId="714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715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716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717" w:customStyle="1">
    <w:name w:val="Заголовок 4 Знак"/>
    <w:basedOn w:val="692"/>
    <w:link w:val="686"/>
    <w:rPr>
      <w:rFonts w:ascii="Times New Roman" w:hAnsi="Times New Roman" w:eastAsia="Times New Roman" w:cs="Times New Roman"/>
      <w:color w:val="000000"/>
      <w:sz w:val="28"/>
      <w:szCs w:val="20"/>
      <w:lang w:eastAsia="ru-RU"/>
    </w:rPr>
  </w:style>
  <w:style w:type="character" w:styleId="718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19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20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21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22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723" w:customStyle="1">
    <w:name w:val="Heading 1 Char"/>
    <w:basedOn w:val="692"/>
    <w:uiPriority w:val="9"/>
    <w:rPr>
      <w:rFonts w:ascii="Arial" w:hAnsi="Arial" w:eastAsia="Arial" w:cs="Arial"/>
      <w:sz w:val="40"/>
      <w:szCs w:val="40"/>
    </w:rPr>
  </w:style>
  <w:style w:type="character" w:styleId="724" w:customStyle="1">
    <w:name w:val="Heading 2 Char"/>
    <w:basedOn w:val="692"/>
    <w:uiPriority w:val="9"/>
    <w:rPr>
      <w:rFonts w:ascii="Arial" w:hAnsi="Arial" w:eastAsia="Arial" w:cs="Arial"/>
      <w:sz w:val="34"/>
    </w:rPr>
  </w:style>
  <w:style w:type="character" w:styleId="725" w:customStyle="1">
    <w:name w:val="Heading 3 Char"/>
    <w:basedOn w:val="692"/>
    <w:uiPriority w:val="9"/>
    <w:rPr>
      <w:rFonts w:ascii="Arial" w:hAnsi="Arial" w:eastAsia="Arial" w:cs="Arial"/>
      <w:sz w:val="30"/>
      <w:szCs w:val="30"/>
    </w:rPr>
  </w:style>
  <w:style w:type="character" w:styleId="726" w:customStyle="1">
    <w:name w:val="Heading 5 Char"/>
    <w:basedOn w:val="692"/>
    <w:uiPriority w:val="9"/>
    <w:rPr>
      <w:rFonts w:ascii="Arial" w:hAnsi="Arial" w:eastAsia="Arial" w:cs="Arial"/>
      <w:b/>
      <w:bCs/>
      <w:sz w:val="24"/>
      <w:szCs w:val="24"/>
    </w:rPr>
  </w:style>
  <w:style w:type="character" w:styleId="727" w:customStyle="1">
    <w:name w:val="Heading 6 Char"/>
    <w:basedOn w:val="692"/>
    <w:uiPriority w:val="9"/>
    <w:rPr>
      <w:rFonts w:ascii="Arial" w:hAnsi="Arial" w:eastAsia="Arial" w:cs="Arial"/>
      <w:b/>
      <w:bCs/>
      <w:sz w:val="22"/>
      <w:szCs w:val="22"/>
    </w:rPr>
  </w:style>
  <w:style w:type="character" w:styleId="728" w:customStyle="1">
    <w:name w:val="Heading 7 Char"/>
    <w:basedOn w:val="69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29" w:customStyle="1">
    <w:name w:val="Heading 8 Char"/>
    <w:basedOn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730" w:customStyle="1">
    <w:name w:val="Heading 9 Char"/>
    <w:basedOn w:val="692"/>
    <w:uiPriority w:val="9"/>
    <w:rPr>
      <w:rFonts w:ascii="Arial" w:hAnsi="Arial" w:eastAsia="Arial" w:cs="Arial"/>
      <w:i/>
      <w:iCs/>
      <w:sz w:val="21"/>
      <w:szCs w:val="21"/>
    </w:rPr>
  </w:style>
  <w:style w:type="character" w:styleId="731" w:customStyle="1">
    <w:name w:val="Title Char"/>
    <w:basedOn w:val="692"/>
    <w:uiPriority w:val="10"/>
    <w:rPr>
      <w:sz w:val="48"/>
      <w:szCs w:val="48"/>
    </w:rPr>
  </w:style>
  <w:style w:type="character" w:styleId="732" w:customStyle="1">
    <w:name w:val="Subtitle Char"/>
    <w:basedOn w:val="692"/>
    <w:uiPriority w:val="11"/>
    <w:rPr>
      <w:sz w:val="24"/>
      <w:szCs w:val="24"/>
    </w:rPr>
  </w:style>
  <w:style w:type="character" w:styleId="733" w:customStyle="1">
    <w:name w:val="Quote Char"/>
    <w:uiPriority w:val="29"/>
    <w:rPr>
      <w:i/>
    </w:rPr>
  </w:style>
  <w:style w:type="character" w:styleId="734" w:customStyle="1">
    <w:name w:val="Intense Quote Char"/>
    <w:uiPriority w:val="30"/>
    <w:rPr>
      <w:i/>
    </w:rPr>
  </w:style>
  <w:style w:type="character" w:styleId="735" w:customStyle="1">
    <w:name w:val="Heading 4 Char"/>
    <w:basedOn w:val="692"/>
    <w:uiPriority w:val="9"/>
    <w:rPr>
      <w:rFonts w:ascii="Arial" w:hAnsi="Arial" w:eastAsia="Arial" w:cs="Arial"/>
      <w:b/>
      <w:bCs/>
      <w:sz w:val="26"/>
      <w:szCs w:val="26"/>
    </w:rPr>
  </w:style>
  <w:style w:type="paragraph" w:styleId="736">
    <w:name w:val="No Spacing"/>
    <w:uiPriority w:val="1"/>
    <w:qFormat/>
    <w:pPr>
      <w:spacing w:after="0" w:line="240" w:lineRule="auto"/>
    </w:pPr>
  </w:style>
  <w:style w:type="paragraph" w:styleId="737">
    <w:name w:val="Title"/>
    <w:basedOn w:val="682"/>
    <w:next w:val="682"/>
    <w:link w:val="738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38" w:customStyle="1">
    <w:name w:val="Название Знак"/>
    <w:basedOn w:val="692"/>
    <w:link w:val="737"/>
    <w:uiPriority w:val="10"/>
    <w:rPr>
      <w:sz w:val="48"/>
      <w:szCs w:val="48"/>
    </w:rPr>
  </w:style>
  <w:style w:type="paragraph" w:styleId="739">
    <w:name w:val="Subtitle"/>
    <w:basedOn w:val="682"/>
    <w:next w:val="682"/>
    <w:link w:val="740"/>
    <w:uiPriority w:val="11"/>
    <w:qFormat/>
    <w:pPr>
      <w:spacing w:before="200" w:after="200"/>
    </w:pPr>
    <w:rPr>
      <w:sz w:val="24"/>
      <w:szCs w:val="24"/>
    </w:rPr>
  </w:style>
  <w:style w:type="character" w:styleId="740" w:customStyle="1">
    <w:name w:val="Подзаголовок Знак"/>
    <w:basedOn w:val="692"/>
    <w:link w:val="739"/>
    <w:uiPriority w:val="11"/>
    <w:rPr>
      <w:sz w:val="24"/>
      <w:szCs w:val="24"/>
    </w:rPr>
  </w:style>
  <w:style w:type="paragraph" w:styleId="741">
    <w:name w:val="Quote"/>
    <w:basedOn w:val="682"/>
    <w:next w:val="682"/>
    <w:link w:val="742"/>
    <w:uiPriority w:val="29"/>
    <w:qFormat/>
    <w:pPr>
      <w:ind w:left="720" w:right="720"/>
    </w:pPr>
    <w:rPr>
      <w:i/>
    </w:rPr>
  </w:style>
  <w:style w:type="character" w:styleId="742" w:customStyle="1">
    <w:name w:val="Цитата 2 Знак"/>
    <w:link w:val="741"/>
    <w:uiPriority w:val="29"/>
    <w:rPr>
      <w:i/>
    </w:rPr>
  </w:style>
  <w:style w:type="paragraph" w:styleId="743">
    <w:name w:val="Intense Quote"/>
    <w:basedOn w:val="682"/>
    <w:next w:val="682"/>
    <w:link w:val="744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4" w:customStyle="1">
    <w:name w:val="Выделенная цитата Знак"/>
    <w:link w:val="743"/>
    <w:uiPriority w:val="30"/>
    <w:rPr>
      <w:i/>
    </w:rPr>
  </w:style>
  <w:style w:type="character" w:styleId="745" w:customStyle="1">
    <w:name w:val="Header Char"/>
    <w:basedOn w:val="692"/>
    <w:uiPriority w:val="99"/>
  </w:style>
  <w:style w:type="character" w:styleId="746" w:customStyle="1">
    <w:name w:val="Footer Char"/>
    <w:basedOn w:val="692"/>
    <w:uiPriority w:val="99"/>
  </w:style>
  <w:style w:type="paragraph" w:styleId="747">
    <w:name w:val="Caption"/>
    <w:basedOn w:val="682"/>
    <w:next w:val="68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48" w:customStyle="1">
    <w:name w:val="Caption Char"/>
    <w:uiPriority w:val="99"/>
  </w:style>
  <w:style w:type="table" w:styleId="749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50" w:customStyle="1">
    <w:name w:val="Таблица простая 1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1" w:customStyle="1">
    <w:name w:val="Таблица простая 21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2" w:customStyle="1">
    <w:name w:val="Таблица простая 3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3" w:customStyle="1">
    <w:name w:val="Таблица простая 4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 w:customStyle="1">
    <w:name w:val="Таблица простая 5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5" w:customStyle="1">
    <w:name w:val="Таблица-сетка 1 светлая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 w:customStyle="1">
    <w:name w:val="Таблица-сетка 2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Таблица-сетка 3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Таблица-сетка 4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7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78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79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80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81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82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83" w:customStyle="1">
    <w:name w:val="Таблица-сетка 5 темная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84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85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86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87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88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89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90" w:customStyle="1">
    <w:name w:val="Таблица-сетка 6 цветная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91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92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93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94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95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6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7" w:customStyle="1">
    <w:name w:val="Таблица-сетка 7 цветная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8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9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0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1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2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Список-таблица 1 светлая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Список-таблица 2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12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13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14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15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16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17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18" w:customStyle="1">
    <w:name w:val="Список-таблица 3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Список-таблица 4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 w:customStyle="1">
    <w:name w:val="Список-таблица 5 темная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3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4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5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6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7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8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9" w:customStyle="1">
    <w:name w:val="Список-таблица 6 цветная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40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41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42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43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44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45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46" w:customStyle="1">
    <w:name w:val="Список-таблица 7 цветная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7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8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9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0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1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2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3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4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5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6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7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8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9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0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1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2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3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4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5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6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7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68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69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70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71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72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73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74">
    <w:name w:val="Hyperlink"/>
    <w:uiPriority w:val="99"/>
    <w:unhideWhenUsed/>
    <w:rPr>
      <w:color w:val="0000ff" w:themeColor="hyperlink"/>
      <w:u w:val="single"/>
    </w:rPr>
  </w:style>
  <w:style w:type="character" w:styleId="875" w:customStyle="1">
    <w:name w:val="Footnote Text Char"/>
    <w:uiPriority w:val="99"/>
    <w:rPr>
      <w:sz w:val="18"/>
    </w:rPr>
  </w:style>
  <w:style w:type="character" w:styleId="876" w:customStyle="1">
    <w:name w:val="Endnote Text Char"/>
    <w:uiPriority w:val="99"/>
    <w:rPr>
      <w:sz w:val="20"/>
    </w:rPr>
  </w:style>
  <w:style w:type="paragraph" w:styleId="877">
    <w:name w:val="toc 1"/>
    <w:basedOn w:val="682"/>
    <w:next w:val="682"/>
    <w:uiPriority w:val="39"/>
    <w:unhideWhenUsed/>
    <w:pPr>
      <w:spacing w:after="57"/>
    </w:pPr>
  </w:style>
  <w:style w:type="paragraph" w:styleId="878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79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80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81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82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83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84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85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86">
    <w:name w:val="TOC Heading"/>
    <w:uiPriority w:val="39"/>
    <w:unhideWhenUsed/>
  </w:style>
  <w:style w:type="paragraph" w:styleId="887">
    <w:name w:val="table of figures"/>
    <w:basedOn w:val="682"/>
    <w:next w:val="682"/>
    <w:uiPriority w:val="99"/>
    <w:unhideWhenUsed/>
  </w:style>
  <w:style w:type="paragraph" w:styleId="888">
    <w:name w:val="Body Text 2"/>
    <w:basedOn w:val="682"/>
    <w:link w:val="889"/>
    <w:unhideWhenUsed/>
    <w:qFormat/>
    <w:pPr>
      <w:ind w:right="4495"/>
      <w:jc w:val="both"/>
      <w:tabs>
        <w:tab w:val="left" w:pos="4860" w:leader="none"/>
      </w:tabs>
    </w:pPr>
    <w:rPr>
      <w:rFonts w:eastAsia="Calibri"/>
      <w:color w:val="auto"/>
      <w:sz w:val="26"/>
      <w:szCs w:val="26"/>
    </w:rPr>
  </w:style>
  <w:style w:type="character" w:styleId="889" w:customStyle="1">
    <w:name w:val="Основной текст 2 Знак"/>
    <w:basedOn w:val="692"/>
    <w:link w:val="888"/>
    <w:rPr>
      <w:rFonts w:ascii="Times New Roman" w:hAnsi="Times New Roman" w:eastAsia="Calibri" w:cs="Times New Roman"/>
      <w:sz w:val="26"/>
      <w:szCs w:val="26"/>
      <w:lang w:eastAsia="ru-RU"/>
    </w:rPr>
  </w:style>
  <w:style w:type="paragraph" w:styleId="890">
    <w:name w:val="Balloon Text"/>
    <w:basedOn w:val="682"/>
    <w:link w:val="891"/>
    <w:uiPriority w:val="99"/>
    <w:semiHidden/>
    <w:unhideWhenUsed/>
    <w:rPr>
      <w:rFonts w:ascii="Tahoma" w:hAnsi="Tahoma" w:cs="Tahoma"/>
      <w:sz w:val="16"/>
      <w:szCs w:val="16"/>
    </w:rPr>
  </w:style>
  <w:style w:type="character" w:styleId="891" w:customStyle="1">
    <w:name w:val="Текст выноски Знак"/>
    <w:basedOn w:val="692"/>
    <w:link w:val="890"/>
    <w:uiPriority w:val="99"/>
    <w:semiHidden/>
    <w:rPr>
      <w:rFonts w:ascii="Tahoma" w:hAnsi="Tahoma" w:eastAsia="Times New Roman" w:cs="Tahoma"/>
      <w:color w:val="000000"/>
      <w:sz w:val="16"/>
      <w:szCs w:val="16"/>
      <w:lang w:eastAsia="ru-RU"/>
    </w:rPr>
  </w:style>
  <w:style w:type="paragraph" w:styleId="892">
    <w:name w:val="List Paragraph"/>
    <w:basedOn w:val="682"/>
    <w:uiPriority w:val="1"/>
    <w:qFormat/>
    <w:pPr>
      <w:contextualSpacing/>
      <w:ind w:left="720"/>
    </w:pPr>
  </w:style>
  <w:style w:type="paragraph" w:styleId="893">
    <w:name w:val="Header"/>
    <w:basedOn w:val="682"/>
    <w:link w:val="894"/>
    <w:uiPriority w:val="99"/>
    <w:pPr>
      <w:tabs>
        <w:tab w:val="center" w:pos="4153" w:leader="none"/>
        <w:tab w:val="right" w:pos="8306" w:leader="none"/>
      </w:tabs>
    </w:pPr>
    <w:rPr>
      <w:color w:val="auto"/>
    </w:rPr>
  </w:style>
  <w:style w:type="character" w:styleId="894" w:customStyle="1">
    <w:name w:val="Верхний колонтитул Знак"/>
    <w:basedOn w:val="692"/>
    <w:link w:val="893"/>
    <w:uiPriority w:val="99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895">
    <w:name w:val="Footer"/>
    <w:basedOn w:val="682"/>
    <w:link w:val="896"/>
    <w:uiPriority w:val="99"/>
    <w:pPr>
      <w:tabs>
        <w:tab w:val="center" w:pos="4153" w:leader="none"/>
        <w:tab w:val="right" w:pos="8306" w:leader="none"/>
      </w:tabs>
    </w:pPr>
    <w:rPr>
      <w:color w:val="auto"/>
    </w:rPr>
  </w:style>
  <w:style w:type="character" w:styleId="896" w:customStyle="1">
    <w:name w:val="Нижний колонтитул Знак"/>
    <w:basedOn w:val="692"/>
    <w:link w:val="895"/>
    <w:uiPriority w:val="99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897">
    <w:name w:val="footnote text"/>
    <w:basedOn w:val="682"/>
    <w:link w:val="898"/>
    <w:uiPriority w:val="99"/>
    <w:semiHidden/>
    <w:rPr>
      <w:color w:val="auto"/>
    </w:rPr>
  </w:style>
  <w:style w:type="character" w:styleId="898" w:customStyle="1">
    <w:name w:val="Текст сноски Знак"/>
    <w:basedOn w:val="692"/>
    <w:link w:val="897"/>
    <w:uiPriority w:val="99"/>
    <w:semiHidden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899">
    <w:name w:val="footnote reference"/>
    <w:basedOn w:val="692"/>
    <w:uiPriority w:val="99"/>
    <w:semiHidden/>
    <w:rPr>
      <w:rFonts w:cs="Times New Roman"/>
      <w:vertAlign w:val="superscript"/>
    </w:rPr>
  </w:style>
  <w:style w:type="paragraph" w:styleId="900">
    <w:name w:val="endnote text"/>
    <w:basedOn w:val="682"/>
    <w:link w:val="901"/>
    <w:uiPriority w:val="99"/>
    <w:semiHidden/>
    <w:rPr>
      <w:color w:val="auto"/>
    </w:rPr>
  </w:style>
  <w:style w:type="character" w:styleId="901" w:customStyle="1">
    <w:name w:val="Текст концевой сноски Знак"/>
    <w:basedOn w:val="692"/>
    <w:link w:val="900"/>
    <w:uiPriority w:val="99"/>
    <w:semiHidden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902">
    <w:name w:val="endnote reference"/>
    <w:basedOn w:val="692"/>
    <w:uiPriority w:val="99"/>
    <w:semiHidden/>
    <w:rPr>
      <w:rFonts w:cs="Times New Roman"/>
      <w:vertAlign w:val="superscript"/>
    </w:rPr>
  </w:style>
  <w:style w:type="paragraph" w:styleId="903" w:customStyle="1">
    <w:name w:val="ConsNormal"/>
    <w:pPr>
      <w:ind w:right="19772"/>
      <w:jc w:val="both"/>
      <w:spacing w:after="0" w:line="240" w:lineRule="auto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904" w:customStyle="1">
    <w:name w:val="ConsPlusNormal"/>
    <w:uiPriority w:val="99"/>
    <w:pPr>
      <w:spacing w:after="0" w:line="240" w:lineRule="auto"/>
      <w:widowControl w:val="off"/>
    </w:pPr>
    <w:rPr>
      <w:rFonts w:ascii="Arial" w:hAnsi="Arial" w:eastAsia="Times New Roman" w:cs="Arial"/>
      <w:sz w:val="24"/>
      <w:szCs w:val="20"/>
      <w:lang w:eastAsia="ru-RU"/>
    </w:rPr>
  </w:style>
  <w:style w:type="table" w:styleId="905" w:customStyle="1">
    <w:name w:val="Сетка таблицы1"/>
    <w:basedOn w:val="693"/>
    <w:next w:val="906"/>
    <w:uiPriority w:val="59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06">
    <w:name w:val="Table Grid"/>
    <w:basedOn w:val="693"/>
    <w:uiPriority w:val="59"/>
    <w:pPr>
      <w:spacing w:after="0" w:line="240" w:lineRule="auto"/>
    </w:pPr>
    <w:rPr>
      <w:rFonts w:ascii="Times New Roman" w:hAnsi="Times New Roman" w:eastAsia="Times New Roman" w:cs="Times New Roman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07" w:customStyle="1">
    <w:name w:val="Сетка таблицы2"/>
    <w:basedOn w:val="693"/>
    <w:next w:val="906"/>
    <w:uiPriority w:val="59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08" w:customStyle="1">
    <w:name w:val="Сетка таблицы3"/>
    <w:basedOn w:val="693"/>
    <w:next w:val="906"/>
    <w:uiPriority w:val="59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09" w:customStyle="1">
    <w:name w:val="Сетка таблицы4"/>
    <w:basedOn w:val="693"/>
    <w:next w:val="906"/>
    <w:uiPriority w:val="59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910" w:customStyle="1">
    <w:name w:val="fontstyle01"/>
    <w:basedOn w:val="692"/>
    <w:rPr>
      <w:rFonts w:hint="default" w:ascii="TimesNewRomanPSMT" w:hAnsi="TimesNewRomanPSMT"/>
      <w:b w:val="0"/>
      <w:bCs w:val="0"/>
      <w:i w:val="0"/>
      <w:iCs w:val="0"/>
      <w:color w:val="000000"/>
      <w:sz w:val="20"/>
      <w:szCs w:val="20"/>
    </w:rPr>
  </w:style>
  <w:style w:type="paragraph" w:styleId="911" w:customStyle="1">
    <w:name w:val="Table Paragraph"/>
    <w:basedOn w:val="682"/>
    <w:uiPriority w:val="1"/>
    <w:qFormat/>
    <w:pPr>
      <w:ind w:left="60"/>
      <w:jc w:val="center"/>
      <w:spacing w:line="211" w:lineRule="exact"/>
      <w:widowControl w:val="off"/>
    </w:pPr>
    <w:rPr>
      <w:color w:val="auto"/>
      <w:sz w:val="22"/>
      <w:szCs w:val="22"/>
      <w:lang w:eastAsia="en-US"/>
    </w:rPr>
  </w:style>
  <w:style w:type="paragraph" w:styleId="912" w:customStyle="1">
    <w:name w:val="Прижатый влево"/>
    <w:basedOn w:val="682"/>
    <w:next w:val="682"/>
    <w:rPr>
      <w:rFonts w:ascii="Arial" w:hAnsi="Arial" w:cs="Arial"/>
      <w:color w:val="auto"/>
      <w:lang w:eastAsia="zh-CN"/>
    </w:rPr>
  </w:style>
  <w:style w:type="table" w:styleId="913" w:customStyle="1">
    <w:name w:val="Table Normal"/>
    <w:uiPriority w:val="2"/>
    <w:semiHidden/>
    <w:unhideWhenUsed/>
    <w:qFormat/>
    <w:pPr>
      <w:spacing w:after="0" w:line="240" w:lineRule="auto"/>
      <w:widowControl w:val="off"/>
    </w:pPr>
    <w:rPr>
      <w:lang w:val="en-US"/>
    </w:rPr>
    <w:tblPr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paragraph" w:styleId="914">
    <w:name w:val="Body Text"/>
    <w:basedOn w:val="682"/>
    <w:link w:val="915"/>
    <w:uiPriority w:val="99"/>
    <w:semiHidden/>
    <w:unhideWhenUsed/>
    <w:pPr>
      <w:spacing w:after="120"/>
    </w:pPr>
  </w:style>
  <w:style w:type="character" w:styleId="915" w:customStyle="1">
    <w:name w:val="Основной текст Знак"/>
    <w:basedOn w:val="692"/>
    <w:link w:val="914"/>
    <w:uiPriority w:val="99"/>
    <w:semiHidden/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FCA1D4-CD2C-45DC-9D32-6741B5B4C1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Пахтусова Светлана Юрьевна</dc:creator>
  <cp:revision>34</cp:revision>
  <dcterms:created xsi:type="dcterms:W3CDTF">2025-11-19T14:04:00Z</dcterms:created>
  <dcterms:modified xsi:type="dcterms:W3CDTF">2026-06-20T11:58:26Z</dcterms:modified>
</cp:coreProperties>
</file>