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2718148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4.03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  <w:t xml:space="preserve">от 25.05.2026</w:t>
      </w:r>
      <w:r>
        <w:rPr>
          <w:b/>
          <w:sz w:val="24"/>
        </w:rPr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                  № </w:t>
      </w:r>
      <w:r>
        <w:rPr>
          <w:b/>
          <w:sz w:val="24"/>
        </w:rPr>
        <w:t xml:space="preserve">931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4"/>
        </w:rPr>
      </w:pPr>
      <w:r>
        <w:rPr>
          <w:b/>
          <w:sz w:val="24"/>
        </w:rPr>
        <w:t xml:space="preserve">п.г.т. Никель 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муниципальную программу Печенгского муниципального округа «Молодежная политика и взаимодействие с общественными организациями в Печенгском муниципальном округе» </w:t>
      </w:r>
      <w:r>
        <w:rPr>
          <w:b/>
        </w:rPr>
        <w:br/>
        <w:t xml:space="preserve">на 2026 - 2028 годы, утвержденную постановлением администрации Печенгского муниципального округа </w:t>
      </w:r>
      <w:r>
        <w:rPr>
          <w:b/>
        </w:rPr>
        <w:br/>
        <w:t xml:space="preserve">от 12.11.2025 № 1843 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Руководствуясь статьей 179 Бюджетного кодекса Российской Федерации, Порядком разработки,</w:t>
      </w:r>
      <w:r>
        <w:rPr>
          <w:rFonts w:eastAsia="Times New Roman"/>
          <w:sz w:val="24"/>
          <w:szCs w:val="24"/>
        </w:rPr>
        <w:t xml:space="preserve">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18.09.2025 № 1488, в целях повышения эффективности использования бюджетных средств,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709" w:leader="none"/>
          <w:tab w:val="left" w:pos="9900" w:leader="none"/>
        </w:tabs>
        <w:rPr>
          <w:b/>
          <w:sz w:val="24"/>
          <w:szCs w:val="24"/>
        </w:rPr>
      </w:pPr>
      <w:r>
        <w:rPr>
          <w:sz w:val="24"/>
          <w:szCs w:val="24"/>
        </w:rPr>
        <w:t xml:space="preserve">1. </w:t>
      </w:r>
      <w:r>
        <w:rPr>
          <w:sz w:val="24"/>
          <w:szCs w:val="24"/>
        </w:rPr>
        <w:t xml:space="preserve">М</w:t>
      </w:r>
      <w:r>
        <w:rPr>
          <w:sz w:val="24"/>
          <w:szCs w:val="24"/>
        </w:rPr>
        <w:t xml:space="preserve">униципальную программу Печенгского муниципального округа «Молодежная политика и взаимодействие с общественными организациями в Печенгском муниципальном округе</w:t>
      </w:r>
      <w:r>
        <w:rPr>
          <w:bCs/>
          <w:sz w:val="24"/>
          <w:szCs w:val="24"/>
        </w:rPr>
        <w:t xml:space="preserve">» на 2026 - 2028 годы, </w:t>
      </w:r>
      <w:r>
        <w:rPr>
          <w:sz w:val="24"/>
          <w:szCs w:val="24"/>
        </w:rPr>
        <w:t xml:space="preserve">утвержденную постановлением администрации Печенгского муниципального округа от 12.11.2025 № 1843 </w:t>
      </w:r>
      <w:r>
        <w:rPr>
          <w:rFonts w:eastAsia="Times New Roman"/>
          <w:bCs/>
          <w:sz w:val="24"/>
          <w:szCs w:val="24"/>
        </w:rPr>
        <w:t xml:space="preserve">(в редакции постановления администрации Печенгс</w:t>
      </w:r>
      <w:r>
        <w:rPr>
          <w:rFonts w:eastAsia="Times New Roman"/>
          <w:bCs/>
          <w:sz w:val="24"/>
          <w:szCs w:val="24"/>
        </w:rPr>
        <w:t xml:space="preserve">кого муниципального округа от 08.04.2026 № 551</w:t>
      </w:r>
      <w:r>
        <w:rPr>
          <w:rFonts w:eastAsia="Times New Roman"/>
          <w:bCs/>
          <w:sz w:val="24"/>
          <w:szCs w:val="24"/>
        </w:rPr>
        <w:t xml:space="preserve">) </w:t>
      </w:r>
      <w:r>
        <w:rPr>
          <w:rFonts w:eastAsia="Times New Roman"/>
          <w:bCs/>
          <w:sz w:val="24"/>
          <w:szCs w:val="24"/>
        </w:rPr>
        <w:t xml:space="preserve">(далее – Программа)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изложить в редакции согласно приложению к настоящему постановлению.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918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2. Настоящее постановление вступает в силу после его подписания.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918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     А.С. 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t xml:space="preserve">Зубкова Н.А., 5-27-25</w:t>
      </w:r>
      <w:r/>
    </w:p>
    <w:p>
      <w:pPr>
        <w:jc w:val="both"/>
        <w:widowControl w:val="off"/>
        <w:sectPr>
          <w:footnotePr/>
          <w:endnotePr/>
          <w:type w:val="nextPage"/>
          <w:pgSz w:w="11906" w:h="16838" w:orient="portrait"/>
          <w:pgMar w:top="1135" w:right="566" w:bottom="396" w:left="1701" w:header="709" w:footer="709" w:gutter="0"/>
          <w:cols w:num="1" w:sep="0" w:space="708" w:equalWidth="1"/>
          <w:docGrid w:linePitch="360"/>
        </w:sectPr>
      </w:pPr>
      <w:r/>
      <w:r/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rFonts w:eastAsia="Times New Roman"/>
          <w:b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 xml:space="preserve">Приложение</w:t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к постановлению администрации Печенгского муниципального округа 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от 25.05.2026 № 931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rFonts w:eastAsia="Times New Roman"/>
          <w:b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 xml:space="preserve">«Приложение</w:t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к постановлению администрации Печенгского муниципального округа 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от 12.11.2025 № 1843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  <w:outlineLvl w:val="1"/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  <w:outlineLvl w:val="1"/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  <w:outlineLvl w:val="1"/>
      </w:pPr>
      <w:r>
        <w:rPr>
          <w:b/>
          <w:sz w:val="24"/>
          <w:szCs w:val="24"/>
        </w:rPr>
        <w:t xml:space="preserve">МУНИЦИПАЛЬНАЯ ПРОГРАММА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  <w:outlineLvl w:val="1"/>
      </w:pPr>
      <w:r>
        <w:rPr>
          <w:b/>
          <w:sz w:val="24"/>
          <w:szCs w:val="24"/>
        </w:rPr>
        <w:t xml:space="preserve">Печенгского муниципального округа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  <w:outlineLvl w:val="1"/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«Молодежная политика и взаимодействие с общественными организациями в Печенгском муниципальном округе»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  <w:r>
        <w:rPr>
          <w:rFonts w:eastAsia="Times New Roman"/>
          <w:sz w:val="28"/>
          <w:szCs w:val="28"/>
        </w:rPr>
      </w:r>
      <w:r>
        <w:rPr>
          <w:rFonts w:eastAsia="Times New Roman"/>
          <w:sz w:val="28"/>
          <w:szCs w:val="28"/>
        </w:rPr>
      </w:r>
    </w:p>
    <w:p>
      <w:pPr>
        <w:widowControl w:val="off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Срок реализации: 2026 - 2028 годы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  <w:szCs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  <w:szCs w:val="24"/>
        </w:rPr>
      </w:r>
    </w:p>
    <w:p>
      <w:pPr>
        <w:widowControl w:val="off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widowControl w:val="off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widowControl w:val="off"/>
        <w:rPr>
          <w:rFonts w:eastAsia="Times New Roman"/>
          <w:sz w:val="24"/>
          <w:szCs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  <w:r>
        <w:rPr>
          <w:rFonts w:eastAsia="Times New Roman"/>
          <w:sz w:val="28"/>
          <w:szCs w:val="28"/>
        </w:rPr>
      </w:r>
      <w:r>
        <w:rPr>
          <w:rFonts w:eastAsia="Times New Roman"/>
          <w:sz w:val="28"/>
          <w:szCs w:val="28"/>
        </w:rPr>
      </w:r>
    </w:p>
    <w:p>
      <w:pPr>
        <w:widowControl w:val="off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Ответственный исполнитель муниципальной программы – </w:t>
      </w:r>
      <w:r>
        <w:rPr>
          <w:rFonts w:eastAsia="Times New Roman"/>
          <w:b/>
          <w:sz w:val="24"/>
          <w:szCs w:val="24"/>
        </w:rPr>
        <w:t xml:space="preserve">Отдел культуры, спорта и молодежной политики администрации Печенгского муниципального округа</w:t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widowControl w:val="off"/>
        <w:rPr>
          <w:rFonts w:eastAsia="Times New Roman"/>
          <w:b/>
          <w:sz w:val="24"/>
        </w:rPr>
      </w:pPr>
      <w:r/>
      <w:bookmarkStart w:id="0" w:name="P366"/>
      <w:r/>
      <w:bookmarkEnd w:id="0"/>
      <w:r>
        <w:rPr>
          <w:rFonts w:eastAsia="Times New Roman"/>
          <w:b/>
          <w:sz w:val="24"/>
        </w:rPr>
        <w:t xml:space="preserve">ПАСПОРТ</w:t>
      </w:r>
      <w:r>
        <w:rPr>
          <w:rFonts w:eastAsia="Times New Roman"/>
          <w:b/>
          <w:sz w:val="24"/>
        </w:rPr>
      </w:r>
      <w:r>
        <w:rPr>
          <w:rFonts w:eastAsia="Times New Roman"/>
          <w:b/>
          <w:sz w:val="24"/>
        </w:rPr>
      </w:r>
    </w:p>
    <w:p>
      <w:pPr>
        <w:jc w:val="center"/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муниципальной программы Печенгского муниципального округа</w:t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jc w:val="both"/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jc w:val="center"/>
        <w:widowControl w:val="off"/>
        <w:rPr>
          <w:rFonts w:eastAsia="Times New Roman"/>
          <w:b/>
          <w:sz w:val="24"/>
        </w:rPr>
      </w:pPr>
      <w:r>
        <w:rPr>
          <w:rFonts w:eastAsia="Times New Roman"/>
          <w:b/>
          <w:sz w:val="24"/>
        </w:rPr>
        <w:t xml:space="preserve">«Молодежная политика и взаимодействие с общественными организациями</w:t>
      </w:r>
      <w:r>
        <w:rPr>
          <w:rFonts w:eastAsia="Times New Roman"/>
          <w:b/>
          <w:sz w:val="24"/>
        </w:rPr>
      </w:r>
      <w:r>
        <w:rPr>
          <w:rFonts w:eastAsia="Times New Roman"/>
          <w:b/>
          <w:sz w:val="24"/>
        </w:rPr>
      </w:r>
    </w:p>
    <w:p>
      <w:pPr>
        <w:jc w:val="center"/>
        <w:widowControl w:val="off"/>
        <w:rPr>
          <w:rFonts w:eastAsia="Times New Roman"/>
          <w:b/>
          <w:sz w:val="24"/>
        </w:rPr>
      </w:pPr>
      <w:r>
        <w:rPr>
          <w:rFonts w:eastAsia="Times New Roman"/>
          <w:b/>
          <w:sz w:val="24"/>
        </w:rPr>
        <w:t xml:space="preserve">в Печенгском муниципальном округе»</w:t>
      </w:r>
      <w:r>
        <w:rPr>
          <w:rFonts w:eastAsia="Times New Roman"/>
          <w:b/>
          <w:sz w:val="24"/>
        </w:rPr>
      </w:r>
      <w:r>
        <w:rPr>
          <w:rFonts w:eastAsia="Times New Roman"/>
          <w:b/>
          <w:sz w:val="24"/>
        </w:rPr>
      </w:r>
    </w:p>
    <w:p>
      <w:pPr>
        <w:jc w:val="center"/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tbl>
      <w:tblPr>
        <w:tblW w:w="9823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10"/>
        <w:gridCol w:w="7513"/>
      </w:tblGrid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Цель муниципальной программы</w:t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13" w:type="dxa"/>
            <w:textDirection w:val="lrTb"/>
            <w:noWrap w:val="false"/>
          </w:tcPr>
          <w:p>
            <w:pPr>
              <w:pStyle w:val="918"/>
              <w:ind w:left="0"/>
              <w:jc w:val="both"/>
              <w:widowControl w:val="off"/>
              <w:tabs>
                <w:tab w:val="left" w:pos="300" w:leader="none"/>
              </w:tabs>
              <w:rPr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</w:rPr>
              <w:t xml:space="preserve">Создание условий и возможностей для успешной социализации и эффективной самореализации молодых людей, а также развитие потенциала молодежи в интересах Печенгского муниципального округа</w:t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</w:tr>
      <w:tr>
        <w:tblPrEx/>
        <w:trPr>
          <w:jc w:val="center"/>
          <w:trHeight w:val="82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Перечень направлений (подпрограмм)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513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left" w:pos="25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Сроки и этапы реализации муниципальной программы</w:t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13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2026 - 2028 годы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Финансовое обеспечение муниципальной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13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Всего по программе:</w:t>
            </w:r>
            <w:r>
              <w:t xml:space="preserve"> </w:t>
            </w:r>
            <w:r>
              <w:rPr>
                <w:b/>
                <w:sz w:val="24"/>
                <w:szCs w:val="24"/>
              </w:rPr>
              <w:t xml:space="preserve">104 242 800,00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рублей,</w:t>
            </w:r>
            <w:r>
              <w:rPr>
                <w:sz w:val="24"/>
                <w:szCs w:val="24"/>
              </w:rPr>
              <w:t xml:space="preserve"> в том числе: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МБ: 104 242 800,00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34 547 600,00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35 347 600,00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2028 год: 34 347 600,00 рублей;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ОБ: 0,00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0,00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0,00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2028 год: 0,00 рублей;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ФБ: 0,00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0,00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0,00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2028 год:</w:t>
            </w:r>
            <w:r>
              <w:t xml:space="preserve"> </w:t>
            </w:r>
            <w:r>
              <w:rPr>
                <w:sz w:val="24"/>
                <w:szCs w:val="24"/>
              </w:rPr>
              <w:t xml:space="preserve">0,00 рублей;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ВБС: 0,00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0,00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0,00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2028 год: 0,00 рублей.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163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Ожидаемые  конечные результаты реализации муниципальной программы</w:t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13" w:type="dxa"/>
            <w:textDirection w:val="lrTb"/>
            <w:noWrap w:val="false"/>
          </w:tcPr>
          <w:p>
            <w:pPr>
              <w:pStyle w:val="923"/>
              <w:jc w:val="both"/>
              <w:tabs>
                <w:tab w:val="left" w:pos="350" w:leader="none"/>
              </w:tabs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Ожидаемые результаты к 2029 году: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923"/>
              <w:jc w:val="both"/>
              <w:tabs>
                <w:tab w:val="left" w:pos="350" w:leader="none"/>
              </w:tabs>
              <w:rPr>
                <w:rFonts w:ascii="Times New Roman" w:hAnsi="Times New Roman" w:eastAsia="Times New Roman"/>
                <w:sz w:val="24"/>
                <w:lang w:eastAsia="ru-RU"/>
              </w:rPr>
            </w:pPr>
            <w:r>
              <w:rPr>
                <w:rFonts w:ascii="Times New Roman" w:hAnsi="Times New Roman"/>
                <w:sz w:val="24"/>
              </w:rPr>
              <w:t xml:space="preserve">- увеличение д</w:t>
            </w:r>
            <w:r>
              <w:rPr>
                <w:rFonts w:ascii="Times New Roman" w:hAnsi="Times New Roman" w:eastAsia="Times New Roman"/>
                <w:sz w:val="24"/>
                <w:lang w:eastAsia="ru-RU"/>
              </w:rPr>
              <w:t xml:space="preserve">оли молодых граждан, принявших участие в мероприятиях в сфере молодежной политики, от общего числа молодежи Печенгского муниципального округа до 43 %;</w:t>
            </w:r>
            <w:r>
              <w:rPr>
                <w:rFonts w:ascii="Times New Roman" w:hAnsi="Times New Roman" w:eastAsia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lang w:eastAsia="ru-RU"/>
              </w:rPr>
            </w:r>
          </w:p>
          <w:p>
            <w:pPr>
              <w:pStyle w:val="923"/>
              <w:jc w:val="both"/>
              <w:tabs>
                <w:tab w:val="left" w:pos="350" w:leader="none"/>
              </w:tabs>
              <w:rPr>
                <w:rFonts w:ascii="Times New Roman" w:hAnsi="Times New Roman" w:eastAsia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lang w:eastAsia="ru-RU"/>
              </w:rPr>
              <w:t xml:space="preserve">- количество</w:t>
            </w:r>
            <w:r>
              <w:rPr>
                <w:sz w:val="24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lang w:eastAsia="ru-RU"/>
              </w:rPr>
              <w:t xml:space="preserve">талантливых и одаренных детей и молодежи, получающих премию Главы Печенгского муниципального округа – 50 человек ежегодно;</w:t>
            </w:r>
            <w:r>
              <w:rPr>
                <w:rFonts w:ascii="Times New Roman" w:hAnsi="Times New Roman" w:eastAsia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lang w:eastAsia="ru-RU"/>
              </w:rPr>
            </w:r>
          </w:p>
          <w:p>
            <w:pPr>
              <w:pStyle w:val="923"/>
              <w:jc w:val="both"/>
              <w:tabs>
                <w:tab w:val="left" w:pos="350" w:leader="none"/>
              </w:tabs>
              <w:rPr>
                <w:rFonts w:ascii="Times New Roman" w:hAnsi="Times New Roman" w:eastAsia="Times New Roman"/>
                <w:color w:val="000000" w:themeColor="text1"/>
                <w:sz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lang w:eastAsia="ru-RU"/>
              </w:rPr>
              <w:t xml:space="preserve">- увеличение к</w:t>
            </w:r>
            <w:r>
              <w:rPr>
                <w:rFonts w:ascii="Times New Roman" w:hAnsi="Times New Roman" w:eastAsia="Times New Roman"/>
                <w:color w:val="000000" w:themeColor="text1"/>
                <w:sz w:val="24"/>
                <w:lang w:eastAsia="ru-RU"/>
              </w:rPr>
              <w:t xml:space="preserve">оличества проведенных мероприятий в рамках приоритетных направлений молодежной политики до 214 шт.;</w:t>
            </w:r>
            <w:r>
              <w:rPr>
                <w:rFonts w:ascii="Times New Roman" w:hAnsi="Times New Roman" w:eastAsia="Times New Roman"/>
                <w:color w:val="000000" w:themeColor="text1"/>
                <w:sz w:val="24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4"/>
                <w:lang w:eastAsia="ru-RU"/>
              </w:rPr>
            </w:r>
          </w:p>
          <w:p>
            <w:pPr>
              <w:pStyle w:val="923"/>
              <w:jc w:val="both"/>
              <w:tabs>
                <w:tab w:val="left" w:pos="350" w:leader="none"/>
              </w:tabs>
              <w:rPr>
                <w:rFonts w:ascii="Times New Roman" w:hAnsi="Times New Roman" w:eastAsia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4"/>
                <w:lang w:eastAsia="ru-RU"/>
              </w:rPr>
              <w:t xml:space="preserve">- </w:t>
            </w:r>
            <w:r>
              <w:rPr>
                <w:rFonts w:ascii="Times New Roman" w:hAnsi="Times New Roman" w:eastAsia="Times New Roman"/>
                <w:sz w:val="24"/>
                <w:lang w:eastAsia="ru-RU"/>
              </w:rPr>
              <w:t xml:space="preserve">вовлечение детей и молодежи в возрасте до 35 лет в социально активную деятельность через увеличение охвата патриотическими проектами – 654 человека;</w:t>
            </w:r>
            <w:r>
              <w:rPr>
                <w:rFonts w:ascii="Times New Roman" w:hAnsi="Times New Roman" w:eastAsia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lang w:eastAsia="ru-RU"/>
              </w:rPr>
            </w:r>
          </w:p>
          <w:p>
            <w:pPr>
              <w:pStyle w:val="923"/>
              <w:jc w:val="both"/>
              <w:tabs>
                <w:tab w:val="left" w:pos="350" w:leader="none"/>
              </w:tabs>
              <w:rPr>
                <w:rFonts w:ascii="Times New Roman" w:hAnsi="Times New Roman" w:eastAsia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lang w:eastAsia="ru-RU"/>
              </w:rPr>
              <w:t xml:space="preserve">- </w:t>
            </w:r>
            <w:r>
              <w:rPr>
                <w:rFonts w:ascii="Times New Roman" w:hAnsi="Times New Roman" w:eastAsia="Times New Roman"/>
                <w:sz w:val="24"/>
                <w:lang w:eastAsia="ru-RU"/>
              </w:rPr>
              <w:t xml:space="preserve">проведение капитального ремонта фасада здания молодежного пространства;</w:t>
            </w:r>
            <w:r>
              <w:rPr>
                <w:rFonts w:ascii="Times New Roman" w:hAnsi="Times New Roman" w:eastAsia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lang w:eastAsia="ru-RU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Ответственный исполнитель муниципальной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13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Отдел культуры, спорта и молодежной политики администрации Печенгского муниципального округа (далее - отдел КСиМП) </w:t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Соисполнители муниципальной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13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КСиМП,</w:t>
            </w:r>
            <w:r>
              <w:t xml:space="preserve"> </w:t>
            </w:r>
            <w:r>
              <w:rPr>
                <w:sz w:val="24"/>
                <w:szCs w:val="24"/>
              </w:rPr>
              <w:t xml:space="preserve">отдел образования администрации Печенгского муниципального округа  (далее – отдел образования).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Связь с национальными, региональными проектами/государственными программами Мурманской области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13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нет</w:t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</w:tr>
    </w:tbl>
    <w:p>
      <w:pPr>
        <w:jc w:val="both"/>
        <w:widowControl w:val="off"/>
        <w:rPr>
          <w:b/>
          <w:highlight w:val="yellow"/>
        </w:rPr>
      </w:pPr>
      <w:r>
        <w:rPr>
          <w:b/>
          <w:highlight w:val="yellow"/>
        </w:rPr>
      </w:r>
      <w:r>
        <w:rPr>
          <w:b/>
          <w:highlight w:val="yellow"/>
        </w:rPr>
      </w:r>
      <w:r>
        <w:rPr>
          <w:b/>
          <w:highlight w:val="yellow"/>
        </w:rPr>
      </w:r>
    </w:p>
    <w:p>
      <w:pPr>
        <w:pStyle w:val="918"/>
        <w:numPr>
          <w:ilvl w:val="0"/>
          <w:numId w:val="13"/>
        </w:numPr>
        <w:ind w:left="0" w:firstLine="0"/>
        <w:jc w:val="center"/>
        <w:tabs>
          <w:tab w:val="left" w:pos="993" w:leader="none"/>
        </w:tabs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Приоритеты и задачи муниципального управления в сфере реализации муниципальной программы «Молодежная политика и взаимодействие с общественными организациями в Печенгском муниципальном округе»</w: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tabs>
          <w:tab w:val="left" w:pos="993" w:leader="none"/>
        </w:tabs>
      </w:pPr>
      <w:r/>
      <w:r/>
    </w:p>
    <w:p>
      <w:pPr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Молодежная политика является одним из приоритетных направлений государственной</w:t>
      </w:r>
      <w:r>
        <w:rPr>
          <w:rFonts w:eastAsia="Times New Roman"/>
          <w:sz w:val="24"/>
          <w:szCs w:val="24"/>
        </w:rPr>
        <w:t xml:space="preserve"> политики Российской Федерации, Мурманской области, Печенгского муниципального округа, которое глубоко интегрировано в процессы развития правового государства, развития Печенгского муниципального округа, в функционирование институтов гражданского общества.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Молодёжь - это активная, творческая и амбициозная часть общества, обладающая </w:t>
      </w:r>
      <w:r>
        <w:rPr>
          <w:rFonts w:eastAsia="Times New Roman"/>
          <w:sz w:val="24"/>
          <w:szCs w:val="24"/>
        </w:rPr>
        <w:t xml:space="preserve">огромным потенциалом для внесения положительных изменений в различные сферы жизни. Развитие молодежных пространств способствует развитию инноваций, укреплению гражданского общества и формированию новых профессиональных и социальных навыков у молодых людей.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rPr>
          <w:rFonts w:eastAsia="SimSun"/>
          <w:color w:val="000000"/>
          <w:sz w:val="24"/>
          <w:szCs w:val="24"/>
          <w:lang w:eastAsia="zh-CN" w:bidi="hi-IN"/>
        </w:rPr>
      </w:pPr>
      <w:r>
        <w:rPr>
          <w:rFonts w:eastAsia="SimSun"/>
          <w:color w:val="000000"/>
          <w:sz w:val="24"/>
          <w:szCs w:val="24"/>
          <w:lang w:eastAsia="zh-CN" w:bidi="hi-IN"/>
        </w:rPr>
        <w:t xml:space="preserve">Приоритеты муниципального управления в сфере реализации муниципальной программы «Молодежная политика» (далее – Программа) определены исходя из положений:</w:t>
      </w:r>
      <w:r>
        <w:rPr>
          <w:rFonts w:eastAsia="SimSun"/>
          <w:color w:val="000000"/>
          <w:sz w:val="24"/>
          <w:szCs w:val="24"/>
          <w:lang w:eastAsia="zh-CN" w:bidi="hi-IN"/>
        </w:rPr>
      </w:r>
      <w:r>
        <w:rPr>
          <w:rFonts w:eastAsia="SimSun"/>
          <w:color w:val="000000"/>
          <w:sz w:val="24"/>
          <w:szCs w:val="24"/>
          <w:lang w:eastAsia="zh-CN" w:bidi="hi-IN"/>
        </w:rPr>
      </w:r>
    </w:p>
    <w:p>
      <w:pPr>
        <w:ind w:firstLine="709"/>
        <w:jc w:val="both"/>
        <w:tabs>
          <w:tab w:val="left" w:pos="1134" w:leader="none"/>
        </w:tabs>
        <w:rPr>
          <w:rFonts w:eastAsia="SimSun"/>
          <w:color w:val="000000"/>
          <w:sz w:val="24"/>
          <w:szCs w:val="24"/>
          <w:lang w:eastAsia="zh-CN" w:bidi="hi-IN"/>
        </w:rPr>
      </w:pPr>
      <w:r>
        <w:rPr>
          <w:rFonts w:eastAsia="SimSun"/>
          <w:color w:val="000000"/>
          <w:sz w:val="24"/>
          <w:szCs w:val="24"/>
          <w:lang w:eastAsia="zh-CN" w:bidi="hi-IN"/>
        </w:rPr>
        <w:t xml:space="preserve">-</w:t>
      </w:r>
      <w:r>
        <w:rPr>
          <w:rFonts w:eastAsia="SimSun"/>
          <w:color w:val="000000"/>
          <w:sz w:val="24"/>
          <w:szCs w:val="24"/>
          <w:lang w:eastAsia="zh-CN" w:bidi="hi-IN"/>
        </w:rPr>
        <w:t xml:space="preserve"> Указа Президента Российской Федерации от 7 мая 2024 года № 309 </w:t>
      </w:r>
      <w:r>
        <w:rPr>
          <w:rFonts w:eastAsia="SimSun"/>
          <w:color w:val="000000"/>
          <w:sz w:val="24"/>
          <w:szCs w:val="24"/>
          <w:lang w:eastAsia="zh-CN" w:bidi="hi-IN"/>
        </w:rPr>
        <w:br/>
        <w:t xml:space="preserve">«О национальных целях развития Российской Федерации на период до 2030 года и на перспективу до 2036 года»;</w:t>
      </w:r>
      <w:r>
        <w:rPr>
          <w:rFonts w:eastAsia="SimSun"/>
          <w:color w:val="000000"/>
          <w:sz w:val="24"/>
          <w:szCs w:val="24"/>
          <w:lang w:eastAsia="zh-CN" w:bidi="hi-IN"/>
        </w:rPr>
      </w:r>
      <w:r>
        <w:rPr>
          <w:rFonts w:eastAsia="SimSun"/>
          <w:color w:val="000000"/>
          <w:sz w:val="24"/>
          <w:szCs w:val="24"/>
          <w:lang w:eastAsia="zh-CN" w:bidi="hi-IN"/>
        </w:rPr>
      </w:r>
    </w:p>
    <w:p>
      <w:pPr>
        <w:ind w:firstLine="709"/>
        <w:jc w:val="both"/>
        <w:tabs>
          <w:tab w:val="left" w:pos="1134" w:leader="none"/>
        </w:tabs>
        <w:rPr>
          <w:rFonts w:eastAsia="SimSun"/>
          <w:color w:val="000000"/>
          <w:sz w:val="24"/>
          <w:szCs w:val="24"/>
          <w:lang w:eastAsia="zh-CN" w:bidi="hi-IN"/>
        </w:rPr>
      </w:pPr>
      <w:r>
        <w:rPr>
          <w:rFonts w:eastAsia="SimSun"/>
          <w:color w:val="000000"/>
          <w:sz w:val="24"/>
          <w:szCs w:val="24"/>
          <w:lang w:eastAsia="zh-CN" w:bidi="hi-IN"/>
        </w:rPr>
        <w:t xml:space="preserve">-</w:t>
      </w:r>
      <w:r>
        <w:rPr>
          <w:rFonts w:eastAsia="SimSun"/>
          <w:color w:val="000000"/>
          <w:sz w:val="24"/>
          <w:szCs w:val="24"/>
          <w:lang w:eastAsia="zh-CN" w:bidi="hi-IN"/>
        </w:rPr>
        <w:t xml:space="preserve"> Стратегии реализации молодежной политики в Российской Федерации на период до 2030 года, утвержденной распоряжением Правительства Российской Федерации </w:t>
        <w:br/>
        <w:t xml:space="preserve">от 17 августа 2024 г. № 2233-р;</w:t>
      </w:r>
      <w:r>
        <w:rPr>
          <w:rFonts w:eastAsia="SimSun"/>
          <w:color w:val="000000"/>
          <w:sz w:val="24"/>
          <w:szCs w:val="24"/>
          <w:lang w:eastAsia="zh-CN" w:bidi="hi-IN"/>
        </w:rPr>
      </w:r>
      <w:r>
        <w:rPr>
          <w:rFonts w:eastAsia="SimSun"/>
          <w:color w:val="000000"/>
          <w:sz w:val="24"/>
          <w:szCs w:val="24"/>
          <w:lang w:eastAsia="zh-CN" w:bidi="hi-IN"/>
        </w:rPr>
      </w:r>
    </w:p>
    <w:p>
      <w:pPr>
        <w:ind w:firstLine="709"/>
        <w:jc w:val="both"/>
        <w:tabs>
          <w:tab w:val="left" w:pos="1134" w:leader="none"/>
        </w:tabs>
        <w:rPr>
          <w:rFonts w:eastAsia="Times New Roman"/>
          <w:sz w:val="24"/>
          <w:szCs w:val="24"/>
        </w:rPr>
      </w:pPr>
      <w:r>
        <w:rPr>
          <w:rFonts w:eastAsia="SimSun"/>
          <w:color w:val="000000"/>
          <w:sz w:val="24"/>
          <w:szCs w:val="24"/>
          <w:lang w:eastAsia="zh-CN" w:bidi="hi-IN"/>
        </w:rPr>
        <w:t xml:space="preserve">-</w:t>
      </w:r>
      <w:r>
        <w:rPr>
          <w:rFonts w:eastAsia="SimSun"/>
          <w:color w:val="000000"/>
          <w:sz w:val="24"/>
          <w:szCs w:val="24"/>
          <w:lang w:eastAsia="zh-CN" w:bidi="hi-IN"/>
        </w:rPr>
        <w:t xml:space="preserve"> других федеральных, региональных </w:t>
      </w:r>
      <w:r>
        <w:rPr>
          <w:rFonts w:eastAsia="Times New Roman"/>
          <w:sz w:val="24"/>
          <w:szCs w:val="24"/>
        </w:rPr>
        <w:t xml:space="preserve">нормативных правовых актов органов исполнительной власти, касающихся управления в сфере молодежной политики и реализации конституционных прав и свобод молодых граждан, их законных интересов.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tabs>
          <w:tab w:val="left" w:pos="1134" w:leader="none"/>
        </w:tabs>
        <w:rPr>
          <w:rFonts w:eastAsia="SimSun"/>
          <w:color w:val="000000"/>
          <w:sz w:val="24"/>
          <w:szCs w:val="24"/>
          <w:lang w:eastAsia="zh-CN" w:bidi="hi-IN"/>
        </w:rPr>
      </w:pPr>
      <w:r>
        <w:rPr>
          <w:sz w:val="24"/>
          <w:szCs w:val="24"/>
        </w:rPr>
        <w:t xml:space="preserve">Основным </w:t>
      </w:r>
      <w:r>
        <w:rPr>
          <w:rFonts w:eastAsia="SimSun"/>
          <w:color w:val="000000"/>
          <w:sz w:val="24"/>
          <w:szCs w:val="24"/>
          <w:lang w:eastAsia="zh-CN" w:bidi="hi-IN"/>
        </w:rPr>
        <w:t xml:space="preserve">стратегическим приоритетом в сфере молодежной политики в Печенгском муниципальном округе является становление и развитие </w:t>
      </w:r>
      <w:r>
        <w:rPr>
          <w:rFonts w:eastAsia="SimSun"/>
          <w:color w:val="000000"/>
          <w:sz w:val="24"/>
          <w:szCs w:val="24"/>
          <w:lang w:eastAsia="zh-CN" w:bidi="hi-IN"/>
        </w:rPr>
        <w:t xml:space="preserve">патриотически настроенного, высоконравственного и ответственного поколения российских граждан, способного обеспечить суверенитет, конкурентоспособность и дальнейшее развитие Печенгского муниципального округа, соблюдение прав, свобод и законных интересов мо</w:t>
      </w:r>
      <w:r>
        <w:rPr>
          <w:rFonts w:eastAsia="SimSun"/>
          <w:color w:val="000000"/>
          <w:sz w:val="24"/>
          <w:szCs w:val="24"/>
          <w:lang w:eastAsia="zh-CN" w:bidi="hi-IN"/>
        </w:rPr>
        <w:t xml:space="preserve">лодых граждан, улучшение социально-экономического положения молодежи, активное ее привлечение к участию в муниципальном управлении и развитии современного российского общества, учитывающей его актуальные потребности, вызовы и угрозы, стоящие перед страной.</w:t>
      </w:r>
      <w:r>
        <w:rPr>
          <w:rFonts w:eastAsia="SimSun"/>
          <w:color w:val="000000"/>
          <w:sz w:val="24"/>
          <w:szCs w:val="24"/>
          <w:lang w:eastAsia="zh-CN" w:bidi="hi-IN"/>
        </w:rPr>
      </w:r>
      <w:r>
        <w:rPr>
          <w:rFonts w:eastAsia="SimSun"/>
          <w:color w:val="000000"/>
          <w:sz w:val="24"/>
          <w:szCs w:val="24"/>
          <w:lang w:eastAsia="zh-CN" w:bidi="hi-IN"/>
        </w:rPr>
      </w:r>
    </w:p>
    <w:p>
      <w:pPr>
        <w:ind w:firstLine="709"/>
        <w:jc w:val="both"/>
        <w:tabs>
          <w:tab w:val="left" w:pos="1134" w:leader="none"/>
        </w:tabs>
        <w:rPr>
          <w:rFonts w:eastAsia="Times New Roman"/>
          <w:bCs/>
          <w:sz w:val="24"/>
          <w:szCs w:val="24"/>
        </w:rPr>
      </w:pPr>
      <w:r>
        <w:rPr>
          <w:rFonts w:eastAsia="SimSun"/>
          <w:color w:val="000000"/>
          <w:sz w:val="24"/>
          <w:szCs w:val="24"/>
          <w:lang w:eastAsia="zh-CN" w:bidi="hi-IN"/>
        </w:rPr>
        <w:t xml:space="preserve">В Печенгском муниципальном округе Программа </w:t>
      </w:r>
      <w:r>
        <w:rPr>
          <w:rFonts w:eastAsia="Times New Roman"/>
          <w:bCs/>
          <w:sz w:val="24"/>
          <w:szCs w:val="24"/>
        </w:rPr>
        <w:t xml:space="preserve">реализуется отделом КСиМП, отделом образования, при участии подведомственных им учреждений, молодежных и детских общественных объединений, негосударственных организаций, иных юридических и физических лиц.</w:t>
      </w: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</w:p>
    <w:p>
      <w:pPr>
        <w:ind w:firstLine="709"/>
        <w:jc w:val="both"/>
        <w:tabs>
          <w:tab w:val="left" w:pos="1134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Целью Программы является - создание условий и возможностей для успешной социализации и эффективной самореализации молодых людей, а также развитие потенциала молодежи в интересах Печенгского муниципального округа.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firstLine="709"/>
        <w:jc w:val="both"/>
        <w:tabs>
          <w:tab w:val="left" w:pos="1134" w:leader="none"/>
        </w:tabs>
        <w:rPr>
          <w:rFonts w:eastAsia="SimSun"/>
          <w:color w:val="000000"/>
          <w:sz w:val="24"/>
          <w:szCs w:val="24"/>
          <w:lang w:eastAsia="zh-CN" w:bidi="hi-IN"/>
        </w:rPr>
      </w:pPr>
      <w:r>
        <w:rPr>
          <w:rFonts w:eastAsia="SimSun"/>
          <w:color w:val="000000"/>
          <w:sz w:val="24"/>
          <w:szCs w:val="24"/>
          <w:lang w:eastAsia="zh-CN" w:bidi="hi-IN"/>
        </w:rPr>
        <w:t xml:space="preserve">Для ее достижения предполагается реализация следующих задач:</w:t>
      </w:r>
      <w:r>
        <w:rPr>
          <w:rFonts w:eastAsia="SimSun"/>
          <w:color w:val="000000"/>
          <w:sz w:val="24"/>
          <w:szCs w:val="24"/>
          <w:lang w:eastAsia="zh-CN" w:bidi="hi-IN"/>
        </w:rPr>
      </w:r>
      <w:r>
        <w:rPr>
          <w:rFonts w:eastAsia="SimSun"/>
          <w:color w:val="000000"/>
          <w:sz w:val="24"/>
          <w:szCs w:val="24"/>
          <w:lang w:eastAsia="zh-CN" w:bidi="hi-IN"/>
        </w:rPr>
      </w:r>
    </w:p>
    <w:p>
      <w:pPr>
        <w:ind w:firstLine="709"/>
        <w:jc w:val="both"/>
        <w:tabs>
          <w:tab w:val="left" w:pos="1134" w:leader="none"/>
        </w:tabs>
        <w:rPr>
          <w:rFonts w:eastAsia="SimSun"/>
          <w:color w:val="000000"/>
          <w:sz w:val="24"/>
          <w:szCs w:val="24"/>
          <w:lang w:eastAsia="zh-CN" w:bidi="hi-IN"/>
        </w:rPr>
      </w:pPr>
      <w:r>
        <w:rPr>
          <w:rFonts w:eastAsia="SimSun"/>
          <w:color w:val="000000"/>
          <w:sz w:val="24"/>
          <w:szCs w:val="24"/>
          <w:lang w:eastAsia="zh-CN" w:bidi="hi-IN"/>
        </w:rPr>
        <w:t xml:space="preserve">-</w:t>
      </w:r>
      <w:r>
        <w:rPr>
          <w:rFonts w:eastAsia="SimSun"/>
          <w:color w:val="000000"/>
          <w:sz w:val="24"/>
          <w:szCs w:val="24"/>
          <w:lang w:eastAsia="zh-CN" w:bidi="hi-IN"/>
        </w:rPr>
        <w:t xml:space="preserve"> обеспечение устойчивости молодежной среды к внешним и внутренним вызовам и угрозам;</w:t>
      </w:r>
      <w:r>
        <w:rPr>
          <w:rFonts w:eastAsia="SimSun"/>
          <w:color w:val="000000"/>
          <w:sz w:val="24"/>
          <w:szCs w:val="24"/>
          <w:lang w:eastAsia="zh-CN" w:bidi="hi-IN"/>
        </w:rPr>
      </w:r>
      <w:r>
        <w:rPr>
          <w:rFonts w:eastAsia="SimSun"/>
          <w:color w:val="000000"/>
          <w:sz w:val="24"/>
          <w:szCs w:val="24"/>
          <w:lang w:eastAsia="zh-CN" w:bidi="hi-IN"/>
        </w:rPr>
      </w:r>
    </w:p>
    <w:p>
      <w:pPr>
        <w:ind w:firstLine="709"/>
        <w:jc w:val="both"/>
        <w:tabs>
          <w:tab w:val="left" w:pos="1134" w:leader="none"/>
        </w:tabs>
        <w:rPr>
          <w:rFonts w:eastAsia="SimSun"/>
          <w:color w:val="000000"/>
          <w:sz w:val="24"/>
          <w:szCs w:val="24"/>
          <w:lang w:eastAsia="zh-CN" w:bidi="hi-IN"/>
        </w:rPr>
      </w:pPr>
      <w:r>
        <w:rPr>
          <w:rFonts w:eastAsia="SimSun"/>
          <w:color w:val="000000"/>
          <w:sz w:val="24"/>
          <w:szCs w:val="24"/>
          <w:lang w:eastAsia="zh-CN" w:bidi="hi-IN"/>
        </w:rPr>
        <w:t xml:space="preserve">-</w:t>
      </w:r>
      <w:r>
        <w:rPr>
          <w:rFonts w:eastAsia="SimSun"/>
          <w:color w:val="000000"/>
          <w:sz w:val="24"/>
          <w:szCs w:val="24"/>
          <w:lang w:eastAsia="zh-CN" w:bidi="hi-IN"/>
        </w:rPr>
        <w:t xml:space="preserve"> приобщение молодежи к историческим и культурным традициям народов России как основе для создания патриотического молодежного сообщества;</w:t>
      </w:r>
      <w:r>
        <w:rPr>
          <w:rFonts w:eastAsia="SimSun"/>
          <w:color w:val="000000"/>
          <w:sz w:val="24"/>
          <w:szCs w:val="24"/>
          <w:lang w:eastAsia="zh-CN" w:bidi="hi-IN"/>
        </w:rPr>
      </w:r>
      <w:r>
        <w:rPr>
          <w:rFonts w:eastAsia="SimSun"/>
          <w:color w:val="000000"/>
          <w:sz w:val="24"/>
          <w:szCs w:val="24"/>
          <w:lang w:eastAsia="zh-CN" w:bidi="hi-IN"/>
        </w:rPr>
      </w:r>
    </w:p>
    <w:p>
      <w:pPr>
        <w:ind w:firstLine="709"/>
        <w:jc w:val="both"/>
        <w:tabs>
          <w:tab w:val="left" w:pos="1134" w:leader="none"/>
        </w:tabs>
        <w:rPr>
          <w:rFonts w:eastAsia="SimSun"/>
          <w:color w:val="000000"/>
          <w:sz w:val="24"/>
          <w:szCs w:val="24"/>
          <w:lang w:eastAsia="zh-CN" w:bidi="hi-IN"/>
        </w:rPr>
      </w:pPr>
      <w:r>
        <w:rPr>
          <w:rFonts w:eastAsia="SimSun"/>
          <w:color w:val="000000"/>
          <w:sz w:val="24"/>
          <w:szCs w:val="24"/>
          <w:lang w:eastAsia="zh-CN" w:bidi="hi-IN"/>
        </w:rPr>
        <w:t xml:space="preserve">-</w:t>
      </w:r>
      <w:r>
        <w:rPr>
          <w:rFonts w:eastAsia="SimSun"/>
          <w:color w:val="000000"/>
          <w:sz w:val="24"/>
          <w:szCs w:val="24"/>
          <w:lang w:eastAsia="zh-CN" w:bidi="hi-IN"/>
        </w:rPr>
        <w:t xml:space="preserve"> формирование культуры здорового и активного образа жизни в молодежной среде, ответственной позиции за сохранение и укрепление собственного физического и духовного здоровья;</w:t>
      </w:r>
      <w:r>
        <w:rPr>
          <w:rFonts w:eastAsia="SimSun"/>
          <w:color w:val="000000"/>
          <w:sz w:val="24"/>
          <w:szCs w:val="24"/>
          <w:lang w:eastAsia="zh-CN" w:bidi="hi-IN"/>
        </w:rPr>
      </w:r>
      <w:r>
        <w:rPr>
          <w:rFonts w:eastAsia="SimSun"/>
          <w:color w:val="000000"/>
          <w:sz w:val="24"/>
          <w:szCs w:val="24"/>
          <w:lang w:eastAsia="zh-CN" w:bidi="hi-IN"/>
        </w:rPr>
      </w:r>
    </w:p>
    <w:p>
      <w:pPr>
        <w:ind w:firstLine="709"/>
        <w:jc w:val="both"/>
        <w:tabs>
          <w:tab w:val="left" w:pos="1134" w:leader="none"/>
        </w:tabs>
        <w:rPr>
          <w:rFonts w:eastAsia="SimSun"/>
          <w:color w:val="000000"/>
          <w:sz w:val="24"/>
          <w:szCs w:val="24"/>
          <w:lang w:eastAsia="zh-CN" w:bidi="hi-IN"/>
        </w:rPr>
      </w:pPr>
      <w:r>
        <w:rPr>
          <w:rFonts w:eastAsia="SimSun"/>
          <w:color w:val="000000"/>
          <w:sz w:val="24"/>
          <w:szCs w:val="24"/>
          <w:lang w:eastAsia="zh-CN" w:bidi="hi-IN"/>
        </w:rPr>
        <w:t xml:space="preserve">-</w:t>
      </w:r>
      <w:r>
        <w:rPr>
          <w:rFonts w:eastAsia="SimSun"/>
          <w:color w:val="000000"/>
          <w:sz w:val="24"/>
          <w:szCs w:val="24"/>
          <w:lang w:eastAsia="zh-CN" w:bidi="hi-IN"/>
        </w:rPr>
        <w:t xml:space="preserve"> создание условий для получения образования, самореализации молодежи, развитие социальных лифтов, повышение мотивации у молодых граждан к самообразованию, активному построению карьеры и занятию предпринимательской и научной деятельностью;</w:t>
      </w:r>
      <w:r>
        <w:rPr>
          <w:rFonts w:eastAsia="SimSun"/>
          <w:color w:val="000000"/>
          <w:sz w:val="24"/>
          <w:szCs w:val="24"/>
          <w:lang w:eastAsia="zh-CN" w:bidi="hi-IN"/>
        </w:rPr>
      </w:r>
      <w:r>
        <w:rPr>
          <w:rFonts w:eastAsia="SimSun"/>
          <w:color w:val="000000"/>
          <w:sz w:val="24"/>
          <w:szCs w:val="24"/>
          <w:lang w:eastAsia="zh-CN" w:bidi="hi-IN"/>
        </w:rPr>
      </w:r>
    </w:p>
    <w:p>
      <w:pPr>
        <w:ind w:firstLine="709"/>
        <w:jc w:val="both"/>
        <w:tabs>
          <w:tab w:val="left" w:pos="1134" w:leader="none"/>
        </w:tabs>
        <w:rPr>
          <w:rFonts w:eastAsia="SimSun"/>
          <w:color w:val="000000"/>
          <w:sz w:val="24"/>
          <w:szCs w:val="24"/>
          <w:lang w:eastAsia="zh-CN" w:bidi="hi-IN"/>
        </w:rPr>
      </w:pPr>
      <w:r>
        <w:rPr>
          <w:rFonts w:eastAsia="SimSun"/>
          <w:color w:val="000000"/>
          <w:sz w:val="24"/>
          <w:szCs w:val="24"/>
          <w:lang w:eastAsia="zh-CN" w:bidi="hi-IN"/>
        </w:rPr>
        <w:t xml:space="preserve">-</w:t>
      </w:r>
      <w:r>
        <w:rPr>
          <w:rFonts w:eastAsia="SimSun"/>
          <w:color w:val="000000"/>
          <w:sz w:val="24"/>
          <w:szCs w:val="24"/>
          <w:lang w:eastAsia="zh-CN" w:bidi="hi-IN"/>
        </w:rPr>
        <w:t xml:space="preserve"> предупреждение правонарушений и антиобщественных действий молодежи, повышение уровня межнационального (межэтнического) и межконфессионального согласия в молодежной среде, защита молодежи от деструктивного информационно-психологического воздействия;</w:t>
      </w:r>
      <w:r>
        <w:rPr>
          <w:rFonts w:eastAsia="SimSun"/>
          <w:color w:val="000000"/>
          <w:sz w:val="24"/>
          <w:szCs w:val="24"/>
          <w:lang w:eastAsia="zh-CN" w:bidi="hi-IN"/>
        </w:rPr>
      </w:r>
      <w:r>
        <w:rPr>
          <w:rFonts w:eastAsia="SimSun"/>
          <w:color w:val="000000"/>
          <w:sz w:val="24"/>
          <w:szCs w:val="24"/>
          <w:lang w:eastAsia="zh-CN" w:bidi="hi-IN"/>
        </w:rPr>
      </w:r>
    </w:p>
    <w:p>
      <w:pPr>
        <w:ind w:firstLine="709"/>
        <w:jc w:val="both"/>
        <w:tabs>
          <w:tab w:val="left" w:pos="1134" w:leader="none"/>
        </w:tabs>
        <w:rPr>
          <w:rFonts w:eastAsia="SimSun"/>
          <w:color w:val="000000"/>
          <w:sz w:val="24"/>
          <w:szCs w:val="24"/>
          <w:lang w:eastAsia="zh-CN" w:bidi="hi-IN"/>
        </w:rPr>
      </w:pPr>
      <w:r>
        <w:rPr>
          <w:rFonts w:eastAsia="SimSun"/>
          <w:color w:val="000000"/>
          <w:sz w:val="24"/>
          <w:szCs w:val="24"/>
          <w:lang w:eastAsia="zh-CN" w:bidi="hi-IN"/>
        </w:rPr>
        <w:t xml:space="preserve">-</w:t>
      </w:r>
      <w:r>
        <w:rPr>
          <w:rFonts w:eastAsia="SimSun"/>
          <w:color w:val="000000"/>
          <w:sz w:val="24"/>
          <w:szCs w:val="24"/>
          <w:lang w:eastAsia="zh-CN" w:bidi="hi-IN"/>
        </w:rPr>
        <w:t xml:space="preserve"> поддержка и развитие молодежных пространств, молодежных и детских общественных объединений, обеспечение молодежного участия в общественной жизни;</w:t>
      </w:r>
      <w:r>
        <w:rPr>
          <w:rFonts w:eastAsia="SimSun"/>
          <w:color w:val="000000"/>
          <w:sz w:val="24"/>
          <w:szCs w:val="24"/>
          <w:lang w:eastAsia="zh-CN" w:bidi="hi-IN"/>
        </w:rPr>
      </w:r>
      <w:r>
        <w:rPr>
          <w:rFonts w:eastAsia="SimSun"/>
          <w:color w:val="000000"/>
          <w:sz w:val="24"/>
          <w:szCs w:val="24"/>
          <w:lang w:eastAsia="zh-CN" w:bidi="hi-IN"/>
        </w:rPr>
      </w:r>
    </w:p>
    <w:p>
      <w:pPr>
        <w:ind w:firstLine="709"/>
        <w:jc w:val="both"/>
        <w:tabs>
          <w:tab w:val="left" w:pos="1134" w:leader="none"/>
        </w:tabs>
        <w:rPr>
          <w:rFonts w:eastAsia="SimSun"/>
          <w:color w:val="000000"/>
          <w:sz w:val="24"/>
          <w:szCs w:val="24"/>
          <w:lang w:eastAsia="zh-CN" w:bidi="hi-IN"/>
        </w:rPr>
      </w:pPr>
      <w:r>
        <w:rPr>
          <w:rFonts w:eastAsia="SimSun"/>
          <w:color w:val="000000"/>
          <w:sz w:val="24"/>
          <w:szCs w:val="24"/>
          <w:lang w:eastAsia="zh-CN" w:bidi="hi-IN"/>
        </w:rPr>
        <w:t xml:space="preserve">-</w:t>
      </w:r>
      <w:r>
        <w:rPr>
          <w:rFonts w:eastAsia="SimSun"/>
          <w:color w:val="000000"/>
          <w:sz w:val="24"/>
          <w:szCs w:val="24"/>
          <w:lang w:eastAsia="zh-CN" w:bidi="hi-IN"/>
        </w:rPr>
        <w:t xml:space="preserve"> популяризация изучения истории, в том числе Печенгского муниципального округа, на основе достоверных фактов и предметов, имеющих историческую и культурную ценность;</w:t>
      </w:r>
      <w:r>
        <w:rPr>
          <w:rFonts w:eastAsia="SimSun"/>
          <w:color w:val="000000"/>
          <w:sz w:val="24"/>
          <w:szCs w:val="24"/>
          <w:lang w:eastAsia="zh-CN" w:bidi="hi-IN"/>
        </w:rPr>
      </w:r>
      <w:r>
        <w:rPr>
          <w:rFonts w:eastAsia="SimSun"/>
          <w:color w:val="000000"/>
          <w:sz w:val="24"/>
          <w:szCs w:val="24"/>
          <w:lang w:eastAsia="zh-CN" w:bidi="hi-IN"/>
        </w:rPr>
      </w:r>
    </w:p>
    <w:p>
      <w:pPr>
        <w:ind w:firstLine="709"/>
        <w:jc w:val="both"/>
        <w:tabs>
          <w:tab w:val="left" w:pos="1134" w:leader="none"/>
        </w:tabs>
        <w:rPr>
          <w:rFonts w:eastAsia="SimSun"/>
          <w:color w:val="000000"/>
          <w:sz w:val="24"/>
          <w:szCs w:val="24"/>
          <w:lang w:eastAsia="zh-CN" w:bidi="hi-IN"/>
        </w:rPr>
      </w:pPr>
      <w:r>
        <w:rPr>
          <w:rFonts w:eastAsia="SimSun"/>
          <w:color w:val="000000"/>
          <w:sz w:val="24"/>
          <w:szCs w:val="24"/>
          <w:lang w:eastAsia="zh-CN" w:bidi="hi-IN"/>
        </w:rPr>
        <w:t xml:space="preserve">-</w:t>
      </w:r>
      <w:r>
        <w:rPr>
          <w:rFonts w:eastAsia="SimSun"/>
          <w:color w:val="000000"/>
          <w:sz w:val="24"/>
          <w:szCs w:val="24"/>
          <w:lang w:eastAsia="zh-CN" w:bidi="hi-IN"/>
        </w:rPr>
        <w:t xml:space="preserve"> развитие фо</w:t>
      </w:r>
      <w:r>
        <w:rPr>
          <w:rFonts w:eastAsia="SimSun"/>
          <w:color w:val="000000"/>
          <w:sz w:val="24"/>
          <w:szCs w:val="24"/>
          <w:lang w:eastAsia="zh-CN" w:bidi="hi-IN"/>
        </w:rPr>
        <w:t xml:space="preserve">рм взаимодействия в сфере воспитания детей и молодежи между общеобразовательными организациями, профессиональными образовательными организациями и социально ориентированными некоммерческими организациями, осуществляющими патриотическое воспитание молодежи;</w:t>
      </w:r>
      <w:r>
        <w:rPr>
          <w:rFonts w:eastAsia="SimSun"/>
          <w:color w:val="000000"/>
          <w:sz w:val="24"/>
          <w:szCs w:val="24"/>
          <w:lang w:eastAsia="zh-CN" w:bidi="hi-IN"/>
        </w:rPr>
      </w:r>
      <w:r>
        <w:rPr>
          <w:rFonts w:eastAsia="SimSun"/>
          <w:color w:val="000000"/>
          <w:sz w:val="24"/>
          <w:szCs w:val="24"/>
          <w:lang w:eastAsia="zh-CN" w:bidi="hi-IN"/>
        </w:rPr>
      </w:r>
    </w:p>
    <w:p>
      <w:pPr>
        <w:ind w:firstLine="709"/>
        <w:jc w:val="both"/>
        <w:tabs>
          <w:tab w:val="left" w:pos="1134" w:leader="none"/>
        </w:tabs>
        <w:rPr>
          <w:rFonts w:eastAsia="SimSun"/>
          <w:color w:val="000000"/>
          <w:sz w:val="24"/>
          <w:szCs w:val="24"/>
          <w:lang w:eastAsia="zh-CN" w:bidi="hi-IN"/>
        </w:rPr>
      </w:pPr>
      <w:r>
        <w:rPr>
          <w:rFonts w:eastAsia="SimSun"/>
          <w:color w:val="000000"/>
          <w:sz w:val="24"/>
          <w:szCs w:val="24"/>
          <w:lang w:eastAsia="zh-CN" w:bidi="hi-IN"/>
        </w:rPr>
        <w:t xml:space="preserve">-</w:t>
      </w:r>
      <w:r>
        <w:rPr>
          <w:rFonts w:eastAsia="SimSun"/>
          <w:color w:val="000000"/>
          <w:sz w:val="24"/>
          <w:szCs w:val="24"/>
          <w:lang w:eastAsia="zh-CN" w:bidi="hi-IN"/>
        </w:rPr>
        <w:t xml:space="preserve"> создание системы </w:t>
      </w:r>
      <w:r>
        <w:rPr>
          <w:rFonts w:eastAsia="SimSun"/>
          <w:color w:val="000000"/>
          <w:sz w:val="24"/>
          <w:szCs w:val="24"/>
          <w:lang w:eastAsia="zh-CN" w:bidi="hi-IN"/>
        </w:rPr>
        <w:t xml:space="preserve">поддержки молодежи и молодежных организаций, занимающихся деятельностью в области экологии, экологического просвещения и развития экологической культуры, формирования духовно-нравственного отношения молодежи к родной природе и чувства сопричастности к ней.</w:t>
      </w:r>
      <w:r>
        <w:rPr>
          <w:rFonts w:eastAsia="SimSun"/>
          <w:color w:val="000000"/>
          <w:sz w:val="24"/>
          <w:szCs w:val="24"/>
          <w:lang w:eastAsia="zh-CN" w:bidi="hi-IN"/>
        </w:rPr>
      </w:r>
      <w:r>
        <w:rPr>
          <w:rFonts w:eastAsia="SimSun"/>
          <w:color w:val="000000"/>
          <w:sz w:val="24"/>
          <w:szCs w:val="24"/>
          <w:lang w:eastAsia="zh-CN" w:bidi="hi-IN"/>
        </w:rPr>
      </w:r>
    </w:p>
    <w:p>
      <w:pPr>
        <w:ind w:firstLine="709"/>
        <w:jc w:val="both"/>
        <w:tabs>
          <w:tab w:val="left" w:pos="1134" w:leader="none"/>
        </w:tabs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 xml:space="preserve">Реализация Программы позволит создать условия для интеллектуального и физического раз</w:t>
      </w:r>
      <w:r>
        <w:rPr>
          <w:rFonts w:eastAsia="Times New Roman"/>
          <w:bCs/>
          <w:sz w:val="24"/>
          <w:szCs w:val="24"/>
        </w:rPr>
        <w:t xml:space="preserve">вития, формирования гражданской позиции, нравственной устойчивости, социальной активности, самостоятельности и экономической самодостаточности молодого поколения как стратегического ресурса социально-экономического развития района и гражданского общества, </w:t>
      </w:r>
      <w:r>
        <w:rPr>
          <w:rFonts w:eastAsia="Times New Roman"/>
          <w:bCs/>
          <w:sz w:val="24"/>
          <w:szCs w:val="24"/>
        </w:rPr>
        <w:t xml:space="preserve">а также на обеспечить развитие детских и молодежных пространств, общественных объединений Печенгского муниципального округа, деятельность которых способствует формированию духовно-нравственной культуры и гражданской активности детей, подростков и молодежи.</w:t>
      </w: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rFonts w:eastAsia="SimSun"/>
          <w:color w:val="000000"/>
          <w:sz w:val="24"/>
          <w:szCs w:val="24"/>
          <w:lang w:eastAsia="zh-CN" w:bidi="hi-IN"/>
        </w:rPr>
      </w:pPr>
      <w:r>
        <w:rPr>
          <w:rFonts w:eastAsia="SimSun"/>
          <w:color w:val="000000"/>
          <w:sz w:val="24"/>
          <w:szCs w:val="24"/>
          <w:lang w:eastAsia="zh-CN" w:bidi="hi-IN"/>
        </w:rPr>
      </w:r>
      <w:r>
        <w:rPr>
          <w:rFonts w:eastAsia="SimSun"/>
          <w:color w:val="000000"/>
          <w:sz w:val="24"/>
          <w:szCs w:val="24"/>
          <w:lang w:eastAsia="zh-CN" w:bidi="hi-IN"/>
        </w:rPr>
      </w:r>
      <w:r>
        <w:rPr>
          <w:rFonts w:eastAsia="SimSun"/>
          <w:color w:val="000000"/>
          <w:sz w:val="24"/>
          <w:szCs w:val="24"/>
          <w:lang w:eastAsia="zh-CN" w:bidi="hi-IN"/>
        </w:rPr>
      </w:r>
    </w:p>
    <w:p>
      <w:pPr>
        <w:ind w:firstLine="540"/>
        <w:jc w:val="both"/>
        <w:spacing w:line="288" w:lineRule="atLeast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center"/>
        <w:tabs>
          <w:tab w:val="left" w:pos="993" w:leader="none"/>
        </w:tabs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</w:r>
    </w:p>
    <w:p>
      <w:pPr>
        <w:ind w:firstLine="709"/>
        <w:jc w:val="center"/>
        <w:tabs>
          <w:tab w:val="left" w:pos="993" w:leader="none"/>
        </w:tabs>
        <w:rPr>
          <w:sz w:val="24"/>
          <w:szCs w:val="24"/>
          <w:u w:val="single"/>
        </w:rPr>
        <w:sectPr>
          <w:footnotePr/>
          <w:endnotePr/>
          <w:type w:val="nextPage"/>
          <w:pgSz w:w="11905" w:h="16838" w:orient="portrait"/>
          <w:pgMar w:top="1134" w:right="850" w:bottom="1134" w:left="1701" w:header="720" w:footer="720" w:gutter="0"/>
          <w:cols w:num="1" w:sep="0" w:space="720" w:equalWidth="1"/>
          <w:docGrid w:linePitch="360"/>
        </w:sectPr>
      </w:pP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</w:r>
    </w:p>
    <w:p>
      <w:pPr>
        <w:jc w:val="center"/>
        <w:widowControl w:val="off"/>
        <w:rPr>
          <w:rFonts w:eastAsia="Times New Roman"/>
          <w:b/>
          <w:sz w:val="24"/>
        </w:rPr>
      </w:pPr>
      <w:r/>
      <w:bookmarkStart w:id="1" w:name="P446"/>
      <w:r/>
      <w:bookmarkEnd w:id="1"/>
      <w:r>
        <w:rPr>
          <w:rFonts w:eastAsia="Times New Roman"/>
          <w:b/>
          <w:sz w:val="24"/>
        </w:rPr>
        <w:t xml:space="preserve">2. Перечень показателей муниципальной программы </w:t>
      </w:r>
      <w:r>
        <w:rPr>
          <w:rFonts w:eastAsia="Times New Roman"/>
          <w:b/>
          <w:sz w:val="24"/>
        </w:rPr>
      </w:r>
      <w:r>
        <w:rPr>
          <w:rFonts w:eastAsia="Times New Roman"/>
          <w:b/>
          <w:sz w:val="24"/>
        </w:rPr>
      </w:r>
    </w:p>
    <w:p>
      <w:pPr>
        <w:jc w:val="center"/>
        <w:widowControl w:val="off"/>
        <w:rPr>
          <w:rFonts w:eastAsia="Times New Roman"/>
          <w:b/>
          <w:sz w:val="24"/>
        </w:rPr>
      </w:pPr>
      <w:r>
        <w:rPr>
          <w:rFonts w:eastAsia="Times New Roman"/>
          <w:b/>
          <w:sz w:val="24"/>
        </w:rPr>
      </w:r>
      <w:r>
        <w:rPr>
          <w:rFonts w:eastAsia="Times New Roman"/>
          <w:b/>
          <w:sz w:val="24"/>
        </w:rPr>
      </w:r>
      <w:r>
        <w:rPr>
          <w:rFonts w:eastAsia="Times New Roman"/>
          <w:b/>
          <w:sz w:val="24"/>
        </w:rPr>
      </w:r>
    </w:p>
    <w:tbl>
      <w:tblPr>
        <w:tblW w:w="14310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4253"/>
        <w:gridCol w:w="1134"/>
        <w:gridCol w:w="1276"/>
        <w:gridCol w:w="1134"/>
        <w:gridCol w:w="1134"/>
        <w:gridCol w:w="1134"/>
        <w:gridCol w:w="1134"/>
        <w:gridCol w:w="992"/>
        <w:gridCol w:w="1559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№ п/п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Муниципальная программа, направления(подпрограммы), цели, показатели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Ед. изм.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Направленность показателя</w:t>
            </w:r>
            <w:r>
              <w:rPr>
                <w:rFonts w:eastAsia="Times New Roman"/>
                <w:vertAlign w:val="superscript"/>
              </w:rPr>
              <w:t xml:space="preserve">1</w:t>
            </w:r>
            <w:r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28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Значение показателя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Соисполнитель,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ответственный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 достижение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показателя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2024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2025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2027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2028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факт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оценка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план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план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план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gridSpan w:val="9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750" w:type="dxa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Муниципальная программа «Молодежная политика и взаимодействие с общественными организациями в Печенгском муниципальном округе»</w:t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  <w:p>
            <w:pPr>
              <w:rPr>
                <w:color w:val="000000"/>
              </w:rPr>
            </w:pPr>
            <w:r>
              <w:rPr>
                <w:rFonts w:eastAsia="Times New Roman"/>
              </w:rPr>
              <w:t xml:space="preserve">Цель муниципальной программы: </w:t>
            </w:r>
            <w:r>
              <w:rPr>
                <w:color w:val="000000"/>
              </w:rPr>
              <w:t xml:space="preserve">Создание условий и возможностей для успешной социализации и эффективной самореализации молодых людей, а также развитие потенциала молодежи в интересах Печенгского муниципального округа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0.1.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Доля молодых граждан, принявших участие в мероприятиях в сфере молодежной политики, от общего числа молодежи Печенгского муниципального округа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%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35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37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39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41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43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Отдел КСиМП,  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 отдел образования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77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0.2.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Количество</w:t>
            </w:r>
            <w:r>
              <w:t xml:space="preserve"> </w:t>
            </w:r>
            <w:r>
              <w:rPr>
                <w:rFonts w:eastAsia="Times New Roman"/>
              </w:rPr>
              <w:t xml:space="preserve">талантливых и одаренных детей и молодежи, получающих премию Главы Печенгского муниципального округа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Чел.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 xml:space="preserve">40</w:t>
            </w:r>
            <w:r>
              <w:rPr>
                <w:rFonts w:eastAsia="Times New Roman"/>
                <w:lang w:val="en-US"/>
              </w:rPr>
            </w:r>
            <w:r>
              <w:rPr>
                <w:rFonts w:eastAsia="Times New Roman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 xml:space="preserve">50</w:t>
            </w:r>
            <w:r>
              <w:rPr>
                <w:rFonts w:eastAsia="Times New Roman"/>
                <w:lang w:val="en-US"/>
              </w:rPr>
            </w:r>
            <w:r>
              <w:rPr>
                <w:rFonts w:eastAsia="Times New Roman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 xml:space="preserve">50</w:t>
            </w:r>
            <w:r>
              <w:rPr>
                <w:rFonts w:eastAsia="Times New Roman"/>
                <w:lang w:val="en-US"/>
              </w:rPr>
            </w:r>
            <w:r>
              <w:rPr>
                <w:rFonts w:eastAsia="Times New Roman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 xml:space="preserve">50</w:t>
            </w:r>
            <w:r>
              <w:rPr>
                <w:rFonts w:eastAsia="Times New Roman"/>
                <w:lang w:val="en-US"/>
              </w:rPr>
            </w:r>
            <w:r>
              <w:rPr>
                <w:rFonts w:eastAsia="Times New Roman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 xml:space="preserve">50</w:t>
            </w:r>
            <w:r>
              <w:rPr>
                <w:rFonts w:eastAsia="Times New Roman"/>
                <w:lang w:val="en-US"/>
              </w:rPr>
            </w:r>
            <w:r>
              <w:rPr>
                <w:rFonts w:eastAsia="Times New Roman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Отдел КСиМП,  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  <w:p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 отдел образования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0.3.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  <w:color w:val="000000" w:themeColor="text1"/>
              </w:rPr>
              <w:t xml:space="preserve">Количество проведенных мероприятий в рамках приоритетных направлений молодежной политики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Шт.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206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210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212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214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Отдел КСиМП  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0.4.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Общая численность детей и молодежи в возрасте до 35 лет, вовлеченных в социально активную деятельность через увеличение охвата патриотическими проектами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Чел.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646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648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650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652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654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eastAsia="Times New Roman"/>
                <w:sz w:val="18"/>
                <w:szCs w:val="18"/>
              </w:rPr>
              <w:t xml:space="preserve">Отдел образования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0.5.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Количество зданий</w:t>
            </w:r>
            <w:r>
              <w:rPr>
                <w:rFonts w:eastAsia="Times New Roman"/>
              </w:rPr>
              <w:t xml:space="preserve"> молодежных пространств</w:t>
            </w:r>
            <w:r>
              <w:rPr>
                <w:rFonts w:eastAsia="Times New Roman"/>
              </w:rPr>
              <w:t xml:space="preserve">,</w:t>
            </w:r>
            <w:r>
              <w:rPr>
                <w:rFonts w:eastAsia="Times New Roman"/>
              </w:rPr>
              <w:t xml:space="preserve"> в отношении которых пров</w:t>
            </w:r>
            <w:r>
              <w:rPr>
                <w:rFonts w:eastAsia="Times New Roman"/>
              </w:rPr>
              <w:t xml:space="preserve">еден</w:t>
            </w:r>
            <w:r>
              <w:rPr>
                <w:rFonts w:eastAsia="Times New Roman"/>
              </w:rPr>
              <w:t xml:space="preserve"> капитальный ремон</w:t>
            </w:r>
            <w:r>
              <w:rPr>
                <w:rFonts w:eastAsia="Times New Roman"/>
              </w:rPr>
              <w:t xml:space="preserve">т</w:t>
            </w:r>
            <w:r>
              <w:rPr>
                <w:rFonts w:eastAsia="Times New Roman"/>
              </w:rPr>
              <w:t xml:space="preserve"> фасада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Шт.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</w:t>
            </w:r>
            <w:bookmarkStart w:id="2" w:name="_GoBack"/>
            <w:r/>
            <w:bookmarkEnd w:id="2"/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Отдел КСиМП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</w:tr>
    </w:tbl>
    <w:p>
      <w:pPr>
        <w:tabs>
          <w:tab w:val="left" w:pos="993" w:leader="none"/>
        </w:tabs>
        <w:rPr>
          <w:sz w:val="24"/>
          <w:szCs w:val="24"/>
          <w:u w:val="single"/>
        </w:rPr>
      </w:pPr>
      <w:r/>
      <w:bookmarkStart w:id="3" w:name="p125"/>
      <w:r/>
      <w:bookmarkEnd w:id="3"/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</w:r>
    </w:p>
    <w:p>
      <w:pPr>
        <w:rPr>
          <w:rFonts w:eastAsia="Times New Roman"/>
        </w:rPr>
      </w:pPr>
      <w:r>
        <w:rPr>
          <w:rFonts w:eastAsia="Times New Roman"/>
          <w:vertAlign w:val="superscript"/>
        </w:rPr>
        <w:t xml:space="preserve">1 </w:t>
      </w:r>
      <w:r>
        <w:rPr>
          <w:rFonts w:eastAsia="Times New Roman"/>
        </w:rPr>
        <w:t xml:space="preserve">Направленность показателя обозначается:</w:t>
      </w:r>
      <w:r>
        <w:rPr>
          <w:rFonts w:eastAsia="Times New Roman"/>
        </w:rPr>
      </w:r>
      <w:r>
        <w:rPr>
          <w:rFonts w:eastAsia="Times New Roman"/>
        </w:rPr>
      </w:r>
    </w:p>
    <w:p>
      <w:pPr>
        <w:rPr>
          <w:rFonts w:eastAsia="Times New Roman"/>
        </w:rPr>
      </w:pPr>
      <w:r>
        <w:rPr>
          <w:rFonts w:eastAsia="Times New Roman"/>
        </w:rPr>
        <w:t xml:space="preserve">  1 – направленность на рост;</w:t>
      </w:r>
      <w:r>
        <w:rPr>
          <w:rFonts w:eastAsia="Times New Roman"/>
        </w:rPr>
      </w:r>
      <w:r>
        <w:rPr>
          <w:rFonts w:eastAsia="Times New Roman"/>
        </w:rPr>
      </w:r>
    </w:p>
    <w:p>
      <w:pPr>
        <w:rPr>
          <w:rFonts w:eastAsia="Times New Roman"/>
        </w:rPr>
      </w:pPr>
      <w:r>
        <w:rPr>
          <w:rFonts w:eastAsia="Times New Roman"/>
        </w:rPr>
        <w:t xml:space="preserve"> (-1) – направленность на снижение;</w:t>
      </w:r>
      <w:r>
        <w:rPr>
          <w:rFonts w:eastAsia="Times New Roman"/>
        </w:rPr>
      </w:r>
      <w:r>
        <w:rPr>
          <w:rFonts w:eastAsia="Times New Roman"/>
        </w:rPr>
      </w:r>
    </w:p>
    <w:p>
      <w:pPr>
        <w:rPr>
          <w:rFonts w:eastAsia="Times New Roman"/>
        </w:rPr>
      </w:pPr>
      <w:r>
        <w:rPr>
          <w:rFonts w:eastAsia="Times New Roman"/>
        </w:rPr>
        <w:t xml:space="preserve"> 0 – направленность на достижение конкретного значения.</w:t>
      </w:r>
      <w:r>
        <w:rPr>
          <w:rFonts w:eastAsia="Times New Roman"/>
        </w:rPr>
      </w:r>
      <w:r>
        <w:rPr>
          <w:rFonts w:eastAsia="Times New Roman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sz w:val="16"/>
          <w:szCs w:val="16"/>
        </w:rPr>
      </w:pPr>
      <w:r>
        <w:rPr>
          <w:rFonts w:eastAsia="Times New Roman"/>
          <w:b/>
          <w:sz w:val="24"/>
          <w:szCs w:val="24"/>
        </w:rPr>
        <w:t xml:space="preserve">3. Перечень структурных элементов программы</w:t>
      </w:r>
      <w:r>
        <w:rPr>
          <w:rFonts w:eastAsia="Times New Roman"/>
          <w:b/>
          <w:sz w:val="16"/>
          <w:szCs w:val="16"/>
        </w:rPr>
      </w:r>
      <w:r>
        <w:rPr>
          <w:rFonts w:eastAsia="Times New Roman"/>
          <w:b/>
          <w:sz w:val="16"/>
          <w:szCs w:val="16"/>
        </w:rPr>
      </w:r>
    </w:p>
    <w:p>
      <w:pPr>
        <w:jc w:val="center"/>
        <w:rPr>
          <w:rFonts w:eastAsia="Times New Roman"/>
          <w:sz w:val="16"/>
          <w:szCs w:val="16"/>
        </w:rPr>
      </w:pPr>
      <w:r>
        <w:rPr>
          <w:rFonts w:eastAsia="Times New Roman"/>
          <w:sz w:val="24"/>
          <w:szCs w:val="24"/>
        </w:rPr>
        <w:t xml:space="preserve">  </w:t>
      </w:r>
      <w:r>
        <w:rPr>
          <w:rFonts w:eastAsia="Times New Roman"/>
          <w:sz w:val="16"/>
          <w:szCs w:val="16"/>
        </w:rPr>
      </w:r>
      <w:r>
        <w:rPr>
          <w:rFonts w:eastAsia="Times New Roman"/>
          <w:sz w:val="16"/>
          <w:szCs w:val="16"/>
        </w:rPr>
      </w:r>
    </w:p>
    <w:tbl>
      <w:tblPr>
        <w:tblW w:w="1431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"/>
        <w:gridCol w:w="4303"/>
        <w:gridCol w:w="1276"/>
        <w:gridCol w:w="1984"/>
        <w:gridCol w:w="6237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№ п/п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3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Направления (подпрограммы), комплексы процессных и(или) проектных мероприятий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Срок выполнения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Соисполнители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2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Связь с показателями муниципальной программы (наименования показателей)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56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303" w:type="dxa"/>
            <w:vAlign w:val="center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  <w:b/>
                <w:i/>
              </w:rPr>
              <w:t xml:space="preserve">Комплекс процессных мероприятий 1</w:t>
            </w:r>
            <w:r>
              <w:rPr>
                <w:rFonts w:eastAsia="Times New Roman"/>
              </w:rPr>
              <w:t xml:space="preserve"> «Молодежные центры – точка притяжения и первый шаг к мечте»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КСиМП,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образования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237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0.1. Доля молодых граждан, принявших участие в мероприятиях в сфере молодежной политики, от общего числа молодежи Печенгского муниципального округ.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0.2.</w:t>
            </w:r>
            <w:r>
              <w:t xml:space="preserve"> </w:t>
            </w:r>
            <w:r>
              <w:rPr>
                <w:rFonts w:eastAsia="Times New Roman"/>
              </w:rPr>
              <w:t xml:space="preserve">Количество талантливых и одаренных детей и молодежи, получающих премию Главы.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03.</w:t>
            </w:r>
            <w:r>
              <w:t xml:space="preserve"> </w:t>
            </w:r>
            <w:r>
              <w:rPr>
                <w:rFonts w:eastAsia="Times New Roman"/>
              </w:rPr>
              <w:t xml:space="preserve">Количество проведенных мероприятий в рамках приоритетных направлений молодежной политики.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55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303" w:type="dxa"/>
            <w:vAlign w:val="center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  <w:b/>
                <w:i/>
              </w:rPr>
              <w:t xml:space="preserve">Комплекс процессных мероприятий 2</w:t>
            </w:r>
            <w:r>
              <w:rPr>
                <w:rFonts w:eastAsia="Times New Roman"/>
              </w:rPr>
              <w:t xml:space="preserve"> «Реализация приоритетных направлений в сфере молодежной политики»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КСиМП,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образования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237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0.4.</w:t>
            </w:r>
            <w:r>
              <w:t xml:space="preserve"> </w:t>
            </w:r>
            <w:r>
              <w:rPr>
                <w:rFonts w:eastAsia="Times New Roman"/>
              </w:rPr>
              <w:t xml:space="preserve">Общая численность детей и молодежи в возрасте до 35 лет, вовлеченных в социально активную деятельность через увеличение охвата патриотическими проектами.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55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303" w:type="dxa"/>
            <w:vAlign w:val="center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  <w:b/>
                <w:i/>
              </w:rPr>
              <w:t xml:space="preserve">Комплекс про</w:t>
            </w:r>
            <w:r>
              <w:rPr>
                <w:rFonts w:eastAsia="Times New Roman"/>
                <w:b/>
                <w:i/>
              </w:rPr>
              <w:t xml:space="preserve">ектных</w:t>
            </w:r>
            <w:r>
              <w:rPr>
                <w:rFonts w:eastAsia="Times New Roman"/>
                <w:b/>
                <w:i/>
              </w:rPr>
              <w:t xml:space="preserve"> мероприятий 3</w:t>
            </w:r>
            <w:r>
              <w:rPr>
                <w:rFonts w:eastAsia="Times New Roman"/>
              </w:rPr>
              <w:t xml:space="preserve"> «Обновление молодежных пространств»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КСиМП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237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0.5. </w:t>
            </w:r>
            <w:r>
              <w:rPr>
                <w:rFonts w:eastAsia="Times New Roman"/>
              </w:rPr>
              <w:t xml:space="preserve">Количество зданий молодежных пространств, в отношении которых проведен капитальный ремонт фасада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</w:tbl>
    <w:p>
      <w:pPr>
        <w:jc w:val="both"/>
        <w:spacing w:line="288" w:lineRule="atLeast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</w:r>
      <w:r>
        <w:rPr>
          <w:rFonts w:eastAsia="Times New Roman"/>
          <w:sz w:val="16"/>
          <w:szCs w:val="16"/>
        </w:rPr>
      </w:r>
      <w:r>
        <w:rPr>
          <w:rFonts w:eastAsia="Times New Roman"/>
          <w:sz w:val="16"/>
          <w:szCs w:val="16"/>
        </w:rPr>
      </w:r>
    </w:p>
    <w:p>
      <w:pPr>
        <w:pStyle w:val="909"/>
        <w:contextualSpacing/>
        <w:ind w:firstLine="284"/>
        <w:jc w:val="center"/>
        <w:spacing w:before="168" w:beforeAutospacing="0" w:after="0" w:afterAutospacing="0"/>
        <w:rPr>
          <w:b/>
        </w:rPr>
      </w:pPr>
      <w:r>
        <w:rPr>
          <w:b/>
        </w:rPr>
        <w:t xml:space="preserve">4. Перечень объектов капитального строительства </w:t>
      </w:r>
      <w:r>
        <w:rPr>
          <w:b/>
        </w:rPr>
      </w:r>
      <w:r>
        <w:rPr>
          <w:b/>
        </w:rPr>
      </w:r>
    </w:p>
    <w:p>
      <w:pPr>
        <w:pStyle w:val="909"/>
        <w:contextualSpacing/>
        <w:ind w:firstLine="284"/>
        <w:jc w:val="center"/>
        <w:spacing w:before="168" w:beforeAutospacing="0" w:after="0" w:afterAutospacing="0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tbl>
      <w:tblPr>
        <w:tblStyle w:val="917"/>
        <w:tblW w:w="1434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807"/>
        <w:gridCol w:w="1442"/>
        <w:gridCol w:w="1128"/>
        <w:gridCol w:w="1263"/>
        <w:gridCol w:w="1612"/>
        <w:gridCol w:w="1015"/>
        <w:gridCol w:w="1378"/>
        <w:gridCol w:w="1378"/>
        <w:gridCol w:w="1378"/>
        <w:gridCol w:w="1381"/>
      </w:tblGrid>
      <w:tr>
        <w:tblPrEx/>
        <w:trPr>
          <w:trHeight w:val="226"/>
        </w:trPr>
        <w:tc>
          <w:tcPr>
            <w:tcW w:w="567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№ п/п</w:t>
            </w:r>
            <w:r/>
          </w:p>
        </w:tc>
        <w:tc>
          <w:tcPr>
            <w:tcW w:w="1807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Наименование объекта капитального строительства</w:t>
            </w:r>
            <w:r/>
          </w:p>
        </w:tc>
        <w:tc>
          <w:tcPr>
            <w:tcW w:w="1442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Соисполнитель, заказчик</w:t>
            </w:r>
            <w:r/>
          </w:p>
        </w:tc>
        <w:tc>
          <w:tcPr>
            <w:tcW w:w="1128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Проектная мощность</w:t>
            </w:r>
            <w:r/>
          </w:p>
        </w:tc>
        <w:tc>
          <w:tcPr>
            <w:tcW w:w="1263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Сроки и этапы выполнения работ</w:t>
            </w:r>
            <w:r/>
          </w:p>
        </w:tc>
        <w:tc>
          <w:tcPr>
            <w:tcW w:w="1612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Общая стоимость объекта, рублей</w:t>
            </w:r>
            <w:r/>
          </w:p>
        </w:tc>
        <w:tc>
          <w:tcPr>
            <w:gridSpan w:val="5"/>
            <w:tcW w:w="6530" w:type="dxa"/>
            <w:textDirection w:val="lrTb"/>
            <w:noWrap w:val="false"/>
          </w:tcPr>
          <w:p>
            <w:pPr>
              <w:jc w:val="center"/>
            </w:pPr>
            <w:r>
              <w:t xml:space="preserve">Объемы и источники финансирования, рублей</w:t>
            </w:r>
            <w:r/>
          </w:p>
        </w:tc>
      </w:tr>
      <w:tr>
        <w:tblPrEx/>
        <w:trPr>
          <w:trHeight w:val="679"/>
        </w:trPr>
        <w:tc>
          <w:tcPr>
            <w:tcW w:w="567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807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44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12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263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61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015" w:type="dxa"/>
            <w:textDirection w:val="lrTb"/>
            <w:noWrap w:val="false"/>
          </w:tcPr>
          <w:p>
            <w:pPr>
              <w:jc w:val="center"/>
            </w:pPr>
            <w:r>
              <w:t xml:space="preserve">Год/ источник</w:t>
            </w:r>
            <w:r/>
          </w:p>
        </w:tc>
        <w:tc>
          <w:tcPr>
            <w:tcW w:w="1378" w:type="dxa"/>
            <w:textDirection w:val="lrTb"/>
            <w:noWrap w:val="false"/>
          </w:tcPr>
          <w:p>
            <w:pPr>
              <w:jc w:val="center"/>
            </w:pPr>
            <w:r>
              <w:t xml:space="preserve">Всего </w:t>
            </w:r>
            <w:r/>
          </w:p>
        </w:tc>
        <w:tc>
          <w:tcPr>
            <w:tcW w:w="1378" w:type="dxa"/>
            <w:textDirection w:val="lrTb"/>
            <w:noWrap w:val="false"/>
          </w:tcPr>
          <w:p>
            <w:pPr>
              <w:jc w:val="center"/>
            </w:pPr>
            <w:r>
              <w:t xml:space="preserve">2026</w:t>
            </w:r>
            <w:r/>
          </w:p>
        </w:tc>
        <w:tc>
          <w:tcPr>
            <w:tcW w:w="1378" w:type="dxa"/>
            <w:textDirection w:val="lrTb"/>
            <w:noWrap w:val="false"/>
          </w:tcPr>
          <w:p>
            <w:pPr>
              <w:jc w:val="center"/>
            </w:pPr>
            <w:r>
              <w:t xml:space="preserve">2027</w:t>
            </w:r>
            <w:r/>
          </w:p>
        </w:tc>
        <w:tc>
          <w:tcPr>
            <w:tcW w:w="1381" w:type="dxa"/>
            <w:textDirection w:val="lrTb"/>
            <w:noWrap w:val="false"/>
          </w:tcPr>
          <w:p>
            <w:pPr>
              <w:jc w:val="center"/>
            </w:pPr>
            <w:r>
              <w:t xml:space="preserve">2028</w:t>
            </w:r>
            <w:r/>
          </w:p>
        </w:tc>
      </w:tr>
      <w:tr>
        <w:tblPrEx/>
        <w:trPr>
          <w:trHeight w:val="226"/>
        </w:trPr>
        <w:tc>
          <w:tcPr>
            <w:tcW w:w="567" w:type="dxa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5"/>
            <w:tcW w:w="7252" w:type="dxa"/>
            <w:vMerge w:val="restart"/>
            <w:textDirection w:val="lrTb"/>
            <w:noWrap w:val="false"/>
          </w:tcPr>
          <w:p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</w:p>
          <w:p>
            <w:pPr>
              <w:jc w:val="center"/>
            </w:pPr>
            <w:r>
              <w:t xml:space="preserve">Муниципальная программа</w:t>
            </w:r>
            <w:r/>
          </w:p>
          <w:p>
            <w:pPr>
              <w:jc w:val="center"/>
            </w:pPr>
            <w:r>
              <w:rPr>
                <w:b/>
              </w:rPr>
              <w:t xml:space="preserve">«Молодежная политика и взаимодействие с общественными организациями в Печенгском муниципальном округе»</w:t>
            </w:r>
            <w:r/>
          </w:p>
        </w:tc>
        <w:tc>
          <w:tcPr>
            <w:tcW w:w="1015" w:type="dxa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37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   7 117 322,60   </w:t>
            </w: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W w:w="137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   7 117 322,60   </w:t>
            </w: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W w:w="137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38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0,00</w:t>
            </w:r>
            <w:r>
              <w:rPr>
                <w:b/>
                <w:sz w:val="18"/>
              </w:rPr>
            </w:r>
            <w:r>
              <w:rPr>
                <w:b/>
                <w:sz w:val="18"/>
              </w:rPr>
            </w:r>
          </w:p>
        </w:tc>
      </w:tr>
      <w:tr>
        <w:tblPrEx/>
        <w:trPr>
          <w:trHeight w:val="239"/>
        </w:trPr>
        <w:tc>
          <w:tcPr>
            <w:tcW w:w="567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5"/>
            <w:tcW w:w="7252" w:type="dxa"/>
            <w:vMerge w:val="continue"/>
            <w:textDirection w:val="lrTb"/>
            <w:noWrap w:val="false"/>
          </w:tcPr>
          <w:p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</w:p>
        </w:tc>
        <w:tc>
          <w:tcPr>
            <w:tcW w:w="1015" w:type="dxa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МБ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37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   7 117 322,60   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tcW w:w="137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   7 117 322,60   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tcW w:w="137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38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0,00</w:t>
            </w:r>
            <w:r>
              <w:rPr>
                <w:b/>
                <w:sz w:val="18"/>
              </w:rPr>
            </w:r>
            <w:r>
              <w:rPr>
                <w:b/>
                <w:sz w:val="18"/>
              </w:rPr>
            </w:r>
          </w:p>
        </w:tc>
      </w:tr>
      <w:tr>
        <w:tblPrEx/>
        <w:trPr>
          <w:trHeight w:val="239"/>
        </w:trPr>
        <w:tc>
          <w:tcPr>
            <w:tcW w:w="567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5"/>
            <w:tcW w:w="7252" w:type="dxa"/>
            <w:vMerge w:val="continue"/>
            <w:textDirection w:val="lrTb"/>
            <w:noWrap w:val="false"/>
          </w:tcPr>
          <w:p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</w:p>
        </w:tc>
        <w:tc>
          <w:tcPr>
            <w:tcW w:w="1015" w:type="dxa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ОБ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37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37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37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38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0,00</w:t>
            </w:r>
            <w:r>
              <w:rPr>
                <w:b/>
                <w:sz w:val="18"/>
              </w:rPr>
            </w:r>
            <w:r>
              <w:rPr>
                <w:b/>
                <w:sz w:val="18"/>
              </w:rPr>
            </w:r>
          </w:p>
        </w:tc>
      </w:tr>
      <w:tr>
        <w:tblPrEx/>
        <w:trPr>
          <w:trHeight w:val="239"/>
        </w:trPr>
        <w:tc>
          <w:tcPr>
            <w:tcW w:w="567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5"/>
            <w:tcW w:w="7252" w:type="dxa"/>
            <w:vMerge w:val="continue"/>
            <w:textDirection w:val="lrTb"/>
            <w:noWrap w:val="false"/>
          </w:tcPr>
          <w:p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</w:p>
        </w:tc>
        <w:tc>
          <w:tcPr>
            <w:tcW w:w="1015" w:type="dxa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ФБ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37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37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37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38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0,00</w:t>
            </w:r>
            <w:r>
              <w:rPr>
                <w:b/>
                <w:sz w:val="18"/>
              </w:rPr>
            </w:r>
            <w:r>
              <w:rPr>
                <w:b/>
                <w:sz w:val="18"/>
              </w:rPr>
            </w:r>
          </w:p>
        </w:tc>
      </w:tr>
      <w:tr>
        <w:tblPrEx/>
        <w:trPr>
          <w:trHeight w:val="239"/>
        </w:trPr>
        <w:tc>
          <w:tcPr>
            <w:tcW w:w="567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5"/>
            <w:tcW w:w="7252" w:type="dxa"/>
            <w:vMerge w:val="continue"/>
            <w:textDirection w:val="lrTb"/>
            <w:noWrap w:val="false"/>
          </w:tcPr>
          <w:p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</w:p>
        </w:tc>
        <w:tc>
          <w:tcPr>
            <w:tcW w:w="1015" w:type="dxa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ВБС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37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37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37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38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0,00</w:t>
            </w:r>
            <w:r>
              <w:rPr>
                <w:b/>
                <w:sz w:val="18"/>
              </w:rPr>
            </w:r>
            <w:r>
              <w:rPr>
                <w:b/>
                <w:sz w:val="18"/>
              </w:rPr>
            </w:r>
          </w:p>
        </w:tc>
      </w:tr>
      <w:tr>
        <w:tblPrEx/>
        <w:trPr>
          <w:trHeight w:val="226"/>
        </w:trPr>
        <w:tc>
          <w:tcPr>
            <w:tcW w:w="567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1.1</w:t>
            </w:r>
            <w:r/>
          </w:p>
        </w:tc>
        <w:tc>
          <w:tcPr>
            <w:tcW w:w="1807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Капитальный ремонт фасада здания молодежного пространства «СОПКИ» г. Заполярный</w:t>
            </w:r>
            <w:r/>
          </w:p>
        </w:tc>
        <w:tc>
          <w:tcPr>
            <w:tcW w:w="1442" w:type="dxa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>
              <w:rPr>
                <w:rFonts w:eastAsia="Times New Roman"/>
              </w:rPr>
              <w:t xml:space="preserve">Отдел КСиМП</w:t>
            </w:r>
            <w:r/>
          </w:p>
        </w:tc>
        <w:tc>
          <w:tcPr>
            <w:shd w:val="clear" w:color="auto" w:fill="auto"/>
            <w:tcW w:w="1128" w:type="dxa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>
              <w:t xml:space="preserve">186,65 кв.м</w:t>
            </w:r>
            <w:r/>
          </w:p>
        </w:tc>
        <w:tc>
          <w:tcPr>
            <w:tcW w:w="1263" w:type="dxa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>
              <w:t xml:space="preserve">2026</w:t>
            </w:r>
            <w:r>
              <w:t xml:space="preserve"> </w:t>
            </w:r>
            <w:r/>
          </w:p>
        </w:tc>
        <w:tc>
          <w:tcPr>
            <w:tcW w:w="1612" w:type="dxa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>
              <w:t xml:space="preserve">7 117 322,60</w:t>
            </w:r>
            <w:r/>
          </w:p>
        </w:tc>
        <w:tc>
          <w:tcPr>
            <w:tcW w:w="1015" w:type="dxa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37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  7 117 322,60   </w:t>
            </w: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W w:w="137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  7 117 322,60   </w:t>
            </w: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W w:w="137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38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0,00</w:t>
            </w:r>
            <w:r>
              <w:rPr>
                <w:b/>
                <w:sz w:val="18"/>
              </w:rPr>
            </w:r>
            <w:r>
              <w:rPr>
                <w:b/>
                <w:sz w:val="18"/>
              </w:rPr>
            </w:r>
          </w:p>
        </w:tc>
      </w:tr>
      <w:tr>
        <w:tblPrEx/>
        <w:trPr>
          <w:trHeight w:val="226"/>
        </w:trPr>
        <w:tc>
          <w:tcPr>
            <w:tcW w:w="567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807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44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2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263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612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</w:rPr>
            </w:pPr>
            <w:r>
              <w:rPr>
                <w:sz w:val="18"/>
              </w:rPr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W w:w="1015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378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7 117 322,60   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W w:w="1378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7 117 322,60   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W w:w="1378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38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39"/>
        </w:trPr>
        <w:tc>
          <w:tcPr>
            <w:tcW w:w="567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807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44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2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263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612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</w:rPr>
            </w:pPr>
            <w:r>
              <w:rPr>
                <w:sz w:val="18"/>
              </w:rPr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W w:w="1015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378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378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378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38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39"/>
        </w:trPr>
        <w:tc>
          <w:tcPr>
            <w:tcW w:w="567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807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44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2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263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61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015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378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378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378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38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52"/>
        </w:trPr>
        <w:tc>
          <w:tcPr>
            <w:tcW w:w="567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807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44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2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263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61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015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ВБС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378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378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378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38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pStyle w:val="909"/>
        <w:contextualSpacing/>
        <w:ind w:firstLine="284"/>
        <w:jc w:val="center"/>
        <w:spacing w:before="168" w:beforeAutospacing="0" w:after="0" w:afterAutospacing="0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spacing w:line="288" w:lineRule="atLeast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sz w:val="16"/>
          <w:szCs w:val="16"/>
        </w:rPr>
      </w:pPr>
      <w:r>
        <w:rPr>
          <w:rFonts w:eastAsia="Times New Roman"/>
          <w:b/>
          <w:sz w:val="24"/>
          <w:szCs w:val="24"/>
        </w:rPr>
        <w:t xml:space="preserve">5. Сведения об объемах финансирования муниципальной программы</w:t>
      </w:r>
      <w:r>
        <w:rPr>
          <w:rFonts w:eastAsia="Times New Roman"/>
          <w:b/>
          <w:sz w:val="16"/>
          <w:szCs w:val="16"/>
        </w:rPr>
      </w:r>
      <w:r>
        <w:rPr>
          <w:rFonts w:eastAsia="Times New Roman"/>
          <w:b/>
          <w:sz w:val="16"/>
          <w:szCs w:val="16"/>
        </w:rPr>
      </w:r>
    </w:p>
    <w:p>
      <w:pPr>
        <w:jc w:val="center"/>
        <w:spacing w:line="288" w:lineRule="atLeast"/>
        <w:rPr>
          <w:rFonts w:eastAsia="Times New Roman"/>
          <w:sz w:val="16"/>
          <w:szCs w:val="16"/>
        </w:rPr>
      </w:pPr>
      <w:r>
        <w:rPr>
          <w:rFonts w:eastAsia="Times New Roman"/>
          <w:sz w:val="24"/>
          <w:szCs w:val="24"/>
        </w:rPr>
        <w:t xml:space="preserve">  </w:t>
      </w:r>
      <w:r>
        <w:rPr>
          <w:rFonts w:eastAsia="Times New Roman"/>
          <w:sz w:val="16"/>
          <w:szCs w:val="16"/>
        </w:rPr>
      </w:r>
      <w:r>
        <w:rPr>
          <w:rFonts w:eastAsia="Times New Roman"/>
          <w:sz w:val="16"/>
          <w:szCs w:val="16"/>
        </w:rPr>
      </w:r>
    </w:p>
    <w:tbl>
      <w:tblPr>
        <w:tblW w:w="14735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4536"/>
        <w:gridCol w:w="1276"/>
        <w:gridCol w:w="992"/>
        <w:gridCol w:w="1276"/>
        <w:gridCol w:w="1276"/>
        <w:gridCol w:w="1417"/>
        <w:gridCol w:w="1276"/>
        <w:gridCol w:w="2126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№ п/п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Муниципальная программа, ГРБС, направления (подпрограммы)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Период реализации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2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Объемы и источники финансирования (рублей)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Соисполнители</w:t>
            </w:r>
            <w:r>
              <w:rPr>
                <w:rFonts w:eastAsia="Times New Roman"/>
                <w:strike/>
              </w:rPr>
              <w:t xml:space="preserve">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Год/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источник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Всего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2027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Муниципальная программа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</w:rPr>
              <w:t xml:space="preserve">«Молодежная политика и взаимодействие с общественными организациями в Печенгском муниципальном округе»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2026-2028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104 242 800,00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34 547 600,00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35 347 600,00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34 347 600,00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КСиМП,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</w:rPr>
              <w:t xml:space="preserve">отдел образования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</w:tr>
      <w:tr>
        <w:tblPrEx/>
        <w:trPr>
          <w:trHeight w:val="14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104 242 800,00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34 547 600,00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35 347 600,00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34 347 600,00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28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0.1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культуры, спорта и молодежной политики администрации Печенгского муниципального округа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2026-2028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104 242 800,00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34 547 600,00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35 347 600,00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34 347 600,00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104 242 800,00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34 547 600,00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35 347 600,00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34 347 600,00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  <w:b/>
              </w:rPr>
              <w:t xml:space="preserve">Комплекс процессных мероприятий 1</w:t>
            </w:r>
            <w:r>
              <w:rPr>
                <w:rFonts w:eastAsia="Times New Roman"/>
              </w:rPr>
              <w:t xml:space="preserve"> «Молодежные центры – точка притяжения и первый шаг к мечте»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2026-2028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93  931 477,40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26 232 277,40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33 849 600,00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33 849 600,00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КСиМП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93 931 477,40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26 232 277,40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33 849 600,00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33 849 600,00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2.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  <w:b/>
              </w:rPr>
              <w:t xml:space="preserve">Комплекс процессных мероприятий 2</w:t>
            </w:r>
            <w:r>
              <w:rPr>
                <w:rFonts w:eastAsia="Times New Roman"/>
              </w:rPr>
              <w:t xml:space="preserve"> «Реализация приоритетных направлений в сфере молодежной политики»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2026-2028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3 194 000,00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1 198 000,00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1 498 000,00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498 000,00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КСиМП,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</w:pPr>
            <w:r>
              <w:rPr>
                <w:rFonts w:eastAsia="Times New Roman"/>
              </w:rPr>
              <w:t xml:space="preserve">отдел образования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3 194 000,00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1 198 000,00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1 498 000,00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498 000,00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26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261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3.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  <w:b/>
              </w:rPr>
              <w:t xml:space="preserve">Комплекс проектных</w:t>
            </w:r>
            <w:r>
              <w:rPr>
                <w:rFonts w:eastAsia="Times New Roman"/>
                <w:b/>
              </w:rPr>
              <w:t xml:space="preserve"> мероприятий 3</w:t>
            </w:r>
            <w:r>
              <w:rPr>
                <w:rFonts w:eastAsia="Times New Roman"/>
              </w:rPr>
              <w:t xml:space="preserve"> «Обновление молодежных пространств»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auto" w:sz="4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7 117 322,60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7 117 322,60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auto" w:sz="4" w:space="0"/>
              <w:right w:val="single" w:color="000000" w:sz="6" w:space="0"/>
            </w:tcBorders>
            <w:tcW w:w="2126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eastAsia="Times New Roman"/>
              </w:rPr>
              <w:t xml:space="preserve">Отдел КСиМП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>
          <w:trHeight w:val="261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7 117 322,60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7 117 322,60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</w:t>
            </w:r>
            <w:r>
              <w:rPr>
                <w:rFonts w:eastAsia="Times New Roman"/>
                <w:sz w:val="18"/>
                <w:szCs w:val="18"/>
              </w:rPr>
              <w:t xml:space="preserve">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</w:t>
            </w:r>
            <w:r>
              <w:rPr>
                <w:rFonts w:eastAsia="Times New Roman"/>
                <w:sz w:val="18"/>
                <w:szCs w:val="18"/>
              </w:rPr>
              <w:t xml:space="preserve">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left w:val="single" w:color="auto" w:sz="4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261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left w:val="single" w:color="auto" w:sz="4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261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left w:val="single" w:color="auto" w:sz="4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261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left w:val="single" w:color="auto" w:sz="4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</w:tbl>
    <w:p>
      <w:pPr>
        <w:jc w:val="both"/>
        <w:spacing w:line="288" w:lineRule="atLeast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   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 xml:space="preserve">6. Механизмы управления рисками программы</w:t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both"/>
        <w:spacing w:line="288" w:lineRule="atLeast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 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2"/>
        <w:gridCol w:w="1719"/>
        <w:gridCol w:w="2838"/>
        <w:gridCol w:w="3830"/>
        <w:gridCol w:w="3970"/>
        <w:gridCol w:w="1533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№ п/п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0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Наименование риска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Ожидаемые последствия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Меры по предотвращению наступления риска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88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Меры реагирования при наличии признаков наступления риска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Периодичность мониторинга рисков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4" w:type="pc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01" w:type="pc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Правовой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pc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Изменения федерального и регионального законодательства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9" w:type="pc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Оперативное реагирование на изменения федерального и регионального законодательства.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Разработка и реализация согласованных межведомственных решений, всестороннее р</w:t>
            </w:r>
            <w:r>
              <w:rPr>
                <w:rFonts w:eastAsia="Times New Roman"/>
              </w:rPr>
              <w:t xml:space="preserve">ассмотрение и оценка последствий принятия проектов нормативных правовых актов в сфере молодежной политики, их увязка с мерами правового регулирования в рамках других направлений деятельности органов местного самоуправления Печенгского муниципального округа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88" w:type="pc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Своевременное внесение соответствующих изменений в нормативные правовые акты, касающиеся реализации мероприятий Программы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6" w:type="pc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Постоянно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69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4" w:type="pc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01" w:type="pc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Финансовый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</w:rPr>
              <w:t xml:space="preserve">(принятие решений по введению новых расходных обязательств, не обеспеченных финансовыми ресурсами)</w:t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pct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</w:rPr>
              <w:t xml:space="preserve">Возникновение указанного риска может повлечь увеличение дефицита бюджета округа </w:t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9" w:type="pc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Приор</w:t>
            </w:r>
            <w:r>
              <w:rPr>
                <w:rFonts w:eastAsia="Times New Roman"/>
              </w:rPr>
              <w:t xml:space="preserve">итизация расходных обязательств, приведение их в соответствие со складывающимися бюджетными возможностями, анализ и мониторинг экономии бюджетных средств, возникшей в ходе проведения закупочных процедур товаров, работ, услуг получателями бюджетных средств.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88" w:type="pc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Принятие решения главными распорядителями средств бюджета округа о сокращении расходов бюджета в части мероприятий, не являющихся первоочередными, за исключением социально ориентированных.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</w:rPr>
              <w:t xml:space="preserve">Использование принципа гибкости ресурсного обеспечения при планировании мероприятий муниципальной программы, корректировка состава программных мероприятий и показателей с учетом достигнутых результатов и текущих условий реализации Программы</w:t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6" w:type="pct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</w:rPr>
              <w:t xml:space="preserve">Постоянно</w:t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4" w:type="pc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01" w:type="pct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</w:rPr>
              <w:t xml:space="preserve">Организационные и управленческие </w:t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pc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Ошибочная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организационная схема и слабый управленческий потенциал (в том числе недостаточный уровень квалификации для работ с новыми инструментами), несогласованность действий основного исполнителя и участников Программы могут приводить к неэффективному </w:t>
            </w:r>
            <w:r>
              <w:rPr>
                <w:rFonts w:eastAsia="Times New Roman"/>
              </w:rPr>
              <w:t xml:space="preserve">управлению процессом реализации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Программы, низкому качеству реализации программных мероприятий на муниципальном уровне и уровне образовательных организаций.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</w:rPr>
              <w:t xml:space="preserve">.</w:t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9" w:type="pct"/>
            <w:textDirection w:val="lrTb"/>
            <w:noWrap w:val="false"/>
          </w:tcPr>
          <w:p>
            <w:pPr>
              <w:pStyle w:val="909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Устранение риска возможно за счет обеспечения постоянного и оперативного мониторинга (в том числе социологического) реализации Программы, а также за счет корректировки Программы на основе анализа данных мониторинга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09"/>
              <w:jc w:val="both"/>
              <w:spacing w:before="0" w:beforeAutospacing="0" w:after="0" w:afterAutospacing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88" w:type="pct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</w:rPr>
              <w:t xml:space="preserve">Опережающая разработка инструментов мониторинга до начала реализации Программы</w:t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6" w:type="pct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</w:rPr>
              <w:t xml:space="preserve">постоянно</w:t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</w:tbl>
    <w:p>
      <w:pPr>
        <w:ind w:firstLine="709"/>
        <w:jc w:val="both"/>
        <w:widowControl w:val="off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360"/>
        <w:jc w:val="center"/>
        <w:widowControl w:val="off"/>
        <w:tabs>
          <w:tab w:val="left" w:pos="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360"/>
        <w:jc w:val="center"/>
        <w:widowControl w:val="off"/>
        <w:tabs>
          <w:tab w:val="left" w:pos="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360"/>
        <w:jc w:val="center"/>
        <w:widowControl w:val="off"/>
        <w:tabs>
          <w:tab w:val="left" w:pos="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360"/>
        <w:jc w:val="center"/>
        <w:widowControl w:val="off"/>
        <w:tabs>
          <w:tab w:val="left" w:pos="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360"/>
        <w:jc w:val="center"/>
        <w:widowControl w:val="off"/>
        <w:tabs>
          <w:tab w:val="left" w:pos="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360"/>
        <w:jc w:val="center"/>
        <w:widowControl w:val="off"/>
        <w:tabs>
          <w:tab w:val="left" w:pos="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360"/>
        <w:jc w:val="center"/>
        <w:widowControl w:val="off"/>
        <w:tabs>
          <w:tab w:val="left" w:pos="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360"/>
        <w:jc w:val="center"/>
        <w:widowControl w:val="off"/>
        <w:tabs>
          <w:tab w:val="left" w:pos="0" w:leader="none"/>
        </w:tabs>
        <w:rPr>
          <w:b/>
          <w:sz w:val="24"/>
          <w:szCs w:val="24"/>
        </w:rPr>
        <w:sectPr>
          <w:footnotePr/>
          <w:endnotePr/>
          <w:type w:val="nextPage"/>
          <w:pgSz w:w="16838" w:h="11905" w:orient="landscape"/>
          <w:pgMar w:top="1135" w:right="851" w:bottom="993" w:left="1701" w:header="720" w:footer="720" w:gutter="0"/>
          <w:cols w:num="1" w:sep="0" w:space="720" w:equalWidth="1"/>
          <w:docGrid w:linePitch="360"/>
        </w:sect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tabs>
          <w:tab w:val="left" w:pos="0" w:leader="none"/>
        </w:tabs>
        <w:rPr>
          <w:rFonts w:eastAsia="Times New Roman"/>
          <w:b/>
          <w:sz w:val="24"/>
          <w:szCs w:val="24"/>
        </w:rPr>
      </w:pPr>
      <w:r>
        <w:rPr>
          <w:b/>
          <w:sz w:val="24"/>
          <w:szCs w:val="24"/>
        </w:rPr>
        <w:t xml:space="preserve">7. Порядок взаимодействия </w:t>
      </w:r>
      <w:r>
        <w:rPr>
          <w:rFonts w:eastAsia="Times New Roman"/>
          <w:b/>
          <w:sz w:val="24"/>
          <w:szCs w:val="24"/>
        </w:rPr>
        <w:t xml:space="preserve">Ответственного исполнителя, Соисполнителей и участников муниципальной программы</w:t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rPr>
          <w:highlight w:val="yellow"/>
        </w:rPr>
      </w:pPr>
      <w:r/>
      <w:bookmarkStart w:id="4" w:name="Par3713"/>
      <w:r/>
      <w:bookmarkEnd w:id="4"/>
      <w:r>
        <w:rPr>
          <w:highlight w:val="yellow"/>
        </w:rPr>
      </w:r>
      <w:r>
        <w:rPr>
          <w:highlight w:val="yellow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Мониторинг и контроль реализации муниципальной программы осуществляется ответственным исполнителем программы – отдел КСиМП, который: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rFonts w:eastAsia="Times New Roman"/>
          <w:sz w:val="24"/>
        </w:rPr>
        <w:t xml:space="preserve"> обеспечивает совместно</w:t>
      </w:r>
      <w:r>
        <w:rPr>
          <w:rFonts w:eastAsia="Times New Roman"/>
          <w:sz w:val="24"/>
        </w:rPr>
        <w:t xml:space="preserve"> с Соисполнителями разработку проекта Программы, проектов постановлений Администрации Печенгского муниципального округа об утверждении Программы и (или) о внесении изменений в муниципальную программу и их согласование в соответствии с требованиями Порядка </w:t>
      </w:r>
      <w:r>
        <w:rPr>
          <w:rFonts w:eastAsia="Times New Roman"/>
          <w:sz w:val="24"/>
          <w:szCs w:val="24"/>
        </w:rPr>
        <w:t xml:space="preserve">разработки, реализации и оценки эффективности муниципальных программ Печенгского муниципального округа, утвержденного постановлением администрации Печенгского муниципального округа </w:t>
      </w:r>
      <w:r>
        <w:rPr>
          <w:rFonts w:eastAsia="Times New Roman"/>
          <w:sz w:val="24"/>
          <w:szCs w:val="24"/>
        </w:rPr>
        <w:br/>
        <w:t xml:space="preserve">от 18.09.2025 № 1488 (далее – Порядок);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rFonts w:eastAsia="Times New Roman"/>
          <w:sz w:val="24"/>
        </w:rPr>
      </w:pPr>
      <w:r>
        <w:rPr>
          <w:rFonts w:eastAsia="Times New Roman"/>
          <w:sz w:val="24"/>
          <w:szCs w:val="24"/>
        </w:rPr>
        <w:t xml:space="preserve">-</w:t>
      </w:r>
      <w:r>
        <w:rPr>
          <w:rFonts w:eastAsia="Times New Roman"/>
          <w:sz w:val="24"/>
        </w:rPr>
        <w:t xml:space="preserve"> организует и координирует реализацию муниципальной программы, несет ответственность за достижение показателей муниципальной программы и конечных результатов ее реализации в части его касающейся;</w:t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ind w:firstLine="709"/>
        <w:jc w:val="both"/>
        <w:tabs>
          <w:tab w:val="left" w:pos="993" w:leader="none"/>
        </w:tabs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-</w:t>
      </w:r>
      <w:r>
        <w:rPr>
          <w:rFonts w:eastAsia="Times New Roman"/>
          <w:sz w:val="24"/>
        </w:rPr>
        <w:t xml:space="preserve"> осуществляет мониторинг реализации муниципальной программы и подготовку отчетов о ходе реализации муниципальной программы в соответствии с требованиями Порядка.</w:t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ind w:firstLine="709"/>
        <w:jc w:val="both"/>
        <w:tabs>
          <w:tab w:val="left" w:pos="993" w:leader="none"/>
        </w:tabs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Соисполнители муниципальной программы:</w:t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ind w:firstLine="709"/>
        <w:jc w:val="both"/>
        <w:tabs>
          <w:tab w:val="left" w:pos="993" w:leader="none"/>
        </w:tabs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-</w:t>
      </w:r>
      <w:r>
        <w:rPr>
          <w:rFonts w:eastAsia="Times New Roman"/>
          <w:sz w:val="24"/>
        </w:rPr>
        <w:t xml:space="preserve"> обеспечивают разработку и реализацию комплексов процессных мероприятий муниципальной программы, в отношении которых является соисполнителем;</w:t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ind w:firstLine="709"/>
        <w:jc w:val="both"/>
        <w:tabs>
          <w:tab w:val="left" w:pos="993" w:leader="none"/>
        </w:tabs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-</w:t>
      </w:r>
      <w:r>
        <w:rPr>
          <w:rFonts w:eastAsia="Times New Roman"/>
          <w:sz w:val="24"/>
        </w:rPr>
        <w:t xml:space="preserve"> несет ответственность за достижение плановых значений показателей муниципальной программы в части, их касающейся;</w:t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ind w:firstLine="709"/>
        <w:jc w:val="both"/>
        <w:tabs>
          <w:tab w:val="left" w:pos="993" w:leader="none"/>
        </w:tabs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-</w:t>
      </w:r>
      <w:r>
        <w:rPr>
          <w:rFonts w:eastAsia="Times New Roman"/>
          <w:sz w:val="24"/>
        </w:rPr>
        <w:t xml:space="preserve"> формирует предложения по разработке проекта муниципальной программы, внесению изменений в муниципальную программу;</w:t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ind w:firstLine="709"/>
        <w:jc w:val="both"/>
        <w:tabs>
          <w:tab w:val="left" w:pos="993" w:leader="none"/>
        </w:tabs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-</w:t>
      </w:r>
      <w:r>
        <w:rPr>
          <w:rFonts w:eastAsia="Times New Roman"/>
          <w:sz w:val="24"/>
        </w:rPr>
        <w:t xml:space="preserve"> в пределах своей компетенции участвует в разработке плана реализации муниципальной программы, направляют ответственному исполнителю муниципальной программы соответствующие предложения;</w:t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ind w:firstLine="709"/>
        <w:jc w:val="both"/>
        <w:tabs>
          <w:tab w:val="left" w:pos="993" w:leader="none"/>
        </w:tabs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-</w:t>
      </w:r>
      <w:r>
        <w:rPr>
          <w:rFonts w:eastAsia="Times New Roman"/>
          <w:sz w:val="24"/>
        </w:rPr>
        <w:t xml:space="preserve"> представляют в отдел КСиМП в электронном виде в срок и по формам, установленным Порядком, всю необходимую информацию для проведения мониторинга и оценки эффективности муниципальной программы.</w:t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ind w:firstLine="709"/>
        <w:jc w:val="both"/>
        <w:tabs>
          <w:tab w:val="left" w:pos="993" w:leader="none"/>
        </w:tabs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Участники муниципальной программы:</w:t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ind w:firstLine="709"/>
        <w:jc w:val="both"/>
        <w:tabs>
          <w:tab w:val="left" w:pos="993" w:leader="none"/>
        </w:tabs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- осуществляют реализацию мероприятий муниципальной программы, участниками которых они являются;</w:t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ind w:firstLine="709"/>
        <w:jc w:val="both"/>
        <w:tabs>
          <w:tab w:val="left" w:pos="993" w:leader="none"/>
        </w:tabs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- представляют ответственному исполнителю муницип</w:t>
      </w:r>
      <w:r>
        <w:rPr>
          <w:rFonts w:eastAsia="Times New Roman"/>
          <w:sz w:val="24"/>
        </w:rPr>
        <w:t xml:space="preserve">альной программы (Направления (подпрограммы)) и соисполнителям предложения при разработке проекта муниципальной программы и предложения по внесению в нее изменений в части мероприятий муниципальной программы, в реализации которых предполагается их участие;</w:t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ind w:firstLine="709"/>
        <w:jc w:val="both"/>
        <w:tabs>
          <w:tab w:val="left" w:pos="993" w:leader="none"/>
        </w:tabs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- представляют ответственному исполнителю муниципальной программы (Направления (подпрограммы)) и соисполнителям необходимую информацию для проведения мониторинга и оценки эффективности муниципальной программы.</w:t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ind w:firstLine="709"/>
        <w:jc w:val="both"/>
        <w:tabs>
          <w:tab w:val="left" w:pos="993" w:leader="none"/>
        </w:tabs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Мониторинг выполнения муниципальной программы осуществляется по итогам за первый квартал, полугодие, девять месяцев текущего финансового года, а также по итогам прошедшего финансового года. </w:t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ind w:firstLine="709"/>
        <w:jc w:val="both"/>
        <w:tabs>
          <w:tab w:val="left" w:pos="993" w:leader="none"/>
        </w:tabs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Результаты мониторинга отражаются в отчетах о ходе реализации муниципальной программы по итогам за первый квартал, полугодие, девять месяцев, а также годовых отчетах о ходе реализации и оценке эффективности муниципальных программ в соответствии с Порядком.</w:t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ind w:firstLine="567"/>
        <w:jc w:val="both"/>
        <w:tabs>
          <w:tab w:val="left" w:pos="993" w:leader="none"/>
        </w:tabs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jc w:val="both"/>
        <w:tabs>
          <w:tab w:val="left" w:pos="993" w:leader="none"/>
        </w:tabs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ind w:firstLine="567"/>
        <w:jc w:val="both"/>
        <w:tabs>
          <w:tab w:val="left" w:pos="993" w:leader="none"/>
        </w:tabs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ind w:firstLine="567"/>
        <w:jc w:val="both"/>
        <w:tabs>
          <w:tab w:val="left" w:pos="993" w:leader="none"/>
        </w:tabs>
        <w:rPr>
          <w:rFonts w:eastAsia="Times New Roman"/>
          <w:sz w:val="24"/>
        </w:rPr>
        <w:sectPr>
          <w:footnotePr/>
          <w:endnotePr/>
          <w:type w:val="nextPage"/>
          <w:pgSz w:w="11905" w:h="16838" w:orient="portrait"/>
          <w:pgMar w:top="993" w:right="706" w:bottom="1701" w:left="1418" w:header="720" w:footer="720" w:gutter="0"/>
          <w:cols w:num="1" w:sep="0" w:space="720" w:equalWidth="1"/>
          <w:docGrid w:linePitch="360"/>
        </w:sect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ind w:firstLine="709"/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 xml:space="preserve">8. Сведения об источниках и методике расчета значений показателей муниципальной программы</w:t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ind w:firstLine="709"/>
        <w:jc w:val="both"/>
        <w:spacing w:line="288" w:lineRule="atLeast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tbl>
      <w:tblPr>
        <w:tblpPr w:horzAnchor="text" w:tblpX="-253" w:vertAnchor="text" w:tblpY="1" w:leftFromText="180" w:topFromText="0" w:rightFromText="180" w:bottomFromText="0"/>
        <w:tblW w:w="1462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5"/>
        <w:gridCol w:w="3275"/>
        <w:gridCol w:w="1121"/>
        <w:gridCol w:w="1559"/>
        <w:gridCol w:w="15"/>
        <w:gridCol w:w="2804"/>
        <w:gridCol w:w="2395"/>
        <w:gridCol w:w="15"/>
        <w:gridCol w:w="1261"/>
        <w:gridCol w:w="15"/>
        <w:gridCol w:w="1590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№ п/п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Наименование показателя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Единица измерения, временная характеристика</w:t>
            </w:r>
            <w:r>
              <w:rPr>
                <w:rFonts w:eastAsia="Times New Roman"/>
                <w:vertAlign w:val="superscript"/>
              </w:rPr>
              <w:t xml:space="preserve">4</w:t>
            </w:r>
            <w:r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Алгоритм расчета (формула)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1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Базовые показатели (используемые в формуле)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Метод сбора информации,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код формы отчетности</w:t>
            </w:r>
            <w:r>
              <w:rPr>
                <w:rFonts w:eastAsia="Times New Roman"/>
                <w:vertAlign w:val="superscript"/>
              </w:rPr>
              <w:t xml:space="preserve">5</w:t>
            </w:r>
            <w:r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получения фактических значений показателей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9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Ответственный исполнитель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56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75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gridSpan w:val="10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4050" w:type="dxa"/>
            <w:vAlign w:val="center"/>
            <w:textDirection w:val="lrTb"/>
            <w:noWrap w:val="false"/>
          </w:tcPr>
          <w:p>
            <w:pPr>
              <w:jc w:val="both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Муниципальная программа «Молодежная политика и взаимодействие с общественными организациями в Печенгском муниципальном округе»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</w:tr>
      <w:tr>
        <w:tblPrEx/>
        <w:trPr>
          <w:trHeight w:val="629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7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0.1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3275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Доля молодых граждан, принявших участие в мероприятиях в сфере молодежной политики, от общего числа молодежи Печенгского муниципального округа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1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%,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ежегодно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157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</w:rPr>
              <w:t xml:space="preserve">ДМГ= СМП</w:t>
            </w:r>
            <w:r>
              <w:rPr>
                <w:rFonts w:eastAsia="Times New Roman"/>
                <w:lang w:val="en-US"/>
              </w:rPr>
              <w:t xml:space="preserve">/</w:t>
            </w:r>
            <w:r>
              <w:rPr>
                <w:rFonts w:eastAsia="Times New Roman"/>
              </w:rPr>
              <w:t xml:space="preserve">ОЧМ </w:t>
            </w:r>
            <w:r>
              <w:rPr>
                <w:rFonts w:eastAsia="Times New Roman"/>
                <w:vertAlign w:val="subscript"/>
              </w:rPr>
              <w:t xml:space="preserve">Х </w:t>
            </w:r>
            <w:r>
              <w:rPr>
                <w:rFonts w:eastAsia="Times New Roman"/>
              </w:rPr>
              <w:t xml:space="preserve">100% </w:t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280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</w:rPr>
              <w:t xml:space="preserve">ДМГ – доля молодых граждан  </w:t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23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</w:rPr>
              <w:t xml:space="preserve">Ведомственные данные отдела КСиМП</w:t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25  января года, следующего за отчетным годом  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1605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КСиМП,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отдел образования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642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7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275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2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gridSpan w:val="2"/>
            <w:tcBorders>
              <w:left w:val="single" w:color="000000" w:sz="6" w:space="0"/>
              <w:right w:val="single" w:color="000000" w:sz="6" w:space="0"/>
            </w:tcBorders>
            <w:tcW w:w="15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80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СМП – граждане, принявшие участие в мероприятиях  в сфере молодежной политики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3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gridSpan w:val="2"/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gridSpan w:val="2"/>
            <w:tcBorders>
              <w:left w:val="single" w:color="000000" w:sz="6" w:space="0"/>
              <w:right w:val="single" w:color="000000" w:sz="6" w:space="0"/>
            </w:tcBorders>
            <w:tcW w:w="160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>
          <w:trHeight w:val="642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7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75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gridSpan w:val="2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80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ОЧМ – общее число молодежи Печенгского муниципального округа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3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gridSpan w:val="2"/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gridSpan w:val="2"/>
            <w:tcBorders>
              <w:left w:val="single" w:color="000000" w:sz="6" w:space="0"/>
              <w:right w:val="single" w:color="000000" w:sz="6" w:space="0"/>
            </w:tcBorders>
            <w:tcW w:w="160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0.2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75" w:type="dxa"/>
            <w:vAlign w:val="center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</w:rPr>
              <w:t xml:space="preserve">Количество талантливых и одаренных детей и молодежи, получающих премию Главы Печенгского муниципального округа</w:t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</w:rPr>
              <w:t xml:space="preserve">чел., ежегодно</w:t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7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х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0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х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9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Ведомственный мониторинг (данные протокола заседания конкурсной комиссии)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</w:rPr>
              <w:t xml:space="preserve">15 января года, следующего за отчетным годом </w:t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0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КСиМП,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</w:rPr>
              <w:t xml:space="preserve"> отдел образования</w:t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>
          <w:trHeight w:val="115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color w:val="000000" w:themeColor="text1"/>
              </w:rPr>
            </w:pPr>
            <w:r>
              <w:rPr>
                <w:rFonts w:eastAsia="Times New Roman"/>
                <w:color w:val="000000" w:themeColor="text1"/>
              </w:rPr>
              <w:t xml:space="preserve">0.3</w:t>
            </w:r>
            <w:r>
              <w:rPr>
                <w:rFonts w:eastAsia="Times New Roman"/>
                <w:color w:val="000000" w:themeColor="text1"/>
              </w:rPr>
            </w:r>
            <w:r>
              <w:rPr>
                <w:rFonts w:eastAsia="Times New Roman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75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color w:val="000000" w:themeColor="text1"/>
              </w:rPr>
            </w:pPr>
            <w:r>
              <w:rPr>
                <w:rFonts w:eastAsia="Times New Roman"/>
                <w:color w:val="000000" w:themeColor="text1"/>
              </w:rPr>
              <w:t xml:space="preserve">Количество проведенных мероприятий в рамках приоритетных направлений молодежной политики</w:t>
            </w:r>
            <w:r>
              <w:rPr>
                <w:rFonts w:eastAsia="Times New Roman"/>
                <w:color w:val="000000" w:themeColor="text1"/>
              </w:rPr>
            </w:r>
            <w:r>
              <w:rPr>
                <w:rFonts w:eastAsia="Times New Roman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шт., ежегодно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7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color w:val="ff0000"/>
                <w:highlight w:val="yellow"/>
                <w:vertAlign w:val="superscript"/>
                <w:lang w:val="en-US"/>
              </w:rPr>
            </w:pPr>
            <w:r>
              <w:rPr>
                <w:rFonts w:eastAsia="Times New Roman"/>
              </w:rPr>
              <w:t xml:space="preserve">х</w:t>
            </w:r>
            <w:r>
              <w:rPr>
                <w:rFonts w:eastAsia="Times New Roman"/>
                <w:color w:val="ff0000"/>
                <w:highlight w:val="yellow"/>
                <w:vertAlign w:val="superscript"/>
                <w:lang w:val="en-US"/>
              </w:rPr>
            </w:r>
            <w:r>
              <w:rPr>
                <w:rFonts w:eastAsia="Times New Roman"/>
                <w:color w:val="ff0000"/>
                <w:highlight w:val="yellow"/>
                <w:vertAlign w:val="superscript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0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color w:val="ff0000"/>
                <w:highlight w:val="yellow"/>
              </w:rPr>
            </w:pPr>
            <w:r>
              <w:rPr>
                <w:rFonts w:eastAsia="Times New Roman"/>
              </w:rPr>
              <w:t xml:space="preserve">х</w:t>
            </w:r>
            <w:r>
              <w:rPr>
                <w:rFonts w:eastAsia="Times New Roman"/>
                <w:color w:val="ff0000"/>
                <w:highlight w:val="yellow"/>
              </w:rPr>
            </w:r>
            <w:r>
              <w:rPr>
                <w:rFonts w:eastAsia="Times New Roman"/>
                <w:color w:val="ff0000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9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Ведомственные данные отдела КСиМП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 января года, следующего за отчетным годом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05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КСиМП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  <w:p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  <w:p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</w:tr>
      <w:tr>
        <w:tblPrEx/>
        <w:trPr>
          <w:trHeight w:val="198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0.4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75" w:type="dxa"/>
            <w:vAlign w:val="center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</w:rPr>
              <w:t xml:space="preserve">Общая численность детей и молодежи в возрасте до 35 лет, вовлеченных в социально активную деятельность через увеличение охвата патриотическими проектами</w:t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textDirection w:val="lrTb"/>
            <w:noWrap w:val="false"/>
          </w:tcPr>
          <w:p>
            <w:pPr>
              <w:jc w:val="center"/>
              <w:rPr>
                <w:lang w:val="en-US"/>
              </w:rPr>
            </w:pPr>
            <w:r>
              <w:t xml:space="preserve">чел., ежегодно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  <w:p>
            <w:pPr>
              <w:jc w:val="center"/>
            </w:pPr>
            <w:r/>
            <w:r/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7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color w:val="ff0000"/>
                <w:highlight w:val="yellow"/>
                <w:vertAlign w:val="superscript"/>
                <w:lang w:val="en-US"/>
              </w:rPr>
            </w:pPr>
            <w:r>
              <w:rPr>
                <w:rFonts w:eastAsia="Times New Roman"/>
              </w:rPr>
              <w:t xml:space="preserve">х</w:t>
            </w:r>
            <w:r>
              <w:rPr>
                <w:rFonts w:eastAsia="Times New Roman"/>
                <w:color w:val="ff0000"/>
                <w:highlight w:val="yellow"/>
                <w:vertAlign w:val="superscript"/>
                <w:lang w:val="en-US"/>
              </w:rPr>
            </w:r>
            <w:r>
              <w:rPr>
                <w:rFonts w:eastAsia="Times New Roman"/>
                <w:color w:val="ff0000"/>
                <w:highlight w:val="yellow"/>
                <w:vertAlign w:val="superscript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0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color w:val="000000" w:themeColor="text1"/>
                <w:highlight w:val="yellow"/>
              </w:rPr>
            </w:pPr>
            <w:r>
              <w:rPr>
                <w:rFonts w:eastAsia="Times New Roman"/>
                <w:color w:val="000000" w:themeColor="text1"/>
              </w:rPr>
              <w:t xml:space="preserve">х</w:t>
            </w:r>
            <w:r>
              <w:rPr>
                <w:rFonts w:eastAsia="Times New Roman"/>
                <w:color w:val="000000" w:themeColor="text1"/>
                <w:highlight w:val="yellow"/>
              </w:rPr>
            </w:r>
            <w:r>
              <w:rPr>
                <w:rFonts w:eastAsia="Times New Roman"/>
                <w:color w:val="000000" w:themeColor="text1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9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color w:val="000000" w:themeColor="text1"/>
                <w:highlight w:val="yellow"/>
              </w:rPr>
            </w:pPr>
            <w:r>
              <w:rPr>
                <w:rFonts w:eastAsia="Times New Roman"/>
                <w:color w:val="000000" w:themeColor="text1"/>
              </w:rPr>
              <w:t xml:space="preserve">Ведомственные данные отдела КСиМП</w:t>
            </w:r>
            <w:r>
              <w:rPr>
                <w:rFonts w:eastAsia="Times New Roman"/>
                <w:color w:val="000000" w:themeColor="text1"/>
                <w:highlight w:val="yellow"/>
              </w:rPr>
            </w:r>
            <w:r>
              <w:rPr>
                <w:rFonts w:eastAsia="Times New Roman"/>
                <w:color w:val="000000" w:themeColor="text1"/>
                <w:highlight w:val="yellow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color w:val="ff0000"/>
                <w:highlight w:val="yellow"/>
              </w:rPr>
            </w:pPr>
            <w:r>
              <w:rPr>
                <w:rFonts w:eastAsia="Times New Roman"/>
                <w:color w:val="000000" w:themeColor="text1"/>
              </w:rPr>
              <w:t xml:space="preserve">15 января года, следующего за отчетным годом</w:t>
            </w:r>
            <w:r>
              <w:rPr>
                <w:rFonts w:eastAsia="Times New Roman"/>
                <w:color w:val="ff0000"/>
                <w:highlight w:val="yellow"/>
              </w:rPr>
            </w:r>
            <w:r>
              <w:rPr>
                <w:rFonts w:eastAsia="Times New Roman"/>
                <w:color w:val="ff0000"/>
                <w:highlight w:val="yellow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05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образования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198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5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0.5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3275" w:type="dxa"/>
            <w:vAlign w:val="center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Количество зданий молодежных пространств, в отношении которых проведен капитальный ремонт фасада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121" w:type="dxa"/>
            <w:textDirection w:val="lrTb"/>
            <w:noWrap w:val="false"/>
          </w:tcPr>
          <w:p>
            <w:pPr>
              <w:jc w:val="center"/>
            </w:pPr>
            <w:r>
              <w:rPr>
                <w:color w:val="000000" w:themeColor="text1"/>
              </w:rPr>
              <w:t xml:space="preserve">шт., 2026 год</w:t>
            </w:r>
            <w:r/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7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color w:val="ff0000"/>
                <w:highlight w:val="yellow"/>
                <w:vertAlign w:val="superscript"/>
                <w:lang w:val="en-US"/>
              </w:rPr>
            </w:pPr>
            <w:r>
              <w:rPr>
                <w:rFonts w:eastAsia="Times New Roman"/>
              </w:rPr>
              <w:t xml:space="preserve">х</w:t>
            </w:r>
            <w:r>
              <w:rPr>
                <w:rFonts w:eastAsia="Times New Roman"/>
                <w:color w:val="ff0000"/>
                <w:highlight w:val="yellow"/>
                <w:vertAlign w:val="superscript"/>
                <w:lang w:val="en-US"/>
              </w:rPr>
            </w:r>
            <w:r>
              <w:rPr>
                <w:rFonts w:eastAsia="Times New Roman"/>
                <w:color w:val="ff0000"/>
                <w:highlight w:val="yellow"/>
                <w:vertAlign w:val="superscript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0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color w:val="ff0000"/>
                <w:highlight w:val="yellow"/>
              </w:rPr>
            </w:pPr>
            <w:r>
              <w:rPr>
                <w:rFonts w:eastAsia="Times New Roman"/>
              </w:rPr>
              <w:t xml:space="preserve">х</w:t>
            </w:r>
            <w:r>
              <w:rPr>
                <w:rFonts w:eastAsia="Times New Roman"/>
                <w:color w:val="ff0000"/>
                <w:highlight w:val="yellow"/>
              </w:rPr>
            </w:r>
            <w:r>
              <w:rPr>
                <w:rFonts w:eastAsia="Times New Roman"/>
                <w:color w:val="ff0000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39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Ведомственные данные отдела КСиМП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 января года, следующего за отчетным годом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605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КСиМП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  <w:p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  <w:p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</w:tr>
    </w:tbl>
    <w:p>
      <w:pPr>
        <w:contextualSpacing/>
        <w:spacing w:line="288" w:lineRule="atLeast"/>
        <w:rPr>
          <w:rFonts w:eastAsia="Times New Roman"/>
          <w:sz w:val="16"/>
          <w:szCs w:val="16"/>
        </w:rPr>
      </w:pPr>
      <w:r/>
      <w:bookmarkStart w:id="5" w:name="p124"/>
      <w:r/>
      <w:bookmarkEnd w:id="5"/>
      <w:r>
        <w:rPr>
          <w:rFonts w:eastAsia="Times New Roman"/>
          <w:sz w:val="16"/>
          <w:szCs w:val="16"/>
          <w:vertAlign w:val="superscript"/>
        </w:rPr>
        <w:br w:type="textWrapping" w:clear="all"/>
        <w:t xml:space="preserve">4</w:t>
      </w:r>
      <w:r>
        <w:rPr>
          <w:rFonts w:eastAsia="Times New Roman"/>
          <w:sz w:val="16"/>
          <w:szCs w:val="16"/>
        </w:rPr>
        <w:t xml:space="preserve">Ежегодно, нарастающим итогом, убывающим итогом. </w:t>
      </w:r>
      <w:r>
        <w:rPr>
          <w:rFonts w:eastAsia="Times New Roman"/>
          <w:sz w:val="16"/>
          <w:szCs w:val="16"/>
        </w:rPr>
      </w:r>
      <w:r>
        <w:rPr>
          <w:rFonts w:eastAsia="Times New Roman"/>
          <w:sz w:val="16"/>
          <w:szCs w:val="16"/>
        </w:rPr>
      </w:r>
    </w:p>
    <w:p>
      <w:pPr>
        <w:contextualSpacing/>
        <w:spacing w:before="168" w:line="288" w:lineRule="atLeast"/>
        <w:rPr>
          <w:rFonts w:eastAsia="Times New Roman"/>
          <w:sz w:val="16"/>
          <w:szCs w:val="16"/>
        </w:rPr>
        <w:sectPr>
          <w:footnotePr/>
          <w:endnotePr/>
          <w:type w:val="nextPage"/>
          <w:pgSz w:w="16838" w:h="11905" w:orient="landscape"/>
          <w:pgMar w:top="851" w:right="851" w:bottom="993" w:left="1701" w:header="720" w:footer="720" w:gutter="0"/>
          <w:cols w:num="1" w:sep="0" w:space="720" w:equalWidth="1"/>
          <w:docGrid w:linePitch="360"/>
        </w:sectPr>
      </w:pPr>
      <w:r>
        <w:rPr>
          <w:rFonts w:eastAsia="Times New Roman"/>
          <w:sz w:val="16"/>
          <w:szCs w:val="16"/>
          <w:vertAlign w:val="superscript"/>
        </w:rPr>
        <w:t xml:space="preserve">5</w:t>
      </w:r>
      <w:r>
        <w:rPr>
          <w:rFonts w:eastAsia="Times New Roman"/>
          <w:sz w:val="16"/>
          <w:szCs w:val="16"/>
        </w:rPr>
        <w:t xml:space="preserve">Указываются методы: статистическая отчетность, социологический опрос, прочие (указать).».</w:t>
      </w:r>
      <w:r>
        <w:rPr>
          <w:rFonts w:eastAsia="Times New Roman"/>
          <w:sz w:val="16"/>
          <w:szCs w:val="16"/>
        </w:rPr>
      </w:r>
      <w:r>
        <w:rPr>
          <w:rFonts w:eastAsia="Times New Roman"/>
          <w:sz w:val="16"/>
          <w:szCs w:val="16"/>
        </w:rPr>
      </w:r>
    </w:p>
    <w:p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Sun">
    <w:panose1 w:val="02010600030101010101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Verdan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23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23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1">
    <w:multiLevelType w:val="hybridMultilevel"/>
    <w:lvl w:ilvl="0">
      <w:start w:val="2027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num w:numId="1">
    <w:abstractNumId w:val="7"/>
  </w:num>
  <w:num w:numId="2">
    <w:abstractNumId w:val="2"/>
  </w:num>
  <w:num w:numId="3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  <w:num w:numId="6">
    <w:abstractNumId w:val="5"/>
  </w:num>
  <w:num w:numId="7">
    <w:abstractNumId w:val="1"/>
  </w:num>
  <w:num w:numId="8">
    <w:abstractNumId w:val="6"/>
  </w:num>
  <w:num w:numId="9">
    <w:abstractNumId w:val="4"/>
  </w:num>
  <w:num w:numId="10">
    <w:abstractNumId w:val="10"/>
  </w:num>
  <w:num w:numId="11">
    <w:abstractNumId w:val="11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79">
    <w:name w:val="Plain Table 1"/>
    <w:basedOn w:val="70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0">
    <w:name w:val="Plain Table 2"/>
    <w:basedOn w:val="70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1">
    <w:name w:val="Plain Table 3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2">
    <w:name w:val="Plain Table 4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Plain Table 5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4">
    <w:name w:val="Grid Table 1 Light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2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3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4"/>
    <w:basedOn w:val="7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88">
    <w:name w:val="Grid Table 5 Dark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89">
    <w:name w:val="Grid Table 6 Colorful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90">
    <w:name w:val="Grid Table 7 Colorful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List Table 1 Light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List Table 2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93">
    <w:name w:val="List Table 3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List Table 4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List Table 5 Dark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96">
    <w:name w:val="List Table 6 Colorful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97">
    <w:name w:val="List Table 7 Colorful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698" w:default="1">
    <w:name w:val="Normal"/>
    <w:qFormat/>
    <w:rPr>
      <w:rFonts w:eastAsia="Calibri"/>
    </w:rPr>
  </w:style>
  <w:style w:type="paragraph" w:styleId="699">
    <w:name w:val="Heading 1"/>
    <w:basedOn w:val="698"/>
    <w:next w:val="698"/>
    <w:link w:val="74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00">
    <w:name w:val="Heading 2"/>
    <w:basedOn w:val="698"/>
    <w:next w:val="698"/>
    <w:link w:val="74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01">
    <w:name w:val="Heading 3"/>
    <w:basedOn w:val="698"/>
    <w:next w:val="698"/>
    <w:link w:val="7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02">
    <w:name w:val="Heading 4"/>
    <w:basedOn w:val="698"/>
    <w:next w:val="698"/>
    <w:link w:val="74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3">
    <w:name w:val="Heading 5"/>
    <w:basedOn w:val="698"/>
    <w:next w:val="698"/>
    <w:link w:val="74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4">
    <w:name w:val="Heading 6"/>
    <w:basedOn w:val="698"/>
    <w:next w:val="698"/>
    <w:link w:val="75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05">
    <w:name w:val="Heading 7"/>
    <w:basedOn w:val="698"/>
    <w:next w:val="698"/>
    <w:link w:val="75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6">
    <w:name w:val="Heading 8"/>
    <w:basedOn w:val="698"/>
    <w:next w:val="698"/>
    <w:link w:val="75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7">
    <w:name w:val="Heading 9"/>
    <w:basedOn w:val="698"/>
    <w:next w:val="698"/>
    <w:link w:val="75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8" w:default="1">
    <w:name w:val="Default Paragraph Font"/>
    <w:uiPriority w:val="1"/>
    <w:semiHidden/>
    <w:unhideWhenUsed/>
  </w:style>
  <w:style w:type="table" w:styleId="70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0" w:default="1">
    <w:name w:val="No List"/>
    <w:uiPriority w:val="99"/>
    <w:semiHidden/>
    <w:unhideWhenUsed/>
  </w:style>
  <w:style w:type="character" w:styleId="711" w:customStyle="1">
    <w:name w:val="Heading 1 Char"/>
    <w:basedOn w:val="708"/>
    <w:uiPriority w:val="9"/>
    <w:rPr>
      <w:rFonts w:ascii="Arial" w:hAnsi="Arial" w:eastAsia="Arial" w:cs="Arial"/>
      <w:sz w:val="40"/>
      <w:szCs w:val="40"/>
    </w:rPr>
  </w:style>
  <w:style w:type="character" w:styleId="712" w:customStyle="1">
    <w:name w:val="Heading 2 Char"/>
    <w:basedOn w:val="708"/>
    <w:uiPriority w:val="9"/>
    <w:rPr>
      <w:rFonts w:ascii="Arial" w:hAnsi="Arial" w:eastAsia="Arial" w:cs="Arial"/>
      <w:sz w:val="34"/>
    </w:rPr>
  </w:style>
  <w:style w:type="character" w:styleId="713" w:customStyle="1">
    <w:name w:val="Heading 3 Char"/>
    <w:basedOn w:val="708"/>
    <w:uiPriority w:val="9"/>
    <w:rPr>
      <w:rFonts w:ascii="Arial" w:hAnsi="Arial" w:eastAsia="Arial" w:cs="Arial"/>
      <w:sz w:val="30"/>
      <w:szCs w:val="30"/>
    </w:rPr>
  </w:style>
  <w:style w:type="character" w:styleId="714" w:customStyle="1">
    <w:name w:val="Heading 4 Char"/>
    <w:basedOn w:val="708"/>
    <w:uiPriority w:val="9"/>
    <w:rPr>
      <w:rFonts w:ascii="Arial" w:hAnsi="Arial" w:eastAsia="Arial" w:cs="Arial"/>
      <w:b/>
      <w:bCs/>
      <w:sz w:val="26"/>
      <w:szCs w:val="26"/>
    </w:rPr>
  </w:style>
  <w:style w:type="character" w:styleId="715" w:customStyle="1">
    <w:name w:val="Heading 5 Char"/>
    <w:basedOn w:val="708"/>
    <w:uiPriority w:val="9"/>
    <w:rPr>
      <w:rFonts w:ascii="Arial" w:hAnsi="Arial" w:eastAsia="Arial" w:cs="Arial"/>
      <w:b/>
      <w:bCs/>
      <w:sz w:val="24"/>
      <w:szCs w:val="24"/>
    </w:rPr>
  </w:style>
  <w:style w:type="character" w:styleId="716" w:customStyle="1">
    <w:name w:val="Heading 6 Char"/>
    <w:basedOn w:val="708"/>
    <w:uiPriority w:val="9"/>
    <w:rPr>
      <w:rFonts w:ascii="Arial" w:hAnsi="Arial" w:eastAsia="Arial" w:cs="Arial"/>
      <w:b/>
      <w:bCs/>
      <w:sz w:val="22"/>
      <w:szCs w:val="22"/>
    </w:rPr>
  </w:style>
  <w:style w:type="character" w:styleId="717" w:customStyle="1">
    <w:name w:val="Heading 7 Char"/>
    <w:basedOn w:val="70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8" w:customStyle="1">
    <w:name w:val="Heading 8 Char"/>
    <w:basedOn w:val="708"/>
    <w:uiPriority w:val="9"/>
    <w:rPr>
      <w:rFonts w:ascii="Arial" w:hAnsi="Arial" w:eastAsia="Arial" w:cs="Arial"/>
      <w:i/>
      <w:iCs/>
      <w:sz w:val="22"/>
      <w:szCs w:val="22"/>
    </w:rPr>
  </w:style>
  <w:style w:type="character" w:styleId="719" w:customStyle="1">
    <w:name w:val="Heading 9 Char"/>
    <w:basedOn w:val="708"/>
    <w:uiPriority w:val="9"/>
    <w:rPr>
      <w:rFonts w:ascii="Arial" w:hAnsi="Arial" w:eastAsia="Arial" w:cs="Arial"/>
      <w:i/>
      <w:iCs/>
      <w:sz w:val="21"/>
      <w:szCs w:val="21"/>
    </w:rPr>
  </w:style>
  <w:style w:type="character" w:styleId="720" w:customStyle="1">
    <w:name w:val="Title Char"/>
    <w:basedOn w:val="708"/>
    <w:uiPriority w:val="10"/>
    <w:rPr>
      <w:sz w:val="48"/>
      <w:szCs w:val="48"/>
    </w:rPr>
  </w:style>
  <w:style w:type="character" w:styleId="721" w:customStyle="1">
    <w:name w:val="Subtitle Char"/>
    <w:basedOn w:val="708"/>
    <w:uiPriority w:val="11"/>
    <w:rPr>
      <w:sz w:val="24"/>
      <w:szCs w:val="24"/>
    </w:rPr>
  </w:style>
  <w:style w:type="character" w:styleId="722" w:customStyle="1">
    <w:name w:val="Quote Char"/>
    <w:uiPriority w:val="29"/>
    <w:rPr>
      <w:i/>
    </w:rPr>
  </w:style>
  <w:style w:type="character" w:styleId="723" w:customStyle="1">
    <w:name w:val="Intense Quote Char"/>
    <w:uiPriority w:val="30"/>
    <w:rPr>
      <w:i/>
    </w:rPr>
  </w:style>
  <w:style w:type="table" w:styleId="724" w:customStyle="1">
    <w:name w:val="Таблица простая 11"/>
    <w:basedOn w:val="70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 w:customStyle="1">
    <w:name w:val="Таблица простая 21"/>
    <w:basedOn w:val="709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6" w:customStyle="1">
    <w:name w:val="Таблица простая 31"/>
    <w:basedOn w:val="70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7" w:customStyle="1">
    <w:name w:val="Таблица простая 41"/>
    <w:basedOn w:val="70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Таблица простая 51"/>
    <w:basedOn w:val="70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9" w:customStyle="1">
    <w:name w:val="Таблица-сетка 1 светлая1"/>
    <w:basedOn w:val="709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Таблица-сетка 21"/>
    <w:basedOn w:val="70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Таблица-сетка 31"/>
    <w:basedOn w:val="70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Таблица-сетка 41"/>
    <w:basedOn w:val="709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Таблица-сетка 5 темная1"/>
    <w:basedOn w:val="70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Таблица-сетка 6 цветная1"/>
    <w:basedOn w:val="709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35" w:customStyle="1">
    <w:name w:val="Таблица-сетка 7 цветная1"/>
    <w:basedOn w:val="709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36" w:customStyle="1">
    <w:name w:val="Список-таблица 1 светлая1"/>
    <w:basedOn w:val="709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Список-таблица 21"/>
    <w:basedOn w:val="709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38" w:customStyle="1">
    <w:name w:val="Список-таблица 31"/>
    <w:basedOn w:val="70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Список-таблица 41"/>
    <w:basedOn w:val="70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Список-таблица 5 темная1"/>
    <w:basedOn w:val="709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41" w:customStyle="1">
    <w:name w:val="Список-таблица 6 цветная1"/>
    <w:basedOn w:val="709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42" w:customStyle="1">
    <w:name w:val="Список-таблица 7 цветная1"/>
    <w:basedOn w:val="709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43" w:customStyle="1">
    <w:name w:val="Footnote Text Char"/>
    <w:uiPriority w:val="99"/>
    <w:rPr>
      <w:sz w:val="18"/>
    </w:rPr>
  </w:style>
  <w:style w:type="character" w:styleId="744" w:customStyle="1">
    <w:name w:val="Endnote Text Char"/>
    <w:uiPriority w:val="99"/>
    <w:rPr>
      <w:sz w:val="20"/>
    </w:rPr>
  </w:style>
  <w:style w:type="character" w:styleId="745" w:customStyle="1">
    <w:name w:val="Заголовок 1 Знак"/>
    <w:basedOn w:val="708"/>
    <w:link w:val="699"/>
    <w:uiPriority w:val="9"/>
    <w:rPr>
      <w:rFonts w:ascii="Arial" w:hAnsi="Arial" w:eastAsia="Arial" w:cs="Arial"/>
      <w:sz w:val="40"/>
      <w:szCs w:val="40"/>
    </w:rPr>
  </w:style>
  <w:style w:type="character" w:styleId="746" w:customStyle="1">
    <w:name w:val="Заголовок 2 Знак"/>
    <w:basedOn w:val="708"/>
    <w:link w:val="700"/>
    <w:uiPriority w:val="9"/>
    <w:rPr>
      <w:rFonts w:ascii="Arial" w:hAnsi="Arial" w:eastAsia="Arial" w:cs="Arial"/>
      <w:sz w:val="34"/>
    </w:rPr>
  </w:style>
  <w:style w:type="character" w:styleId="747" w:customStyle="1">
    <w:name w:val="Заголовок 3 Знак"/>
    <w:basedOn w:val="708"/>
    <w:link w:val="701"/>
    <w:uiPriority w:val="9"/>
    <w:rPr>
      <w:rFonts w:ascii="Arial" w:hAnsi="Arial" w:eastAsia="Arial" w:cs="Arial"/>
      <w:sz w:val="30"/>
      <w:szCs w:val="30"/>
    </w:rPr>
  </w:style>
  <w:style w:type="character" w:styleId="748" w:customStyle="1">
    <w:name w:val="Заголовок 4 Знак"/>
    <w:basedOn w:val="708"/>
    <w:link w:val="702"/>
    <w:uiPriority w:val="9"/>
    <w:rPr>
      <w:rFonts w:ascii="Arial" w:hAnsi="Arial" w:eastAsia="Arial" w:cs="Arial"/>
      <w:b/>
      <w:bCs/>
      <w:sz w:val="26"/>
      <w:szCs w:val="26"/>
    </w:rPr>
  </w:style>
  <w:style w:type="character" w:styleId="749" w:customStyle="1">
    <w:name w:val="Заголовок 5 Знак"/>
    <w:basedOn w:val="708"/>
    <w:link w:val="703"/>
    <w:uiPriority w:val="9"/>
    <w:rPr>
      <w:rFonts w:ascii="Arial" w:hAnsi="Arial" w:eastAsia="Arial" w:cs="Arial"/>
      <w:b/>
      <w:bCs/>
      <w:sz w:val="24"/>
      <w:szCs w:val="24"/>
    </w:rPr>
  </w:style>
  <w:style w:type="character" w:styleId="750" w:customStyle="1">
    <w:name w:val="Заголовок 6 Знак"/>
    <w:basedOn w:val="708"/>
    <w:link w:val="704"/>
    <w:uiPriority w:val="9"/>
    <w:rPr>
      <w:rFonts w:ascii="Arial" w:hAnsi="Arial" w:eastAsia="Arial" w:cs="Arial"/>
      <w:b/>
      <w:bCs/>
      <w:sz w:val="22"/>
      <w:szCs w:val="22"/>
    </w:rPr>
  </w:style>
  <w:style w:type="character" w:styleId="751" w:customStyle="1">
    <w:name w:val="Заголовок 7 Знак"/>
    <w:basedOn w:val="708"/>
    <w:link w:val="70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2" w:customStyle="1">
    <w:name w:val="Заголовок 8 Знак"/>
    <w:basedOn w:val="708"/>
    <w:link w:val="706"/>
    <w:uiPriority w:val="9"/>
    <w:rPr>
      <w:rFonts w:ascii="Arial" w:hAnsi="Arial" w:eastAsia="Arial" w:cs="Arial"/>
      <w:i/>
      <w:iCs/>
      <w:sz w:val="22"/>
      <w:szCs w:val="22"/>
    </w:rPr>
  </w:style>
  <w:style w:type="character" w:styleId="753" w:customStyle="1">
    <w:name w:val="Заголовок 9 Знак"/>
    <w:basedOn w:val="708"/>
    <w:link w:val="707"/>
    <w:uiPriority w:val="9"/>
    <w:rPr>
      <w:rFonts w:ascii="Arial" w:hAnsi="Arial" w:eastAsia="Arial" w:cs="Arial"/>
      <w:i/>
      <w:iCs/>
      <w:sz w:val="21"/>
      <w:szCs w:val="21"/>
    </w:rPr>
  </w:style>
  <w:style w:type="paragraph" w:styleId="754">
    <w:name w:val="Title"/>
    <w:basedOn w:val="698"/>
    <w:next w:val="698"/>
    <w:link w:val="75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5" w:customStyle="1">
    <w:name w:val="Название Знак"/>
    <w:basedOn w:val="708"/>
    <w:link w:val="754"/>
    <w:uiPriority w:val="10"/>
    <w:rPr>
      <w:sz w:val="48"/>
      <w:szCs w:val="48"/>
    </w:rPr>
  </w:style>
  <w:style w:type="paragraph" w:styleId="756">
    <w:name w:val="Subtitle"/>
    <w:basedOn w:val="698"/>
    <w:next w:val="698"/>
    <w:link w:val="757"/>
    <w:uiPriority w:val="11"/>
    <w:qFormat/>
    <w:pPr>
      <w:spacing w:before="200" w:after="200"/>
    </w:pPr>
    <w:rPr>
      <w:sz w:val="24"/>
      <w:szCs w:val="24"/>
    </w:rPr>
  </w:style>
  <w:style w:type="character" w:styleId="757" w:customStyle="1">
    <w:name w:val="Подзаголовок Знак"/>
    <w:basedOn w:val="708"/>
    <w:link w:val="756"/>
    <w:uiPriority w:val="11"/>
    <w:rPr>
      <w:sz w:val="24"/>
      <w:szCs w:val="24"/>
    </w:rPr>
  </w:style>
  <w:style w:type="paragraph" w:styleId="758">
    <w:name w:val="Quote"/>
    <w:basedOn w:val="698"/>
    <w:next w:val="698"/>
    <w:link w:val="759"/>
    <w:uiPriority w:val="29"/>
    <w:qFormat/>
    <w:pPr>
      <w:ind w:left="720" w:right="720"/>
    </w:pPr>
    <w:rPr>
      <w:i/>
    </w:rPr>
  </w:style>
  <w:style w:type="character" w:styleId="759" w:customStyle="1">
    <w:name w:val="Цитата 2 Знак"/>
    <w:link w:val="758"/>
    <w:uiPriority w:val="29"/>
    <w:rPr>
      <w:i/>
    </w:rPr>
  </w:style>
  <w:style w:type="paragraph" w:styleId="760">
    <w:name w:val="Intense Quote"/>
    <w:basedOn w:val="698"/>
    <w:next w:val="698"/>
    <w:link w:val="76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1" w:customStyle="1">
    <w:name w:val="Выделенная цитата Знак"/>
    <w:link w:val="760"/>
    <w:uiPriority w:val="30"/>
    <w:rPr>
      <w:i/>
    </w:rPr>
  </w:style>
  <w:style w:type="character" w:styleId="762" w:customStyle="1">
    <w:name w:val="Header Char"/>
    <w:basedOn w:val="708"/>
    <w:uiPriority w:val="99"/>
  </w:style>
  <w:style w:type="character" w:styleId="763" w:customStyle="1">
    <w:name w:val="Footer Char"/>
    <w:basedOn w:val="708"/>
    <w:uiPriority w:val="99"/>
  </w:style>
  <w:style w:type="paragraph" w:styleId="764">
    <w:name w:val="Caption"/>
    <w:basedOn w:val="698"/>
    <w:next w:val="69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5" w:customStyle="1">
    <w:name w:val="Caption Char"/>
    <w:uiPriority w:val="99"/>
  </w:style>
  <w:style w:type="table" w:styleId="766" w:customStyle="1">
    <w:name w:val="Table Grid Light"/>
    <w:basedOn w:val="70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67" w:customStyle="1">
    <w:name w:val="Таблица простая 11"/>
    <w:basedOn w:val="70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8" w:customStyle="1">
    <w:name w:val="Таблица простая 21"/>
    <w:basedOn w:val="709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9" w:customStyle="1">
    <w:name w:val="Таблица простая 31"/>
    <w:basedOn w:val="70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0" w:customStyle="1">
    <w:name w:val="Таблица простая 41"/>
    <w:basedOn w:val="70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Таблица простая 51"/>
    <w:basedOn w:val="70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2" w:customStyle="1">
    <w:name w:val="Таблица-сетка 1 светлая1"/>
    <w:basedOn w:val="709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Grid Table 1 Light - Accent 1"/>
    <w:basedOn w:val="709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Grid Table 1 Light - Accent 2"/>
    <w:basedOn w:val="709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Grid Table 1 Light - Accent 3"/>
    <w:basedOn w:val="709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Grid Table 1 Light - Accent 4"/>
    <w:basedOn w:val="709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Grid Table 1 Light - Accent 5"/>
    <w:basedOn w:val="709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Grid Table 1 Light - Accent 6"/>
    <w:basedOn w:val="709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Таблица-сетка 21"/>
    <w:basedOn w:val="70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2 - Accent 1"/>
    <w:basedOn w:val="709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2 - Accent 2"/>
    <w:basedOn w:val="709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2 - Accent 3"/>
    <w:basedOn w:val="709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2 - Accent 4"/>
    <w:basedOn w:val="709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2 - Accent 5"/>
    <w:basedOn w:val="709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2 - Accent 6"/>
    <w:basedOn w:val="709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Таблица-сетка 31"/>
    <w:basedOn w:val="70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3 - Accent 1"/>
    <w:basedOn w:val="709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3 - Accent 2"/>
    <w:basedOn w:val="709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3 - Accent 3"/>
    <w:basedOn w:val="709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3 - Accent 4"/>
    <w:basedOn w:val="709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3 - Accent 5"/>
    <w:basedOn w:val="709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3 - Accent 6"/>
    <w:basedOn w:val="709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Таблица-сетка 41"/>
    <w:basedOn w:val="709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4" w:customStyle="1">
    <w:name w:val="Grid Table 4 - Accent 1"/>
    <w:basedOn w:val="709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95" w:customStyle="1">
    <w:name w:val="Grid Table 4 - Accent 2"/>
    <w:basedOn w:val="709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96" w:customStyle="1">
    <w:name w:val="Grid Table 4 - Accent 3"/>
    <w:basedOn w:val="709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97" w:customStyle="1">
    <w:name w:val="Grid Table 4 - Accent 4"/>
    <w:basedOn w:val="709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98" w:customStyle="1">
    <w:name w:val="Grid Table 4 - Accent 5"/>
    <w:basedOn w:val="709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99" w:customStyle="1">
    <w:name w:val="Grid Table 4 - Accent 6"/>
    <w:basedOn w:val="709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00" w:customStyle="1">
    <w:name w:val="Таблица-сетка 5 темная1"/>
    <w:basedOn w:val="70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1" w:customStyle="1">
    <w:name w:val="Grid Table 5 Dark- Accent 1"/>
    <w:basedOn w:val="70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02" w:customStyle="1">
    <w:name w:val="Grid Table 5 Dark - Accent 2"/>
    <w:basedOn w:val="70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03" w:customStyle="1">
    <w:name w:val="Grid Table 5 Dark - Accent 3"/>
    <w:basedOn w:val="70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04" w:customStyle="1">
    <w:name w:val="Grid Table 5 Dark- Accent 4"/>
    <w:basedOn w:val="70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05" w:customStyle="1">
    <w:name w:val="Grid Table 5 Dark - Accent 5"/>
    <w:basedOn w:val="70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06" w:customStyle="1">
    <w:name w:val="Grid Table 5 Dark - Accent 6"/>
    <w:basedOn w:val="70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07" w:customStyle="1">
    <w:name w:val="Таблица-сетка 6 цветная1"/>
    <w:basedOn w:val="709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8" w:customStyle="1">
    <w:name w:val="Grid Table 6 Colorful - Accent 1"/>
    <w:basedOn w:val="709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09" w:customStyle="1">
    <w:name w:val="Grid Table 6 Colorful - Accent 2"/>
    <w:basedOn w:val="709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10" w:customStyle="1">
    <w:name w:val="Grid Table 6 Colorful - Accent 3"/>
    <w:basedOn w:val="709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11" w:customStyle="1">
    <w:name w:val="Grid Table 6 Colorful - Accent 4"/>
    <w:basedOn w:val="709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12" w:customStyle="1">
    <w:name w:val="Grid Table 6 Colorful - Accent 5"/>
    <w:basedOn w:val="709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3" w:customStyle="1">
    <w:name w:val="Grid Table 6 Colorful - Accent 6"/>
    <w:basedOn w:val="709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4" w:customStyle="1">
    <w:name w:val="Таблица-сетка 7 цветная1"/>
    <w:basedOn w:val="709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Grid Table 7 Colorful - Accent 1"/>
    <w:basedOn w:val="709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Grid Table 7 Colorful - Accent 2"/>
    <w:basedOn w:val="709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Grid Table 7 Colorful - Accent 3"/>
    <w:basedOn w:val="709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Grid Table 7 Colorful - Accent 4"/>
    <w:basedOn w:val="709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Grid Table 7 Colorful - Accent 5"/>
    <w:basedOn w:val="709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Grid Table 7 Colorful - Accent 6"/>
    <w:basedOn w:val="709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Список-таблица 1 светлая1"/>
    <w:basedOn w:val="709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1 Light - Accent 1"/>
    <w:basedOn w:val="709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1 Light - Accent 2"/>
    <w:basedOn w:val="709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st Table 1 Light - Accent 3"/>
    <w:basedOn w:val="709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List Table 1 Light - Accent 4"/>
    <w:basedOn w:val="709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List Table 1 Light - Accent 5"/>
    <w:basedOn w:val="709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List Table 1 Light - Accent 6"/>
    <w:basedOn w:val="709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Список-таблица 21"/>
    <w:basedOn w:val="709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29" w:customStyle="1">
    <w:name w:val="List Table 2 - Accent 1"/>
    <w:basedOn w:val="709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30" w:customStyle="1">
    <w:name w:val="List Table 2 - Accent 2"/>
    <w:basedOn w:val="709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31" w:customStyle="1">
    <w:name w:val="List Table 2 - Accent 3"/>
    <w:basedOn w:val="709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32" w:customStyle="1">
    <w:name w:val="List Table 2 - Accent 4"/>
    <w:basedOn w:val="709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33" w:customStyle="1">
    <w:name w:val="List Table 2 - Accent 5"/>
    <w:basedOn w:val="709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34" w:customStyle="1">
    <w:name w:val="List Table 2 - Accent 6"/>
    <w:basedOn w:val="709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35" w:customStyle="1">
    <w:name w:val="Список-таблица 31"/>
    <w:basedOn w:val="70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3 - Accent 1"/>
    <w:basedOn w:val="709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3 - Accent 2"/>
    <w:basedOn w:val="709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3 - Accent 3"/>
    <w:basedOn w:val="709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3 - Accent 4"/>
    <w:basedOn w:val="709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3 - Accent 5"/>
    <w:basedOn w:val="709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3 - Accent 6"/>
    <w:basedOn w:val="709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Список-таблица 41"/>
    <w:basedOn w:val="70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4 - Accent 1"/>
    <w:basedOn w:val="709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4 - Accent 2"/>
    <w:basedOn w:val="709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4 - Accent 3"/>
    <w:basedOn w:val="709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4 - Accent 4"/>
    <w:basedOn w:val="709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4 - Accent 5"/>
    <w:basedOn w:val="709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4 - Accent 6"/>
    <w:basedOn w:val="709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Список-таблица 5 темная1"/>
    <w:basedOn w:val="709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0" w:customStyle="1">
    <w:name w:val="List Table 5 Dark - Accent 1"/>
    <w:basedOn w:val="709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1" w:customStyle="1">
    <w:name w:val="List Table 5 Dark - Accent 2"/>
    <w:basedOn w:val="709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2" w:customStyle="1">
    <w:name w:val="List Table 5 Dark - Accent 3"/>
    <w:basedOn w:val="709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3" w:customStyle="1">
    <w:name w:val="List Table 5 Dark - Accent 4"/>
    <w:basedOn w:val="709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4" w:customStyle="1">
    <w:name w:val="List Table 5 Dark - Accent 5"/>
    <w:basedOn w:val="709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5" w:customStyle="1">
    <w:name w:val="List Table 5 Dark - Accent 6"/>
    <w:basedOn w:val="709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6" w:customStyle="1">
    <w:name w:val="Список-таблица 6 цветная1"/>
    <w:basedOn w:val="709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57" w:customStyle="1">
    <w:name w:val="List Table 6 Colorful - Accent 1"/>
    <w:basedOn w:val="709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58" w:customStyle="1">
    <w:name w:val="List Table 6 Colorful - Accent 2"/>
    <w:basedOn w:val="709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59" w:customStyle="1">
    <w:name w:val="List Table 6 Colorful - Accent 3"/>
    <w:basedOn w:val="709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60" w:customStyle="1">
    <w:name w:val="List Table 6 Colorful - Accent 4"/>
    <w:basedOn w:val="709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61" w:customStyle="1">
    <w:name w:val="List Table 6 Colorful - Accent 5"/>
    <w:basedOn w:val="709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62" w:customStyle="1">
    <w:name w:val="List Table 6 Colorful - Accent 6"/>
    <w:basedOn w:val="709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63" w:customStyle="1">
    <w:name w:val="Список-таблица 7 цветная1"/>
    <w:basedOn w:val="709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4" w:customStyle="1">
    <w:name w:val="List Table 7 Colorful - Accent 1"/>
    <w:basedOn w:val="709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5" w:customStyle="1">
    <w:name w:val="List Table 7 Colorful - Accent 2"/>
    <w:basedOn w:val="709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6" w:customStyle="1">
    <w:name w:val="List Table 7 Colorful - Accent 3"/>
    <w:basedOn w:val="709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7" w:customStyle="1">
    <w:name w:val="List Table 7 Colorful - Accent 4"/>
    <w:basedOn w:val="709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8" w:customStyle="1">
    <w:name w:val="List Table 7 Colorful - Accent 5"/>
    <w:basedOn w:val="709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9" w:customStyle="1">
    <w:name w:val="List Table 7 Colorful - Accent 6"/>
    <w:basedOn w:val="709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0" w:customStyle="1">
    <w:name w:val="Lined - Accent"/>
    <w:basedOn w:val="70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1" w:customStyle="1">
    <w:name w:val="Lined - Accent 1"/>
    <w:basedOn w:val="70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2" w:customStyle="1">
    <w:name w:val="Lined - Accent 2"/>
    <w:basedOn w:val="70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3" w:customStyle="1">
    <w:name w:val="Lined - Accent 3"/>
    <w:basedOn w:val="70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4" w:customStyle="1">
    <w:name w:val="Lined - Accent 4"/>
    <w:basedOn w:val="70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5" w:customStyle="1">
    <w:name w:val="Lined - Accent 5"/>
    <w:basedOn w:val="70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6" w:customStyle="1">
    <w:name w:val="Lined - Accent 6"/>
    <w:basedOn w:val="70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7" w:customStyle="1">
    <w:name w:val="Bordered &amp; Lined - Accent"/>
    <w:basedOn w:val="709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8" w:customStyle="1">
    <w:name w:val="Bordered &amp; Lined - Accent 1"/>
    <w:basedOn w:val="709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9" w:customStyle="1">
    <w:name w:val="Bordered &amp; Lined - Accent 2"/>
    <w:basedOn w:val="709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0" w:customStyle="1">
    <w:name w:val="Bordered &amp; Lined - Accent 3"/>
    <w:basedOn w:val="709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1" w:customStyle="1">
    <w:name w:val="Bordered &amp; Lined - Accent 4"/>
    <w:basedOn w:val="709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2" w:customStyle="1">
    <w:name w:val="Bordered &amp; Lined - Accent 5"/>
    <w:basedOn w:val="709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3" w:customStyle="1">
    <w:name w:val="Bordered &amp; Lined - Accent 6"/>
    <w:basedOn w:val="709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4" w:customStyle="1">
    <w:name w:val="Bordered"/>
    <w:basedOn w:val="709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85" w:customStyle="1">
    <w:name w:val="Bordered - Accent 1"/>
    <w:basedOn w:val="709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86" w:customStyle="1">
    <w:name w:val="Bordered - Accent 2"/>
    <w:basedOn w:val="709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87" w:customStyle="1">
    <w:name w:val="Bordered - Accent 3"/>
    <w:basedOn w:val="709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88" w:customStyle="1">
    <w:name w:val="Bordered - Accent 4"/>
    <w:basedOn w:val="709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89" w:customStyle="1">
    <w:name w:val="Bordered - Accent 5"/>
    <w:basedOn w:val="709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90" w:customStyle="1">
    <w:name w:val="Bordered - Accent 6"/>
    <w:basedOn w:val="709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91">
    <w:name w:val="Hyperlink"/>
    <w:uiPriority w:val="99"/>
    <w:unhideWhenUsed/>
    <w:rPr>
      <w:color w:val="0000ff" w:themeColor="hyperlink"/>
      <w:u w:val="single"/>
    </w:rPr>
  </w:style>
  <w:style w:type="paragraph" w:styleId="892">
    <w:name w:val="footnote text"/>
    <w:basedOn w:val="698"/>
    <w:link w:val="893"/>
    <w:uiPriority w:val="99"/>
    <w:semiHidden/>
    <w:unhideWhenUsed/>
    <w:pPr>
      <w:spacing w:after="40"/>
    </w:pPr>
    <w:rPr>
      <w:sz w:val="18"/>
    </w:rPr>
  </w:style>
  <w:style w:type="character" w:styleId="893" w:customStyle="1">
    <w:name w:val="Текст сноски Знак"/>
    <w:link w:val="892"/>
    <w:uiPriority w:val="99"/>
    <w:rPr>
      <w:sz w:val="18"/>
    </w:rPr>
  </w:style>
  <w:style w:type="character" w:styleId="894">
    <w:name w:val="footnote reference"/>
    <w:basedOn w:val="708"/>
    <w:uiPriority w:val="99"/>
    <w:unhideWhenUsed/>
    <w:rPr>
      <w:vertAlign w:val="superscript"/>
    </w:rPr>
  </w:style>
  <w:style w:type="paragraph" w:styleId="895">
    <w:name w:val="endnote text"/>
    <w:basedOn w:val="698"/>
    <w:link w:val="896"/>
    <w:uiPriority w:val="99"/>
    <w:semiHidden/>
    <w:unhideWhenUsed/>
  </w:style>
  <w:style w:type="character" w:styleId="896" w:customStyle="1">
    <w:name w:val="Текст концевой сноски Знак"/>
    <w:link w:val="895"/>
    <w:uiPriority w:val="99"/>
    <w:rPr>
      <w:sz w:val="20"/>
    </w:rPr>
  </w:style>
  <w:style w:type="character" w:styleId="897">
    <w:name w:val="endnote reference"/>
    <w:basedOn w:val="708"/>
    <w:uiPriority w:val="99"/>
    <w:semiHidden/>
    <w:unhideWhenUsed/>
    <w:rPr>
      <w:vertAlign w:val="superscript"/>
    </w:rPr>
  </w:style>
  <w:style w:type="paragraph" w:styleId="898">
    <w:name w:val="toc 1"/>
    <w:basedOn w:val="698"/>
    <w:next w:val="698"/>
    <w:uiPriority w:val="39"/>
    <w:unhideWhenUsed/>
    <w:pPr>
      <w:spacing w:after="57"/>
    </w:pPr>
  </w:style>
  <w:style w:type="paragraph" w:styleId="899">
    <w:name w:val="toc 2"/>
    <w:basedOn w:val="698"/>
    <w:next w:val="698"/>
    <w:uiPriority w:val="39"/>
    <w:unhideWhenUsed/>
    <w:pPr>
      <w:ind w:left="283"/>
      <w:spacing w:after="57"/>
    </w:pPr>
  </w:style>
  <w:style w:type="paragraph" w:styleId="900">
    <w:name w:val="toc 3"/>
    <w:basedOn w:val="698"/>
    <w:next w:val="698"/>
    <w:uiPriority w:val="39"/>
    <w:unhideWhenUsed/>
    <w:pPr>
      <w:ind w:left="567"/>
      <w:spacing w:after="57"/>
    </w:pPr>
  </w:style>
  <w:style w:type="paragraph" w:styleId="901">
    <w:name w:val="toc 4"/>
    <w:basedOn w:val="698"/>
    <w:next w:val="698"/>
    <w:uiPriority w:val="39"/>
    <w:unhideWhenUsed/>
    <w:pPr>
      <w:ind w:left="850"/>
      <w:spacing w:after="57"/>
    </w:pPr>
  </w:style>
  <w:style w:type="paragraph" w:styleId="902">
    <w:name w:val="toc 5"/>
    <w:basedOn w:val="698"/>
    <w:next w:val="698"/>
    <w:uiPriority w:val="39"/>
    <w:unhideWhenUsed/>
    <w:pPr>
      <w:ind w:left="1134"/>
      <w:spacing w:after="57"/>
    </w:pPr>
  </w:style>
  <w:style w:type="paragraph" w:styleId="903">
    <w:name w:val="toc 6"/>
    <w:basedOn w:val="698"/>
    <w:next w:val="698"/>
    <w:uiPriority w:val="39"/>
    <w:unhideWhenUsed/>
    <w:pPr>
      <w:ind w:left="1417"/>
      <w:spacing w:after="57"/>
    </w:pPr>
  </w:style>
  <w:style w:type="paragraph" w:styleId="904">
    <w:name w:val="toc 7"/>
    <w:basedOn w:val="698"/>
    <w:next w:val="698"/>
    <w:uiPriority w:val="39"/>
    <w:unhideWhenUsed/>
    <w:pPr>
      <w:ind w:left="1701"/>
      <w:spacing w:after="57"/>
    </w:pPr>
  </w:style>
  <w:style w:type="paragraph" w:styleId="905">
    <w:name w:val="toc 8"/>
    <w:basedOn w:val="698"/>
    <w:next w:val="698"/>
    <w:uiPriority w:val="39"/>
    <w:unhideWhenUsed/>
    <w:pPr>
      <w:ind w:left="1984"/>
      <w:spacing w:after="57"/>
    </w:pPr>
  </w:style>
  <w:style w:type="paragraph" w:styleId="906">
    <w:name w:val="toc 9"/>
    <w:basedOn w:val="698"/>
    <w:next w:val="698"/>
    <w:uiPriority w:val="39"/>
    <w:unhideWhenUsed/>
    <w:pPr>
      <w:ind w:left="2268"/>
      <w:spacing w:after="57"/>
    </w:pPr>
  </w:style>
  <w:style w:type="paragraph" w:styleId="907">
    <w:name w:val="TOC Heading"/>
    <w:uiPriority w:val="39"/>
    <w:unhideWhenUsed/>
  </w:style>
  <w:style w:type="paragraph" w:styleId="908">
    <w:name w:val="table of figures"/>
    <w:basedOn w:val="698"/>
    <w:next w:val="698"/>
    <w:uiPriority w:val="99"/>
    <w:unhideWhenUsed/>
  </w:style>
  <w:style w:type="paragraph" w:styleId="909">
    <w:name w:val="Normal (Web)"/>
    <w:basedOn w:val="698"/>
    <w:uiPriority w:val="99"/>
    <w:pPr>
      <w:spacing w:before="100" w:beforeAutospacing="1" w:after="100" w:afterAutospacing="1"/>
    </w:pPr>
    <w:rPr>
      <w:sz w:val="24"/>
      <w:szCs w:val="24"/>
    </w:rPr>
  </w:style>
  <w:style w:type="paragraph" w:styleId="910" w:customStyle="1">
    <w:name w:val="Абзац списка1"/>
    <w:basedOn w:val="698"/>
    <w:pPr>
      <w:ind w:left="720"/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911">
    <w:name w:val="Balloon Text"/>
    <w:basedOn w:val="698"/>
    <w:link w:val="912"/>
    <w:rPr>
      <w:rFonts w:ascii="Calibri" w:hAnsi="Calibri"/>
      <w:sz w:val="16"/>
      <w:szCs w:val="16"/>
    </w:rPr>
  </w:style>
  <w:style w:type="character" w:styleId="912" w:customStyle="1">
    <w:name w:val="Текст выноски Знак"/>
    <w:link w:val="911"/>
    <w:rPr>
      <w:rFonts w:ascii="Calibri" w:hAnsi="Calibri" w:eastAsia="Calibri"/>
      <w:sz w:val="16"/>
      <w:szCs w:val="16"/>
    </w:rPr>
  </w:style>
  <w:style w:type="paragraph" w:styleId="913">
    <w:name w:val="Header"/>
    <w:basedOn w:val="698"/>
    <w:link w:val="914"/>
    <w:pPr>
      <w:tabs>
        <w:tab w:val="center" w:pos="4677" w:leader="none"/>
        <w:tab w:val="right" w:pos="9355" w:leader="none"/>
      </w:tabs>
    </w:pPr>
  </w:style>
  <w:style w:type="character" w:styleId="914" w:customStyle="1">
    <w:name w:val="Верхний колонтитул Знак"/>
    <w:link w:val="913"/>
    <w:rPr>
      <w:rFonts w:eastAsia="Calibri"/>
    </w:rPr>
  </w:style>
  <w:style w:type="paragraph" w:styleId="915">
    <w:name w:val="Footer"/>
    <w:basedOn w:val="698"/>
    <w:link w:val="916"/>
    <w:pPr>
      <w:tabs>
        <w:tab w:val="center" w:pos="4677" w:leader="none"/>
        <w:tab w:val="right" w:pos="9355" w:leader="none"/>
      </w:tabs>
    </w:pPr>
  </w:style>
  <w:style w:type="character" w:styleId="916" w:customStyle="1">
    <w:name w:val="Нижний колонтитул Знак"/>
    <w:link w:val="915"/>
    <w:rPr>
      <w:rFonts w:eastAsia="Calibri"/>
    </w:rPr>
  </w:style>
  <w:style w:type="table" w:styleId="917">
    <w:name w:val="Table Grid"/>
    <w:basedOn w:val="709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8">
    <w:name w:val="List Paragraph"/>
    <w:basedOn w:val="698"/>
    <w:qFormat/>
    <w:pPr>
      <w:contextualSpacing/>
      <w:ind w:left="720"/>
    </w:pPr>
  </w:style>
  <w:style w:type="paragraph" w:styleId="919" w:customStyle="1">
    <w:name w:val="Знак Знак2"/>
    <w:basedOn w:val="698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920">
    <w:name w:val="Body Text 2"/>
    <w:basedOn w:val="698"/>
    <w:link w:val="921"/>
    <w:pPr>
      <w:spacing w:after="120" w:line="480" w:lineRule="auto"/>
    </w:pPr>
  </w:style>
  <w:style w:type="character" w:styleId="921" w:customStyle="1">
    <w:name w:val="Основной текст 2 Знак"/>
    <w:basedOn w:val="708"/>
    <w:link w:val="920"/>
    <w:rPr>
      <w:rFonts w:eastAsia="Calibri"/>
    </w:rPr>
  </w:style>
  <w:style w:type="table" w:styleId="922" w:customStyle="1">
    <w:name w:val="Сетка таблицы1"/>
    <w:basedOn w:val="709"/>
    <w:next w:val="917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23">
    <w:name w:val="No Spacing"/>
    <w:qFormat/>
    <w:rPr>
      <w:rFonts w:ascii="Calibri" w:hAnsi="Calibri" w:eastAsia="Calibri"/>
      <w:sz w:val="22"/>
      <w:szCs w:val="22"/>
      <w:lang w:eastAsia="en-US"/>
    </w:rPr>
  </w:style>
  <w:style w:type="table" w:styleId="924" w:customStyle="1">
    <w:name w:val="Сетка таблицы2"/>
    <w:basedOn w:val="709"/>
    <w:next w:val="917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2133E1-6BC6-40A5-BBAE-006E86367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RePack by SPecialiST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revision>12</cp:revision>
  <dcterms:created xsi:type="dcterms:W3CDTF">2026-05-25T10:26:00Z</dcterms:created>
  <dcterms:modified xsi:type="dcterms:W3CDTF">2026-06-26T06:43:17Z</dcterms:modified>
</cp:coreProperties>
</file>