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25.05.2026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№ 932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19.05.2026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879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862 590 193,22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722 053 820,63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358 902 820,63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74 747 649,71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71 367 991,71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строку 2.2 таблицы 2 </w:t>
      </w:r>
      <w:r>
        <w:rPr>
          <w:sz w:val="24"/>
          <w:szCs w:val="24"/>
        </w:rPr>
        <w:t xml:space="preserve">«Перечень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7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709"/>
        <w:gridCol w:w="708"/>
        <w:gridCol w:w="709"/>
        <w:gridCol w:w="709"/>
        <w:gridCol w:w="709"/>
        <w:gridCol w:w="708"/>
        <w:gridCol w:w="567"/>
        <w:gridCol w:w="992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«</w:t>
            </w:r>
            <w:r>
              <w:rPr>
                <w:sz w:val="18"/>
              </w:rPr>
              <w:t xml:space="preserve">2.2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rPr>
                <w:sz w:val="18"/>
              </w:rPr>
            </w:pPr>
            <w:r>
              <w:rPr>
                <w:sz w:val="18"/>
              </w:rPr>
              <w:t xml:space="preserve">Количество благоустроенных общественных территорий Печенгского муниципального округа 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штук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4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МКУ «</w:t>
            </w:r>
            <w:r>
              <w:rPr>
                <w:sz w:val="18"/>
              </w:rPr>
              <w:t xml:space="preserve">УБиР</w:t>
            </w:r>
            <w:r>
              <w:rPr>
                <w:sz w:val="18"/>
              </w:rPr>
              <w:t xml:space="preserve">»;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МБУ «НДС»»;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2 «Перечень показателей муниципальной программы» Программы </w:t>
      </w:r>
      <w:r>
        <w:rPr>
          <w:sz w:val="24"/>
          <w:szCs w:val="24"/>
        </w:rPr>
        <w:t xml:space="preserve">дополнить строкой 2.10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708"/>
        <w:gridCol w:w="709"/>
        <w:gridCol w:w="709"/>
        <w:gridCol w:w="709"/>
        <w:gridCol w:w="708"/>
        <w:gridCol w:w="567"/>
        <w:gridCol w:w="992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«</w:t>
            </w:r>
            <w:r>
              <w:rPr>
                <w:sz w:val="18"/>
                <w:szCs w:val="22"/>
              </w:rPr>
              <w:t xml:space="preserve">2.</w:t>
            </w:r>
            <w:r>
              <w:rPr>
                <w:sz w:val="18"/>
                <w:szCs w:val="22"/>
              </w:rPr>
              <w:t xml:space="preserve">10</w:t>
            </w:r>
            <w:bookmarkStart w:id="0" w:name="_GoBack"/>
            <w:r/>
            <w:bookmarkEnd w:id="0"/>
            <w:r>
              <w:rPr>
                <w:sz w:val="18"/>
                <w:szCs w:val="22"/>
              </w:rPr>
            </w:r>
            <w:r>
              <w:rPr>
                <w:sz w:val="18"/>
                <w:szCs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rPr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>
              <w:rPr>
                <w:sz w:val="18"/>
                <w:szCs w:val="22"/>
                <w:lang w:eastAsia="en-US"/>
              </w:rPr>
            </w:r>
            <w:r>
              <w:rPr>
                <w:sz w:val="18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 xml:space="preserve">проценты</w:t>
            </w:r>
            <w:r>
              <w:rPr>
                <w:color w:val="ff0000"/>
                <w:sz w:val="18"/>
                <w:szCs w:val="22"/>
                <w:lang w:eastAsia="en-US"/>
              </w:rPr>
            </w:r>
            <w:r>
              <w:rPr>
                <w:color w:val="ff0000"/>
                <w:sz w:val="18"/>
                <w:szCs w:val="22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0</w:t>
            </w:r>
            <w:r>
              <w:rPr>
                <w:color w:val="ff0000"/>
                <w:sz w:val="18"/>
                <w:szCs w:val="22"/>
              </w:rPr>
            </w:r>
            <w:r>
              <w:rPr>
                <w:color w:val="ff0000"/>
                <w:sz w:val="18"/>
                <w:szCs w:val="22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 xml:space="preserve">-</w:t>
            </w:r>
            <w:r>
              <w:rPr>
                <w:color w:val="ff0000"/>
                <w:sz w:val="18"/>
                <w:szCs w:val="22"/>
                <w:lang w:eastAsia="en-US"/>
              </w:rPr>
            </w:r>
            <w:r>
              <w:rPr>
                <w:color w:val="ff0000"/>
                <w:sz w:val="18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 xml:space="preserve">-</w:t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 xml:space="preserve">1</w:t>
            </w:r>
            <w:r>
              <w:rPr>
                <w:sz w:val="18"/>
                <w:szCs w:val="22"/>
                <w:lang w:eastAsia="en-US"/>
              </w:rPr>
              <w:t xml:space="preserve">00</w:t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 xml:space="preserve">-</w:t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  <w:lang w:eastAsia="en-US"/>
              </w:rPr>
              <w:t xml:space="preserve">-</w:t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  <w:r>
              <w:rPr>
                <w:strike/>
                <w:color w:val="ff0000"/>
                <w:sz w:val="18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22"/>
                <w:lang w:eastAsia="en-US"/>
              </w:rPr>
            </w:pPr>
            <w:r>
              <w:rPr>
                <w:sz w:val="18"/>
                <w:szCs w:val="22"/>
              </w:rPr>
              <w:t xml:space="preserve">ОС и ЖКХ</w:t>
            </w:r>
            <w:r>
              <w:rPr>
                <w:sz w:val="18"/>
                <w:szCs w:val="22"/>
              </w:rPr>
              <w:t xml:space="preserve">»;</w:t>
            </w:r>
            <w:r>
              <w:rPr>
                <w:sz w:val="18"/>
                <w:szCs w:val="22"/>
                <w:lang w:eastAsia="en-US"/>
              </w:rPr>
            </w:r>
            <w:r>
              <w:rPr>
                <w:sz w:val="18"/>
                <w:szCs w:val="22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2.3 таблицы </w:t>
      </w:r>
      <w:r>
        <w:rPr>
          <w:sz w:val="24"/>
          <w:szCs w:val="24"/>
        </w:rPr>
        <w:t xml:space="preserve">3 «Перечень структурных элементов муниципальной программы» 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>
          <w:trHeight w:val="5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«2.3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rPr>
                <w:u w:val="single"/>
              </w:rPr>
            </w:pPr>
            <w:r>
              <w:rPr>
                <w:u w:val="single"/>
              </w:rPr>
              <w:t xml:space="preserve">Комплекс процессных мероприятий 3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r>
              <w:t xml:space="preserve">«Формирование современной городской среды»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»;</w:t>
            </w:r>
            <w:r/>
          </w:p>
          <w:p>
            <w:pPr>
              <w:jc w:val="center"/>
            </w:pPr>
            <w:r>
              <w:t xml:space="preserve">МБУ «НДС»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244" w:type="dxa"/>
            <w:textDirection w:val="lrTb"/>
            <w:noWrap w:val="false"/>
          </w:tcPr>
          <w:p>
            <w:pPr>
              <w:jc w:val="both"/>
            </w:pPr>
            <w:r>
              <w:t xml:space="preserve">0.4. Уровень качества городской среды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2.2. Количество благоустроенных общественных территорий Печенгского муниципального округа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2.3. Количество благоустроенных дворовых территорий многоквартирных домов Печенгского муниципального округа</w:t>
            </w:r>
            <w:r/>
          </w:p>
          <w:p>
            <w:pPr>
              <w:jc w:val="both"/>
              <w:shd w:val="clear" w:color="auto" w:fill="ffffff" w:themeFill="background1"/>
            </w:pPr>
            <w:r>
              <w:t xml:space="preserve">2.4. Количество дворовых проездов, в отношении которых выполнен ямочный ремонт»</w:t>
            </w:r>
            <w:r>
              <w:t xml:space="preserve">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3 «Перечень структурных элементов муниципальной программы» Программы </w:t>
      </w:r>
      <w:r>
        <w:rPr>
          <w:sz w:val="24"/>
          <w:szCs w:val="24"/>
        </w:rPr>
        <w:t xml:space="preserve">дополнить строкой 2.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>
          <w:trHeight w:val="5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</w:t>
            </w:r>
            <w:r>
              <w:t xml:space="preserve">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ind w:left="145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Комплекс процессных мероприятий </w:t>
            </w:r>
            <w:r>
              <w:rPr>
                <w:u w:val="single"/>
              </w:rPr>
              <w:t xml:space="preserve">9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ind w:left="145"/>
              <w:jc w:val="both"/>
            </w:pPr>
            <w:r>
              <w:t xml:space="preserve">«</w:t>
            </w:r>
            <w:r>
              <w:t xml:space="preserve">Определение платы за содержание жилого помещения в многоквартирном доме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244" w:type="dxa"/>
            <w:textDirection w:val="lrTb"/>
            <w:noWrap w:val="false"/>
          </w:tcPr>
          <w:p>
            <w:r>
              <w:rPr>
                <w:iCs/>
              </w:rPr>
              <w:t xml:space="preserve">2.10.</w:t>
            </w:r>
            <w:r>
              <w:rPr>
                <w:sz w:val="18"/>
                <w:szCs w:val="22"/>
              </w:rPr>
              <w:t xml:space="preserve"> </w:t>
            </w:r>
            <w:r>
              <w:rPr>
                <w:szCs w:val="22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>
              <w:rPr>
                <w:szCs w:val="22"/>
              </w:rP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0.1, </w:t>
      </w:r>
      <w:r>
        <w:rPr>
          <w:sz w:val="24"/>
          <w:szCs w:val="24"/>
        </w:rPr>
        <w:t xml:space="preserve">2,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6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  <w:r>
              <w:rPr>
                <w:rFonts w:eastAsia="Calibri"/>
                <w:b/>
                <w:sz w:val="18"/>
                <w:szCs w:val="18"/>
                <w:u w:val="single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862 590 193,22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496 059 535,22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ОРН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722 053 820,63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358 902 820,63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74 747 649,71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71 367 991,71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u w:val="single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856 105 294,22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489 574 636,22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715 568 921,63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352 417 921,63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74 747 649,71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71 367 991,71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</w:t>
            </w:r>
            <w:r>
              <w:rPr>
                <w:b/>
                <w:sz w:val="18"/>
                <w:szCs w:val="18"/>
                <w:u w:val="single"/>
              </w:rPr>
              <w:t xml:space="preserve">(подпрограмма)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</w:t>
            </w:r>
            <w:r>
              <w:rPr>
                <w:sz w:val="18"/>
                <w:szCs w:val="18"/>
              </w:rPr>
              <w:t xml:space="preserve">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747 883 738,48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413 432 738,48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167 228 300,00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167 222 700,00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</w:t>
            </w:r>
            <w:r>
              <w:rPr>
                <w:sz w:val="18"/>
                <w:szCs w:val="18"/>
              </w:rPr>
              <w:t xml:space="preserve">ЖКХ, 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612 412 602,89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277 961 602,89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167 228 300,00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167 222 700,00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69 682 412,71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69 682 412,71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65 542 700,00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246 022,88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2.3</w:t>
            </w:r>
            <w:r>
              <w:rPr>
                <w:b/>
                <w:bCs/>
                <w:color w:val="000000"/>
                <w:sz w:val="18"/>
                <w:szCs w:val="22"/>
              </w:rPr>
            </w:r>
            <w:r>
              <w:rPr>
                <w:b/>
                <w:bCs/>
                <w:color w:val="000000"/>
                <w:sz w:val="18"/>
                <w:szCs w:val="22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rPr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  <w:u w:val="single"/>
              </w:rPr>
              <w:t xml:space="preserve">Комплекс процессных мероприятий 3.</w:t>
            </w:r>
            <w:r>
              <w:rPr>
                <w:color w:val="000000"/>
                <w:sz w:val="18"/>
              </w:rPr>
              <w:t xml:space="preserve"> «Формирование современной городской среды»</w: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 xml:space="preserve">2026-2028</w:t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Всего: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345 706 048,60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245 706 048,60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»; МБУ «НДС»»;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226 118 520,89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126 118 520,89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50 000 000,00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54 044 827,71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54 044 827,71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65 542 700,00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6 «Сведения об объемах финансирования муниципальной программы» Программы </w:t>
      </w:r>
      <w:r>
        <w:rPr>
          <w:sz w:val="24"/>
          <w:szCs w:val="24"/>
        </w:rPr>
        <w:t xml:space="preserve">дополнить строкой </w:t>
      </w:r>
      <w:r>
        <w:rPr>
          <w:sz w:val="24"/>
          <w:szCs w:val="24"/>
        </w:rPr>
        <w:t xml:space="preserve">2.9.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71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«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2.9</w:t>
            </w:r>
            <w:r>
              <w:rPr>
                <w:b/>
                <w:bCs/>
                <w:color w:val="000000"/>
                <w:sz w:val="18"/>
                <w:szCs w:val="22"/>
              </w:rPr>
            </w:r>
            <w:r>
              <w:rPr>
                <w:b/>
                <w:bCs/>
                <w:color w:val="000000"/>
                <w:sz w:val="18"/>
                <w:szCs w:val="22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rPr>
                <w:sz w:val="18"/>
              </w:rPr>
            </w:pPr>
            <w:r>
              <w:rPr>
                <w:b/>
                <w:bCs/>
                <w:sz w:val="18"/>
                <w:u w:val="single"/>
              </w:rPr>
              <w:t xml:space="preserve">Комплекс про</w:t>
            </w:r>
            <w:r>
              <w:rPr>
                <w:b/>
                <w:bCs/>
                <w:sz w:val="18"/>
                <w:u w:val="single"/>
              </w:rPr>
              <w:t xml:space="preserve">цессных </w:t>
            </w:r>
            <w:r>
              <w:rPr>
                <w:b/>
                <w:bCs/>
                <w:sz w:val="18"/>
                <w:u w:val="single"/>
              </w:rPr>
              <w:t xml:space="preserve">мероприятий </w:t>
            </w:r>
            <w:r>
              <w:rPr>
                <w:b/>
                <w:bCs/>
                <w:sz w:val="18"/>
                <w:u w:val="single"/>
              </w:rPr>
              <w:t xml:space="preserve">9</w:t>
            </w:r>
            <w:r>
              <w:rPr>
                <w:b/>
                <w:bCs/>
                <w:sz w:val="18"/>
                <w:u w:val="single"/>
              </w:rPr>
              <w:t xml:space="preserve">.</w:t>
            </w:r>
            <w:r>
              <w:rPr>
                <w:b/>
                <w:bCs/>
                <w:sz w:val="18"/>
              </w:rPr>
              <w:t xml:space="preserve"> </w:t>
            </w:r>
            <w:r>
              <w:rPr>
                <w:bCs/>
                <w:sz w:val="18"/>
              </w:rPr>
              <w:t xml:space="preserve">«Определение платы за содержание жилого помещения в многоквартирном доме»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 xml:space="preserve">2026-2028</w:t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18"/>
              </w:rPr>
            </w:pPr>
            <w:r>
              <w:rPr>
                <w:b/>
                <w:bCs/>
                <w:color w:val="000000"/>
                <w:sz w:val="18"/>
              </w:rPr>
              <w:t xml:space="preserve">Всего:</w:t>
            </w:r>
            <w:r>
              <w:rPr>
                <w:b/>
                <w:bCs/>
                <w:color w:val="000000"/>
                <w:sz w:val="18"/>
              </w:rPr>
            </w:r>
            <w:r>
              <w:rPr>
                <w:b/>
                <w:bCs/>
                <w:color w:val="000000"/>
                <w:sz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18"/>
                <w:szCs w:val="22"/>
              </w:rPr>
            </w:pPr>
            <w:r>
              <w:rPr>
                <w:bCs/>
                <w:color w:val="000000"/>
                <w:sz w:val="18"/>
                <w:szCs w:val="22"/>
              </w:rPr>
              <w:t xml:space="preserve">ОС и ЖКХ</w:t>
            </w:r>
            <w:r>
              <w:rPr>
                <w:bCs/>
                <w:color w:val="000000"/>
                <w:sz w:val="18"/>
                <w:szCs w:val="22"/>
              </w:rPr>
              <w:t xml:space="preserve">»;</w:t>
            </w:r>
            <w:r>
              <w:rPr>
                <w:bCs/>
                <w:color w:val="000000"/>
                <w:sz w:val="18"/>
                <w:szCs w:val="22"/>
              </w:rPr>
            </w:r>
            <w:r>
              <w:rPr>
                <w:bCs/>
                <w:color w:val="000000"/>
                <w:sz w:val="18"/>
                <w:szCs w:val="22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504 000,00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0,00</w:t>
            </w:r>
            <w:r>
              <w:rPr>
                <w:color w:val="000000"/>
                <w:sz w:val="16"/>
              </w:rPr>
            </w:r>
            <w:r>
              <w:rPr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color w:val="000000"/>
                <w:sz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 xml:space="preserve">0,00</w:t>
            </w:r>
            <w:r>
              <w:rPr>
                <w:b/>
                <w:bCs/>
                <w:color w:val="000000"/>
                <w:sz w:val="16"/>
              </w:rPr>
            </w:r>
            <w:r>
              <w:rPr>
                <w:b/>
                <w:bCs/>
                <w:color w:val="000000"/>
                <w:sz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2.2 таблицы </w:t>
      </w:r>
      <w:r>
        <w:rPr>
          <w:sz w:val="24"/>
          <w:szCs w:val="24"/>
        </w:rPr>
        <w:t xml:space="preserve">9 «Сведения об источниках и методике расчета значений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2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134"/>
        <w:gridCol w:w="992"/>
        <w:gridCol w:w="1843"/>
        <w:gridCol w:w="992"/>
        <w:gridCol w:w="1134"/>
        <w:gridCol w:w="1417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2.2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r>
              <w:t xml:space="preserve">Количество благоустроенных общественных территорий Печенгского муниципального округа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соисполнителей, в соответствии с актами выполненных работ)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>
              <w:t xml:space="preserve">ежеквартально 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;</w:t>
            </w:r>
            <w:r/>
          </w:p>
          <w:p>
            <w:pPr>
              <w:jc w:val="center"/>
            </w:pPr>
            <w:r>
              <w:t xml:space="preserve">МБУ «НДС»»;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9 «Сведения об источниках и методике расчета значений показателей муниципальной программы» Программы </w:t>
      </w:r>
      <w:r>
        <w:rPr>
          <w:sz w:val="24"/>
          <w:szCs w:val="24"/>
        </w:rPr>
        <w:t xml:space="preserve">дополнить строкой 2.10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2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134"/>
        <w:gridCol w:w="992"/>
        <w:gridCol w:w="1843"/>
        <w:gridCol w:w="992"/>
        <w:gridCol w:w="1134"/>
        <w:gridCol w:w="1417"/>
      </w:tblGrid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«</w:t>
            </w:r>
            <w:r>
              <w:rPr>
                <w:sz w:val="18"/>
                <w:szCs w:val="24"/>
              </w:rPr>
              <w:t xml:space="preserve">2.</w:t>
            </w:r>
            <w:r>
              <w:rPr>
                <w:sz w:val="18"/>
                <w:szCs w:val="24"/>
              </w:rPr>
              <w:t xml:space="preserve">10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процент, 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2026 год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Dо</w:t>
            </w:r>
            <w:r>
              <w:rPr>
                <w:sz w:val="18"/>
                <w:szCs w:val="24"/>
              </w:rPr>
              <w:t xml:space="preserve"> = (К / К</w:t>
            </w:r>
            <w:r>
              <w:rPr>
                <w:sz w:val="18"/>
                <w:szCs w:val="24"/>
                <w:lang w:val="en-US"/>
              </w:rPr>
              <w:t xml:space="preserve">n</w:t>
            </w:r>
            <w:r>
              <w:rPr>
                <w:sz w:val="18"/>
                <w:szCs w:val="24"/>
              </w:rPr>
              <w:t xml:space="preserve"> (план) x 100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К</w:t>
            </w:r>
            <w:r>
              <w:rPr>
                <w:sz w:val="18"/>
                <w:szCs w:val="24"/>
                <w:lang w:val="en-US"/>
              </w:rPr>
              <w:t xml:space="preserve">n</w:t>
            </w:r>
            <w:r>
              <w:rPr>
                <w:sz w:val="18"/>
                <w:szCs w:val="24"/>
              </w:rPr>
              <w:t xml:space="preserve"> (план) - общее количество запланированных </w:t>
            </w:r>
            <w:r>
              <w:rPr>
                <w:sz w:val="18"/>
                <w:szCs w:val="24"/>
              </w:rPr>
              <w:t xml:space="preserve">мероприятий по определению платы за содержание жилого помещения в многоквартирных домах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Ведомственные данные (Отчет соисполнителей)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ежеквартально 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ОС и ЖКХ</w:t>
            </w:r>
            <w:r>
              <w:rPr>
                <w:sz w:val="18"/>
                <w:szCs w:val="24"/>
              </w:rPr>
              <w:t xml:space="preserve">».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К - количество проведенных мероприятий </w:t>
            </w:r>
            <w:r>
              <w:rPr>
                <w:sz w:val="18"/>
                <w:szCs w:val="24"/>
              </w:rPr>
              <w:t xml:space="preserve">по определению платы за содержание жилого помещения в многоквартирных домах</w: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</w:r>
          </w:p>
        </w:tc>
      </w:tr>
    </w:tbl>
    <w:p>
      <w:pPr>
        <w:ind w:firstLine="709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color w:val="000000"/>
          <w:sz w:val="20"/>
          <w:szCs w:val="20"/>
          <w:highlight w:val="none"/>
        </w:rPr>
      </w:pPr>
      <w:r>
        <w:rPr>
          <w:rFonts w:eastAsia="Calibri"/>
          <w:sz w:val="20"/>
          <w:szCs w:val="20"/>
          <w:lang w:eastAsia="en-US"/>
        </w:rPr>
      </w:r>
      <w:r>
        <w:rPr>
          <w:rFonts w:eastAsia="Calibri"/>
          <w:color w:val="000000"/>
          <w:sz w:val="20"/>
          <w:szCs w:val="20"/>
        </w:rPr>
        <w:t xml:space="preserve">Шавырова</w:t>
      </w:r>
      <w:r>
        <w:rPr>
          <w:rFonts w:eastAsia="Calibri"/>
          <w:color w:val="000000"/>
          <w:sz w:val="20"/>
          <w:szCs w:val="20"/>
        </w:rPr>
        <w:t xml:space="preserve"> Ю.В., 5-12-91</w:t>
      </w:r>
      <w:r>
        <w:rPr>
          <w:rFonts w:eastAsia="Calibri"/>
          <w:color w:val="000000"/>
          <w:sz w:val="20"/>
          <w:szCs w:val="20"/>
          <w:highlight w:val="none"/>
        </w:rPr>
      </w:r>
      <w:r>
        <w:rPr>
          <w:rFonts w:eastAsia="Calibri"/>
          <w:color w:val="000000"/>
          <w:sz w:val="20"/>
          <w:szCs w:val="20"/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568" w:right="566" w:bottom="396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Название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15F9F-D752-435E-A063-179A2BFE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2026-05-28T08:40:00Z</dcterms:created>
  <dcterms:modified xsi:type="dcterms:W3CDTF">2026-06-26T06:41:36Z</dcterms:modified>
</cp:coreProperties>
</file>