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06.07.2026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</w:t>
      </w:r>
      <w:r>
        <w:rPr>
          <w:b/>
          <w:sz w:val="24"/>
        </w:rPr>
        <w:t xml:space="preserve">                № 1258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постановление администрации Печенгского муниципального округа от 08.06.2026 № 1046 «</w:t>
      </w:r>
      <w:r>
        <w:rPr>
          <w:b/>
        </w:rPr>
        <w:t xml:space="preserve">Об утверждении</w:t>
      </w:r>
      <w:r>
        <w:rPr>
          <w:sz w:val="24"/>
        </w:rPr>
        <w:t xml:space="preserve"> </w:t>
      </w:r>
      <w:r>
        <w:rPr>
          <w:b/>
        </w:rPr>
        <w:t xml:space="preserve">Порядка предоставления из бюджета Печенгского муниципального округа субсидии</w:t>
      </w:r>
      <w:r>
        <w:rPr>
          <w:b/>
        </w:rPr>
        <w:t xml:space="preserve"> </w:t>
      </w:r>
      <w:r>
        <w:rPr>
          <w:b/>
        </w:rPr>
        <w:t xml:space="preserve">на финансовое обеспечение затрат по ремонту и модерн</w:t>
      </w:r>
      <w:r>
        <w:rPr>
          <w:b/>
        </w:rPr>
        <w:t xml:space="preserve">изации объектов теплоснабжения </w:t>
      </w:r>
      <w:r>
        <w:rPr>
          <w:b/>
        </w:rPr>
        <w:t xml:space="preserve">(котельные, сети) в нп. Спутник, пгт. Печенга, ж/д ст. Печен</w:t>
      </w:r>
      <w:r>
        <w:rPr>
          <w:b/>
        </w:rPr>
        <w:t xml:space="preserve">га (19 км), принадлежащих на праве хозяйственного ведения муниципальному унитарному предприятию «Тепловые сети» муниципального образования Печенгский муниципальный округ Мурманской области, а также на мероприятия, проводимые в рамках ремонта и модернизации</w:t>
      </w:r>
      <w:r>
        <w:rPr>
          <w:b/>
        </w:rPr>
        <w:t xml:space="preserve">»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 xml:space="preserve">решением Совета депутатов Печенгс</w:t>
      </w:r>
      <w:r>
        <w:rPr>
          <w:sz w:val="24"/>
          <w:szCs w:val="24"/>
        </w:rPr>
        <w:t xml:space="preserve">кого муниципального округа от 26.06.2026 № 73 «</w:t>
      </w:r>
      <w:r>
        <w:rPr>
          <w:sz w:val="24"/>
          <w:szCs w:val="24"/>
        </w:rPr>
        <w:t xml:space="preserve">О внесении изменений в решение Совета депутатов Печенгского муниципального округа от 19.12.2025 № 22 «О бюджете округа на 2026 год и на плановый период 2027 и 2028 годов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Внести </w:t>
      </w:r>
      <w:r>
        <w:rPr>
          <w:sz w:val="24"/>
          <w:szCs w:val="24"/>
        </w:rPr>
        <w:t xml:space="preserve">в постановление администрации Печенгс</w:t>
      </w:r>
      <w:r>
        <w:rPr>
          <w:sz w:val="24"/>
          <w:szCs w:val="24"/>
        </w:rPr>
        <w:t xml:space="preserve">кого муниципального округа от 08.06.2026 № 1046 </w:t>
      </w:r>
      <w:r>
        <w:rPr>
          <w:sz w:val="24"/>
          <w:szCs w:val="24"/>
        </w:rPr>
        <w:t xml:space="preserve">«Об утверждении Порядка предоставления из бюджета Печенгского муниципального округа субсидии на финансовое обеспечение затрат по ремонту </w:t>
        <w:br/>
      </w:r>
      <w:r>
        <w:rPr>
          <w:sz w:val="24"/>
          <w:szCs w:val="24"/>
        </w:rPr>
        <w:t xml:space="preserve">и модернизации объектов теплоснабжения (котельные, сети) в нп. Спутник, пгт. Печенга, ж/д ст. Печенг</w:t>
      </w:r>
      <w:r>
        <w:rPr>
          <w:sz w:val="24"/>
          <w:szCs w:val="24"/>
        </w:rPr>
        <w:t xml:space="preserve">а (19 км), принадлежащих на праве хозяйственного ведения муниципальному унитарному предприятию «Тепловые сети» муниципального образования Печенгский муниципальный округ Мурманской области, а также на мероприятия, проводимые в рамках ремонта и модернизации»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пост</w:t>
      </w:r>
      <w:r>
        <w:rPr>
          <w:sz w:val="24"/>
          <w:szCs w:val="24"/>
        </w:rPr>
        <w:t xml:space="preserve">ановление)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1.1. Наименование постановления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</w:t>
      </w:r>
      <w:r>
        <w:rPr>
          <w:sz w:val="24"/>
          <w:szCs w:val="24"/>
        </w:rPr>
        <w:t xml:space="preserve">Об утверждении Порядка предоставления из бюджета Печенгского муниципального округа субсидии на финансовое обеспечение затрат по</w:t>
      </w:r>
      <w:r>
        <w:rPr>
          <w:sz w:val="24"/>
          <w:szCs w:val="24"/>
        </w:rPr>
        <w:t xml:space="preserve"> капитальному ремонту котельных </w:t>
        <w:br/>
        <w:t xml:space="preserve">№ 13/73, № 13/55, № 4</w:t>
      </w:r>
      <w:r>
        <w:rPr>
          <w:sz w:val="24"/>
          <w:szCs w:val="24"/>
        </w:rPr>
        <w:t xml:space="preserve">/152, № 42/138 и тепловых сетей</w:t>
      </w:r>
      <w:r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пгт. Печенга</w:t>
      </w:r>
      <w:r>
        <w:rPr>
          <w:sz w:val="24"/>
          <w:szCs w:val="24"/>
        </w:rPr>
        <w:t xml:space="preserve">, н.п. 19 км </w:t>
        <w:br/>
        <w:t xml:space="preserve">ж/д ст. Печенга, н.п. Спутник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Мурманской области, </w:t>
      </w:r>
      <w:r>
        <w:rPr>
          <w:sz w:val="24"/>
          <w:szCs w:val="24"/>
        </w:rPr>
        <w:t xml:space="preserve">принадлежащих на праве хозяйственного ведения</w:t>
      </w:r>
      <w:r>
        <w:rPr>
          <w:sz w:val="24"/>
          <w:szCs w:val="24"/>
        </w:rPr>
        <w:t xml:space="preserve"> МУП </w:t>
      </w:r>
      <w:r>
        <w:rPr>
          <w:sz w:val="24"/>
          <w:szCs w:val="24"/>
        </w:rPr>
        <w:t xml:space="preserve">«Тепловые се</w:t>
      </w:r>
      <w:r>
        <w:rPr>
          <w:sz w:val="24"/>
          <w:szCs w:val="24"/>
        </w:rPr>
        <w:t xml:space="preserve">ти»,</w:t>
      </w:r>
      <w:r>
        <w:rPr>
          <w:sz w:val="24"/>
          <w:szCs w:val="24"/>
        </w:rPr>
        <w:t xml:space="preserve"> а также </w:t>
        <w:br/>
      </w:r>
      <w:r>
        <w:rPr>
          <w:sz w:val="24"/>
          <w:szCs w:val="24"/>
        </w:rPr>
        <w:t xml:space="preserve">на мероприятия, проводимые в рамках</w:t>
      </w:r>
      <w:r>
        <w:rPr>
          <w:sz w:val="24"/>
          <w:szCs w:val="24"/>
        </w:rPr>
        <w:t xml:space="preserve"> капитального ремонта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1.2. </w:t>
      </w:r>
      <w:r>
        <w:rPr>
          <w:sz w:val="24"/>
          <w:szCs w:val="24"/>
        </w:rPr>
        <w:t xml:space="preserve">Пункт 1 постановления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</w:t>
      </w:r>
      <w:r>
        <w:rPr>
          <w:sz w:val="24"/>
          <w:szCs w:val="24"/>
        </w:rPr>
        <w:t xml:space="preserve">1. Утвердить прилагаемый Порядок предоставления из бюджета Печенгского</w:t>
      </w:r>
      <w:r>
        <w:rPr>
          <w:sz w:val="24"/>
          <w:szCs w:val="24"/>
        </w:rPr>
        <w:t xml:space="preserve"> муниципального округа субсидии </w:t>
      </w:r>
      <w:r>
        <w:rPr>
          <w:sz w:val="24"/>
          <w:szCs w:val="24"/>
        </w:rPr>
        <w:t xml:space="preserve">на финансовое обеспечение затрат по капитальному ремонту котельных № 13/73, № 13/55, № 4/152, № 42/138 и тепловых сетей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пгт. Печенга, н.п. 19 км ж/д ст. Печенга, н.п. Спутник Печенгского муниципального округа Мурманской области, принадлежащих на праве хозяйственного ведения МУП «Тепловые сети», а также на мероприятия, проводимые в рамках капитального ремонта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 Внести в Порядок </w:t>
      </w:r>
      <w:r>
        <w:rPr>
          <w:sz w:val="24"/>
          <w:szCs w:val="24"/>
        </w:rPr>
        <w:t xml:space="preserve">предоставления из бюджета Печенгского му</w:t>
      </w:r>
      <w:r>
        <w:rPr>
          <w:sz w:val="24"/>
          <w:szCs w:val="24"/>
        </w:rPr>
        <w:t xml:space="preserve">ниципального округа субсидии на финансовое обеспечение затрат по ремонту и модернизации объектов теплоснабжения (котельные, сети) в нп. Спутник, пгт. Печенга, ж/д ст. Печенга (19 км), принадлежащих на праве хозяйственного ведения муниципальному унитарному </w:t>
      </w:r>
      <w:r>
        <w:rPr>
          <w:sz w:val="24"/>
          <w:szCs w:val="24"/>
        </w:rPr>
        <w:t xml:space="preserve">предприятию «Тепловые сети» муниципального образования Печенгский муниципальный округ Мурманской области, а также на мероприятия, проводимые в рамках ремонта </w:t>
        <w:br/>
        <w:t xml:space="preserve">и модернизации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утвержденный вышеназванным постановлением (далее – Порядок)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2.1. Наименование Порядка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</w:t>
      </w:r>
      <w:r>
        <w:rPr>
          <w:sz w:val="24"/>
          <w:szCs w:val="24"/>
        </w:rPr>
        <w:t xml:space="preserve">Порядок предоставления из бюджета Печенгского муниципального округа субсидии на финансовое обеспечение затрат по капитальному ремонту котельных № 13/73, № 13/55, № 4/152, № 42/138 и тепловых сетей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пгт. Печенга, н.п. 19 км ж/д ст. Печенга, н.п. Спутник Печенгского муниципального округа Мурманской области, принадлежащих на праве хозяйственного ведения МУП «Тепловые сети», а также на мероприятия, проводимые </w:t>
        <w:br/>
      </w:r>
      <w:r>
        <w:rPr>
          <w:sz w:val="24"/>
          <w:szCs w:val="24"/>
        </w:rPr>
        <w:t xml:space="preserve">в рамках капитального ремонта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2.2.</w:t>
      </w:r>
      <w:r>
        <w:rPr>
          <w:sz w:val="24"/>
          <w:szCs w:val="24"/>
        </w:rPr>
        <w:t xml:space="preserve"> Пункт 1 Порядка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«1.</w:t>
      </w:r>
      <w:r>
        <w:rPr>
          <w:sz w:val="24"/>
          <w:szCs w:val="24"/>
        </w:rPr>
        <w:t xml:space="preserve"> Настоя</w:t>
      </w:r>
      <w:r>
        <w:rPr>
          <w:sz w:val="24"/>
          <w:szCs w:val="24"/>
        </w:rPr>
        <w:t xml:space="preserve">щий Порядок устанавливает общие положения о предоставлении </w:t>
        <w:br/>
      </w:r>
      <w:r>
        <w:rPr>
          <w:sz w:val="24"/>
          <w:szCs w:val="24"/>
        </w:rPr>
        <w:t xml:space="preserve">из бюджета Печенгского муниципального округа (далее – Бюджет округа) субсидии </w:t>
        <w:br/>
        <w:t xml:space="preserve">на финансовое обеспечение затрат по капитальному ремонту котельных № 13/73, № 13/55, № 4/152, № 42/138 и тепловых сетей</w:t>
      </w:r>
      <w:r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пгт. Печенга, н.п. 19 км ж/д ст. Печенга, н.п. Спутник Печенгского муниципального округа Мурманской области, принадлежащих на праве хозяйственного ведения МУП «Тепловые сети», а также на мероприятия, проводимые </w:t>
        <w:br/>
        <w:t xml:space="preserve">в рамках капитального ремонта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Порядок, Субсидия), условия и порядок предоставления Субсидии, требования к отчетности, требования об осуществлении контроля за соблюдением условий, целей и порядка предоставления субсидий и ответственность </w:t>
        <w:br/>
        <w:t xml:space="preserve">за их нарушение.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2.3. Пункт 2</w:t>
      </w:r>
      <w:r>
        <w:rPr>
          <w:sz w:val="24"/>
          <w:szCs w:val="24"/>
        </w:rPr>
        <w:t xml:space="preserve"> Порядка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«2.</w:t>
      </w:r>
      <w:r>
        <w:rPr>
          <w:sz w:val="24"/>
          <w:szCs w:val="24"/>
        </w:rPr>
        <w:t xml:space="preserve"> Субсидия предоставляется муниципальному унитарному предприятию «Тепловые сети» муниципального образования Печенгский муниципальный округ Мурманской области (далее – Получатель субсидии), владеющему объектами</w:t>
      </w:r>
      <w:r>
        <w:rPr>
          <w:sz w:val="24"/>
          <w:szCs w:val="24"/>
        </w:rPr>
        <w:t xml:space="preserve"> теплоснабжения, котельными</w:t>
      </w:r>
      <w:r>
        <w:t xml:space="preserve"> </w:t>
        <w:br/>
      </w:r>
      <w:r>
        <w:rPr>
          <w:sz w:val="24"/>
          <w:szCs w:val="24"/>
        </w:rPr>
        <w:t xml:space="preserve">№ 13/73, № 13/</w:t>
      </w:r>
      <w:r>
        <w:rPr>
          <w:sz w:val="24"/>
          <w:szCs w:val="24"/>
        </w:rPr>
        <w:t xml:space="preserve">55, № 4/152, № 42/138 и тепловыми сетями</w:t>
      </w:r>
      <w:r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пгт. Печенга, н.п. 19 км </w:t>
        <w:br/>
        <w:t xml:space="preserve">ж/д ст. Печенга, н.п. Спутник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праве хозяйственного ведения.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2.4.</w:t>
      </w:r>
      <w:r>
        <w:t xml:space="preserve"> </w:t>
      </w:r>
      <w:r>
        <w:rPr>
          <w:sz w:val="24"/>
          <w:szCs w:val="24"/>
        </w:rPr>
        <w:t xml:space="preserve">Пункт 17</w:t>
      </w:r>
      <w:r>
        <w:rPr>
          <w:sz w:val="24"/>
          <w:szCs w:val="24"/>
        </w:rPr>
        <w:t xml:space="preserve"> Порядка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«17. </w:t>
      </w:r>
      <w:r>
        <w:rPr>
          <w:sz w:val="24"/>
          <w:szCs w:val="24"/>
        </w:rPr>
        <w:t xml:space="preserve">Результатом предоставления субсидии является приведение объектов коммунальной инфраструктуры в нормативное состояние при проведении</w:t>
      </w:r>
      <w:r>
        <w:rPr>
          <w:sz w:val="24"/>
          <w:szCs w:val="24"/>
        </w:rPr>
        <w:t xml:space="preserve"> капитального</w:t>
      </w:r>
      <w:r>
        <w:rPr>
          <w:sz w:val="24"/>
          <w:szCs w:val="24"/>
        </w:rPr>
        <w:t xml:space="preserve"> ремонта </w:t>
      </w:r>
      <w:r>
        <w:rPr>
          <w:sz w:val="24"/>
          <w:szCs w:val="24"/>
        </w:rPr>
        <w:t xml:space="preserve">котельных</w:t>
      </w:r>
      <w:r>
        <w:rPr>
          <w:sz w:val="24"/>
          <w:szCs w:val="24"/>
        </w:rPr>
        <w:t xml:space="preserve"> № 13/73, № 13/5</w:t>
      </w:r>
      <w:r>
        <w:rPr>
          <w:sz w:val="24"/>
          <w:szCs w:val="24"/>
        </w:rPr>
        <w:t xml:space="preserve">5, № 4/152, № 42/138 и тепловых сетей</w:t>
      </w:r>
      <w:r>
        <w:rPr>
          <w:sz w:val="24"/>
          <w:szCs w:val="24"/>
        </w:rPr>
        <w:t xml:space="preserve"> в пгт. Печенга, н.п. 19 </w:t>
      </w:r>
      <w:r>
        <w:rPr>
          <w:sz w:val="24"/>
          <w:szCs w:val="24"/>
        </w:rPr>
        <w:t xml:space="preserve">км ж/д ст. Печенга, н.п. Спутник.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Значение результата предоставления субсидии и его показателей устанавливаются </w:t>
        <w:br/>
      </w:r>
      <w:r>
        <w:rPr>
          <w:sz w:val="24"/>
          <w:szCs w:val="24"/>
        </w:rPr>
        <w:t xml:space="preserve">в соглашении о предоставлении субсидии.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2.5. </w:t>
      </w:r>
      <w:r>
        <w:rPr>
          <w:sz w:val="24"/>
          <w:szCs w:val="24"/>
        </w:rPr>
        <w:t xml:space="preserve">Абзац четвертый</w:t>
      </w:r>
      <w:bookmarkStart w:id="0" w:name="_GoBack"/>
      <w:r/>
      <w:bookmarkEnd w:id="0"/>
      <w:r>
        <w:rPr>
          <w:sz w:val="24"/>
          <w:szCs w:val="24"/>
        </w:rPr>
        <w:t xml:space="preserve"> пункта 23 Порядка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«- </w:t>
      </w:r>
      <w:r>
        <w:rPr>
          <w:sz w:val="24"/>
          <w:szCs w:val="24"/>
        </w:rPr>
        <w:t xml:space="preserve">кроме того, копии договоров, заключённые Получателем субсидии в рамках выполнения работ по</w:t>
      </w:r>
      <w:r>
        <w:rPr>
          <w:sz w:val="24"/>
          <w:szCs w:val="24"/>
        </w:rPr>
        <w:t xml:space="preserve"> капитальному ремонту </w:t>
      </w:r>
      <w:r>
        <w:rPr>
          <w:sz w:val="24"/>
          <w:szCs w:val="24"/>
        </w:rPr>
        <w:t xml:space="preserve">котельных № 13/73, № 13/55, № 4/152, № 42/138 и тепловых сетей в пгт. Печенга, н.п. 19 км ж/д ст. Печенга, н.п. Спутник</w:t>
      </w:r>
      <w:r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копии справок </w:t>
        <w:br/>
        <w:t xml:space="preserve">о стоимости товаров (выполненных р</w:t>
      </w:r>
      <w:r>
        <w:rPr>
          <w:sz w:val="24"/>
          <w:szCs w:val="24"/>
        </w:rPr>
        <w:t xml:space="preserve">абот, оказанных услуг); копии актов о приёмке товаров (выполненных работ, оказанных услуг); копии платёжных документов, подтверждающих оплату товаров (выполненных работ, оказанных услуг); копии иных документов, подтверждающих целевое расходование Субсидии.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</w:t>
      </w:r>
      <w:r>
        <w:rPr>
          <w:sz w:val="24"/>
          <w:szCs w:val="24"/>
        </w:rPr>
        <w:t xml:space="preserve">. 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4</w:t>
      </w:r>
      <w:r>
        <w:rPr>
          <w:sz w:val="24"/>
          <w:szCs w:val="24"/>
        </w:rPr>
        <w:t xml:space="preserve">. Настоящее постановление подлежит размещению на официальном сайте Печенгского муниципального окру</w:t>
      </w:r>
      <w:r>
        <w:rPr>
          <w:color w:val="000000" w:themeColor="text1"/>
          <w:sz w:val="24"/>
          <w:szCs w:val="24"/>
        </w:rPr>
        <w:t xml:space="preserve">га </w:t>
      </w:r>
      <w:hyperlink r:id="rId11" w:tooltip="http://pechengamr.gov-murman.ru/" w:history="1">
        <w:r>
          <w:rPr>
            <w:rStyle w:val="905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Стрелкова Т.И., 62165</w:t>
      </w:r>
      <w:r/>
    </w:p>
    <w:sectPr>
      <w:footnotePr/>
      <w:endnotePr/>
      <w:type w:val="nextPage"/>
      <w:pgSz w:w="11906" w:h="16838" w:orient="portrait"/>
      <w:pgMar w:top="284" w:right="707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5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4">
    <w:multiLevelType w:val="hybridMultilevel"/>
    <w:lvl w:ilvl="0">
      <w:start w:val="23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3"/>
  </w:num>
  <w:num w:numId="3">
    <w:abstractNumId w:val="0"/>
  </w:num>
  <w:num w:numId="4">
    <w:abstractNumId w:val="7"/>
  </w:num>
  <w:num w:numId="5">
    <w:abstractNumId w:val="4"/>
  </w:num>
  <w:num w:numId="6">
    <w:abstractNumId w:val="23"/>
  </w:num>
  <w:num w:numId="7">
    <w:abstractNumId w:val="10"/>
  </w:num>
  <w:num w:numId="8">
    <w:abstractNumId w:val="22"/>
  </w:num>
  <w:num w:numId="9">
    <w:abstractNumId w:val="24"/>
  </w:num>
  <w:num w:numId="10">
    <w:abstractNumId w:val="21"/>
  </w:num>
  <w:num w:numId="11">
    <w:abstractNumId w:val="6"/>
  </w:num>
  <w:num w:numId="12">
    <w:abstractNumId w:val="11"/>
  </w:num>
  <w:num w:numId="13">
    <w:abstractNumId w:val="25"/>
  </w:num>
  <w:num w:numId="14">
    <w:abstractNumId w:val="15"/>
  </w:num>
  <w:num w:numId="15">
    <w:abstractNumId w:val="1"/>
  </w:num>
  <w:num w:numId="16">
    <w:abstractNumId w:val="19"/>
  </w:num>
  <w:num w:numId="17">
    <w:abstractNumId w:val="16"/>
  </w:num>
  <w:num w:numId="18">
    <w:abstractNumId w:val="5"/>
  </w:num>
  <w:num w:numId="19">
    <w:abstractNumId w:val="9"/>
  </w:num>
  <w:num w:numId="20">
    <w:abstractNumId w:val="20"/>
  </w:num>
  <w:num w:numId="21">
    <w:abstractNumId w:val="18"/>
  </w:num>
  <w:num w:numId="22">
    <w:abstractNumId w:val="12"/>
  </w:num>
  <w:num w:numId="23">
    <w:abstractNumId w:val="17"/>
  </w:num>
  <w:num w:numId="24">
    <w:abstractNumId w:val="3"/>
  </w:num>
  <w:num w:numId="25">
    <w:abstractNumId w:val="14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Heading 2 Char"/>
    <w:basedOn w:val="729"/>
    <w:link w:val="721"/>
    <w:uiPriority w:val="9"/>
    <w:rPr>
      <w:rFonts w:ascii="Arial" w:hAnsi="Arial" w:eastAsia="Arial" w:cs="Arial"/>
      <w:sz w:val="34"/>
    </w:rPr>
  </w:style>
  <w:style w:type="character" w:styleId="707">
    <w:name w:val="Heading 3 Char"/>
    <w:basedOn w:val="729"/>
    <w:link w:val="722"/>
    <w:uiPriority w:val="9"/>
    <w:rPr>
      <w:rFonts w:ascii="Arial" w:hAnsi="Arial" w:eastAsia="Arial" w:cs="Arial"/>
      <w:sz w:val="30"/>
      <w:szCs w:val="30"/>
    </w:rPr>
  </w:style>
  <w:style w:type="character" w:styleId="708">
    <w:name w:val="Heading 5 Char"/>
    <w:basedOn w:val="729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09">
    <w:name w:val="Heading 6 Char"/>
    <w:basedOn w:val="729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10">
    <w:name w:val="Heading 7 Char"/>
    <w:basedOn w:val="72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8 Char"/>
    <w:basedOn w:val="729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12">
    <w:name w:val="Heading 9 Char"/>
    <w:basedOn w:val="72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character" w:styleId="713">
    <w:name w:val="Title Char"/>
    <w:basedOn w:val="729"/>
    <w:link w:val="741"/>
    <w:uiPriority w:val="10"/>
    <w:rPr>
      <w:sz w:val="48"/>
      <w:szCs w:val="48"/>
    </w:rPr>
  </w:style>
  <w:style w:type="character" w:styleId="714">
    <w:name w:val="Subtitle Char"/>
    <w:basedOn w:val="729"/>
    <w:link w:val="743"/>
    <w:uiPriority w:val="11"/>
    <w:rPr>
      <w:sz w:val="24"/>
      <w:szCs w:val="24"/>
    </w:rPr>
  </w:style>
  <w:style w:type="character" w:styleId="715">
    <w:name w:val="Quote Char"/>
    <w:link w:val="745"/>
    <w:uiPriority w:val="29"/>
    <w:rPr>
      <w:i/>
    </w:rPr>
  </w:style>
  <w:style w:type="character" w:styleId="716">
    <w:name w:val="Intense Quote Char"/>
    <w:link w:val="747"/>
    <w:uiPriority w:val="30"/>
    <w:rPr>
      <w:i/>
    </w:rPr>
  </w:style>
  <w:style w:type="character" w:styleId="717">
    <w:name w:val="Footnote Text Char"/>
    <w:link w:val="879"/>
    <w:uiPriority w:val="99"/>
    <w:rPr>
      <w:sz w:val="18"/>
    </w:rPr>
  </w:style>
  <w:style w:type="character" w:styleId="718">
    <w:name w:val="Endnote Text Char"/>
    <w:link w:val="882"/>
    <w:uiPriority w:val="99"/>
    <w:rPr>
      <w:sz w:val="20"/>
    </w:rPr>
  </w:style>
  <w:style w:type="paragraph" w:styleId="719" w:default="1">
    <w:name w:val="Normal"/>
    <w:qFormat/>
    <w:rPr>
      <w:rFonts w:ascii="Times New Roman" w:hAnsi="Times New Roman" w:eastAsia="Times New Roman"/>
    </w:rPr>
  </w:style>
  <w:style w:type="paragraph" w:styleId="720">
    <w:name w:val="Heading 1"/>
    <w:basedOn w:val="719"/>
    <w:next w:val="719"/>
    <w:link w:val="908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721">
    <w:name w:val="Heading 2"/>
    <w:basedOn w:val="719"/>
    <w:next w:val="719"/>
    <w:link w:val="73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2">
    <w:name w:val="Heading 3"/>
    <w:basedOn w:val="719"/>
    <w:next w:val="719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Heading 4"/>
    <w:basedOn w:val="719"/>
    <w:next w:val="719"/>
    <w:link w:val="897"/>
    <w:qFormat/>
    <w:pPr>
      <w:ind w:firstLine="709"/>
      <w:keepNext/>
      <w:outlineLvl w:val="3"/>
    </w:pPr>
    <w:rPr>
      <w:sz w:val="28"/>
    </w:rPr>
  </w:style>
  <w:style w:type="paragraph" w:styleId="724">
    <w:name w:val="Heading 5"/>
    <w:basedOn w:val="719"/>
    <w:next w:val="719"/>
    <w:link w:val="73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719"/>
    <w:next w:val="719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719"/>
    <w:next w:val="719"/>
    <w:link w:val="73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7">
    <w:name w:val="Heading 8"/>
    <w:basedOn w:val="719"/>
    <w:next w:val="719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719"/>
    <w:next w:val="719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character" w:styleId="732" w:customStyle="1">
    <w:name w:val="Heading 1 Char"/>
    <w:basedOn w:val="729"/>
    <w:uiPriority w:val="9"/>
    <w:rPr>
      <w:rFonts w:ascii="Arial" w:hAnsi="Arial" w:eastAsia="Arial" w:cs="Arial"/>
      <w:sz w:val="40"/>
      <w:szCs w:val="40"/>
    </w:rPr>
  </w:style>
  <w:style w:type="character" w:styleId="733" w:customStyle="1">
    <w:name w:val="Заголовок 2 Знак"/>
    <w:basedOn w:val="729"/>
    <w:link w:val="721"/>
    <w:uiPriority w:val="9"/>
    <w:rPr>
      <w:rFonts w:ascii="Arial" w:hAnsi="Arial" w:eastAsia="Arial" w:cs="Arial"/>
      <w:sz w:val="34"/>
    </w:rPr>
  </w:style>
  <w:style w:type="character" w:styleId="734" w:customStyle="1">
    <w:name w:val="Заголовок 3 Знак"/>
    <w:basedOn w:val="729"/>
    <w:link w:val="722"/>
    <w:uiPriority w:val="9"/>
    <w:rPr>
      <w:rFonts w:ascii="Arial" w:hAnsi="Arial" w:eastAsia="Arial" w:cs="Arial"/>
      <w:sz w:val="30"/>
      <w:szCs w:val="30"/>
    </w:rPr>
  </w:style>
  <w:style w:type="character" w:styleId="735" w:customStyle="1">
    <w:name w:val="Heading 4 Char"/>
    <w:basedOn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36" w:customStyle="1">
    <w:name w:val="Заголовок 5 Знак"/>
    <w:basedOn w:val="729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37" w:customStyle="1">
    <w:name w:val="Заголовок 6 Знак"/>
    <w:basedOn w:val="729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38" w:customStyle="1">
    <w:name w:val="Заголовок 7 Знак"/>
    <w:basedOn w:val="72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9" w:customStyle="1">
    <w:name w:val="Заголовок 8 Знак"/>
    <w:basedOn w:val="729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40" w:customStyle="1">
    <w:name w:val="Заголовок 9 Знак"/>
    <w:basedOn w:val="72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41">
    <w:name w:val="Title"/>
    <w:basedOn w:val="719"/>
    <w:next w:val="719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 w:customStyle="1">
    <w:name w:val="Заголовок Знак"/>
    <w:basedOn w:val="729"/>
    <w:link w:val="741"/>
    <w:uiPriority w:val="10"/>
    <w:rPr>
      <w:sz w:val="48"/>
      <w:szCs w:val="48"/>
    </w:rPr>
  </w:style>
  <w:style w:type="paragraph" w:styleId="743">
    <w:name w:val="Subtitle"/>
    <w:basedOn w:val="719"/>
    <w:next w:val="719"/>
    <w:link w:val="744"/>
    <w:uiPriority w:val="11"/>
    <w:qFormat/>
    <w:pPr>
      <w:spacing w:before="200" w:after="200"/>
    </w:pPr>
    <w:rPr>
      <w:sz w:val="24"/>
      <w:szCs w:val="24"/>
    </w:rPr>
  </w:style>
  <w:style w:type="character" w:styleId="744" w:customStyle="1">
    <w:name w:val="Подзаголовок Знак"/>
    <w:basedOn w:val="729"/>
    <w:link w:val="743"/>
    <w:uiPriority w:val="11"/>
    <w:rPr>
      <w:sz w:val="24"/>
      <w:szCs w:val="24"/>
    </w:rPr>
  </w:style>
  <w:style w:type="paragraph" w:styleId="745">
    <w:name w:val="Quote"/>
    <w:basedOn w:val="719"/>
    <w:next w:val="719"/>
    <w:link w:val="746"/>
    <w:uiPriority w:val="29"/>
    <w:qFormat/>
    <w:pPr>
      <w:ind w:left="720" w:right="720"/>
    </w:pPr>
    <w:rPr>
      <w:i/>
    </w:rPr>
  </w:style>
  <w:style w:type="character" w:styleId="746" w:customStyle="1">
    <w:name w:val="Цитата 2 Знак"/>
    <w:link w:val="745"/>
    <w:uiPriority w:val="29"/>
    <w:rPr>
      <w:i/>
    </w:rPr>
  </w:style>
  <w:style w:type="paragraph" w:styleId="747">
    <w:name w:val="Intense Quote"/>
    <w:basedOn w:val="719"/>
    <w:next w:val="719"/>
    <w:link w:val="7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 w:customStyle="1">
    <w:name w:val="Выделенная цитата Знак"/>
    <w:link w:val="747"/>
    <w:uiPriority w:val="30"/>
    <w:rPr>
      <w:i/>
    </w:rPr>
  </w:style>
  <w:style w:type="character" w:styleId="749" w:customStyle="1">
    <w:name w:val="Header Char"/>
    <w:basedOn w:val="729"/>
    <w:uiPriority w:val="99"/>
  </w:style>
  <w:style w:type="character" w:styleId="750" w:customStyle="1">
    <w:name w:val="Footer Char"/>
    <w:basedOn w:val="729"/>
    <w:uiPriority w:val="99"/>
  </w:style>
  <w:style w:type="paragraph" w:styleId="751">
    <w:name w:val="Caption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2" w:customStyle="1">
    <w:name w:val="Caption Char"/>
    <w:uiPriority w:val="99"/>
  </w:style>
  <w:style w:type="table" w:styleId="753">
    <w:name w:val="Table Grid"/>
    <w:basedOn w:val="73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4" w:customStyle="1">
    <w:name w:val="Table Grid Light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5">
    <w:name w:val="Plain Table 1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2"/>
    <w:basedOn w:val="73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3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73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3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3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3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3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3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3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3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3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3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3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3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3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73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3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3" w:customStyle="1">
    <w:name w:val="Grid Table 4 - Accent 2"/>
    <w:basedOn w:val="73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4" w:customStyle="1">
    <w:name w:val="Grid Table 4 - Accent 3"/>
    <w:basedOn w:val="73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5" w:customStyle="1">
    <w:name w:val="Grid Table 4 - Accent 4"/>
    <w:basedOn w:val="73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6" w:customStyle="1">
    <w:name w:val="Grid Table 4 - Accent 5"/>
    <w:basedOn w:val="73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7" w:customStyle="1">
    <w:name w:val="Grid Table 4 - Accent 6"/>
    <w:basedOn w:val="73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8">
    <w:name w:val="Grid Table 5 Dark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5">
    <w:name w:val="Grid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3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7" w:customStyle="1">
    <w:name w:val="Grid Table 6 Colorful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8" w:customStyle="1">
    <w:name w:val="Grid Table 6 Colorful - Accent 3"/>
    <w:basedOn w:val="73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9" w:customStyle="1">
    <w:name w:val="Grid Table 6 Colorful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0" w:customStyle="1">
    <w:name w:val="Grid Table 6 Colorful - Accent 5"/>
    <w:basedOn w:val="73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Grid Table 6 Colorful - Accent 6"/>
    <w:basedOn w:val="73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>
    <w:name w:val="Grid Table 7 Colorful"/>
    <w:basedOn w:val="73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73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73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73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73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3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3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3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3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3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3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73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3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3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3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3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3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3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3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3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3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3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3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3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3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73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3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>
    <w:name w:val="List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3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6" w:customStyle="1">
    <w:name w:val="List Table 6 Colorful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List Table 6 Colorful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8" w:customStyle="1">
    <w:name w:val="List Table 6 Colorful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List Table 6 Colorful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0" w:customStyle="1">
    <w:name w:val="List Table 6 Colorful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1">
    <w:name w:val="List Table 7 Colorful"/>
    <w:basedOn w:val="73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73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73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73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73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73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73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Lined - Accent 2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Lined - Accent 3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Lined - Accent 4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Lined - Accent 5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Lined - Accent 6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 &amp; Lined - Accent"/>
    <w:basedOn w:val="73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3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Bordered &amp; Lined - Accent 2"/>
    <w:basedOn w:val="73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Bordered &amp; Lined - Accent 3"/>
    <w:basedOn w:val="73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Bordered &amp; Lined - Accent 4"/>
    <w:basedOn w:val="73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Bordered &amp; Lined - Accent 5"/>
    <w:basedOn w:val="73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Bordered &amp; Lined - Accent 6"/>
    <w:basedOn w:val="73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"/>
    <w:basedOn w:val="73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3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4" w:customStyle="1">
    <w:name w:val="Bordered - Accent 2"/>
    <w:basedOn w:val="73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5" w:customStyle="1">
    <w:name w:val="Bordered - Accent 3"/>
    <w:basedOn w:val="73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6" w:customStyle="1">
    <w:name w:val="Bordered - Accent 4"/>
    <w:basedOn w:val="73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7" w:customStyle="1">
    <w:name w:val="Bordered - Accent 5"/>
    <w:basedOn w:val="73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8" w:customStyle="1">
    <w:name w:val="Bordered - Accent 6"/>
    <w:basedOn w:val="73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9">
    <w:name w:val="footnote text"/>
    <w:basedOn w:val="719"/>
    <w:link w:val="880"/>
    <w:uiPriority w:val="99"/>
    <w:semiHidden/>
    <w:unhideWhenUsed/>
    <w:pPr>
      <w:spacing w:after="40"/>
    </w:pPr>
    <w:rPr>
      <w:sz w:val="18"/>
    </w:rPr>
  </w:style>
  <w:style w:type="character" w:styleId="880" w:customStyle="1">
    <w:name w:val="Текст сноски Знак"/>
    <w:link w:val="879"/>
    <w:uiPriority w:val="99"/>
    <w:rPr>
      <w:sz w:val="18"/>
    </w:rPr>
  </w:style>
  <w:style w:type="character" w:styleId="881">
    <w:name w:val="footnote reference"/>
    <w:basedOn w:val="729"/>
    <w:uiPriority w:val="99"/>
    <w:unhideWhenUsed/>
    <w:rPr>
      <w:vertAlign w:val="superscript"/>
    </w:rPr>
  </w:style>
  <w:style w:type="paragraph" w:styleId="882">
    <w:name w:val="endnote text"/>
    <w:basedOn w:val="719"/>
    <w:link w:val="883"/>
    <w:uiPriority w:val="99"/>
    <w:semiHidden/>
    <w:unhideWhenUsed/>
  </w:style>
  <w:style w:type="character" w:styleId="883" w:customStyle="1">
    <w:name w:val="Текст концевой сноски Знак"/>
    <w:link w:val="882"/>
    <w:uiPriority w:val="99"/>
    <w:rPr>
      <w:sz w:val="20"/>
    </w:rPr>
  </w:style>
  <w:style w:type="character" w:styleId="884">
    <w:name w:val="endnote reference"/>
    <w:basedOn w:val="729"/>
    <w:uiPriority w:val="99"/>
    <w:semiHidden/>
    <w:unhideWhenUsed/>
    <w:rPr>
      <w:vertAlign w:val="superscript"/>
    </w:rPr>
  </w:style>
  <w:style w:type="paragraph" w:styleId="885">
    <w:name w:val="toc 1"/>
    <w:basedOn w:val="719"/>
    <w:next w:val="719"/>
    <w:uiPriority w:val="39"/>
    <w:unhideWhenUsed/>
    <w:pPr>
      <w:spacing w:after="57"/>
    </w:pPr>
  </w:style>
  <w:style w:type="paragraph" w:styleId="886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887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888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889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890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891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892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893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894">
    <w:name w:val="TOC Heading"/>
    <w:uiPriority w:val="39"/>
    <w:unhideWhenUsed/>
  </w:style>
  <w:style w:type="paragraph" w:styleId="895">
    <w:name w:val="table of figures"/>
    <w:basedOn w:val="719"/>
    <w:next w:val="719"/>
    <w:uiPriority w:val="99"/>
    <w:unhideWhenUsed/>
  </w:style>
  <w:style w:type="paragraph" w:styleId="896" w:customStyle="1">
    <w:name w:val="Стиль1"/>
    <w:basedOn w:val="719"/>
    <w:qFormat/>
    <w:rPr>
      <w:sz w:val="24"/>
    </w:rPr>
  </w:style>
  <w:style w:type="character" w:styleId="897" w:customStyle="1">
    <w:name w:val="Заголовок 4 Знак"/>
    <w:link w:val="723"/>
    <w:rPr>
      <w:rFonts w:ascii="Times New Roman" w:hAnsi="Times New Roman" w:eastAsia="Times New Roman"/>
      <w:szCs w:val="20"/>
      <w:lang w:eastAsia="ru-RU"/>
    </w:rPr>
  </w:style>
  <w:style w:type="paragraph" w:styleId="89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99">
    <w:name w:val="Balloon Text"/>
    <w:basedOn w:val="719"/>
    <w:link w:val="900"/>
    <w:uiPriority w:val="99"/>
    <w:semiHidden/>
    <w:unhideWhenUsed/>
    <w:rPr>
      <w:rFonts w:ascii="Tahoma" w:hAnsi="Tahoma" w:cs="Tahoma"/>
      <w:sz w:val="16"/>
      <w:szCs w:val="16"/>
    </w:rPr>
  </w:style>
  <w:style w:type="character" w:styleId="900" w:customStyle="1">
    <w:name w:val="Текст выноски Знак"/>
    <w:link w:val="89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01">
    <w:name w:val="List Paragraph"/>
    <w:basedOn w:val="719"/>
    <w:uiPriority w:val="34"/>
    <w:qFormat/>
    <w:pPr>
      <w:contextualSpacing/>
      <w:ind w:left="720"/>
    </w:pPr>
  </w:style>
  <w:style w:type="paragraph" w:styleId="902" w:customStyle="1">
    <w:name w:val="Знак Знак Знак Знак Знак Знак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3" w:customStyle="1">
    <w:name w:val="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4" w:customStyle="1">
    <w:name w:val="Знак Знак1 Знак Знак Знак Знак"/>
    <w:basedOn w:val="71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05">
    <w:name w:val="Hyperlink"/>
    <w:basedOn w:val="729"/>
    <w:uiPriority w:val="99"/>
    <w:unhideWhenUsed/>
    <w:rPr>
      <w:color w:val="0000ff" w:themeColor="hyperlink"/>
      <w:u w:val="single"/>
    </w:rPr>
  </w:style>
  <w:style w:type="paragraph" w:styleId="906">
    <w:name w:val="Normal (Web)"/>
    <w:basedOn w:val="71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7">
    <w:name w:val="No Spacing"/>
    <w:uiPriority w:val="1"/>
    <w:qFormat/>
    <w:rPr>
      <w:rFonts w:ascii="Times New Roman" w:hAnsi="Times New Roman" w:eastAsia="Times New Roman"/>
    </w:rPr>
  </w:style>
  <w:style w:type="character" w:styleId="908" w:customStyle="1">
    <w:name w:val="Заголовок 1 Знак"/>
    <w:basedOn w:val="729"/>
    <w:link w:val="720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909">
    <w:name w:val="Body Text"/>
    <w:basedOn w:val="719"/>
    <w:link w:val="910"/>
    <w:uiPriority w:val="99"/>
    <w:semiHidden/>
    <w:unhideWhenUsed/>
    <w:pPr>
      <w:spacing w:after="120"/>
    </w:pPr>
  </w:style>
  <w:style w:type="character" w:styleId="910" w:customStyle="1">
    <w:name w:val="Основной текст Знак"/>
    <w:basedOn w:val="729"/>
    <w:link w:val="909"/>
    <w:uiPriority w:val="99"/>
    <w:semiHidden/>
    <w:rPr>
      <w:rFonts w:ascii="Times New Roman" w:hAnsi="Times New Roman" w:eastAsia="Times New Roman"/>
    </w:rPr>
  </w:style>
  <w:style w:type="table" w:styleId="911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2">
    <w:name w:val="Header"/>
    <w:basedOn w:val="719"/>
    <w:link w:val="91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Верхний колонтитул Знак"/>
    <w:basedOn w:val="729"/>
    <w:link w:val="912"/>
    <w:uiPriority w:val="99"/>
    <w:rPr>
      <w:rFonts w:ascii="Times New Roman" w:hAnsi="Times New Roman" w:eastAsia="Times New Roman"/>
    </w:rPr>
  </w:style>
  <w:style w:type="paragraph" w:styleId="914">
    <w:name w:val="Footer"/>
    <w:basedOn w:val="719"/>
    <w:link w:val="91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5" w:customStyle="1">
    <w:name w:val="Нижний колонтитул Знак"/>
    <w:basedOn w:val="729"/>
    <w:link w:val="914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CAC27-F570-4657-B36C-A5E56422D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21</cp:revision>
  <dcterms:created xsi:type="dcterms:W3CDTF">2026-06-30T06:30:00Z</dcterms:created>
  <dcterms:modified xsi:type="dcterms:W3CDTF">2026-07-06T13:09:06Z</dcterms:modified>
</cp:coreProperties>
</file>