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13.07.2026 </w:t>
      </w:r>
      <w:r>
        <w:rPr>
          <w:b/>
        </w:rPr>
        <w:t xml:space="preserve">                      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№ </w:t>
      </w:r>
      <w:r>
        <w:rPr>
          <w:b/>
        </w:rPr>
        <w:t xml:space="preserve">1322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71"/>
        <w:spacing w:before="0" w:after="0" w:line="240" w:lineRule="auto"/>
        <w:shd w:val="clear" w:color="auto" w:fill="auto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О мерах по оказанию содействия </w:t>
      </w:r>
      <w:r>
        <w:rPr>
          <w:color w:val="000000"/>
          <w:sz w:val="20"/>
          <w:szCs w:val="20"/>
        </w:rPr>
        <w:t xml:space="preserve">Печенгской</w:t>
      </w:r>
      <w:r>
        <w:rPr>
          <w:color w:val="000000"/>
          <w:sz w:val="20"/>
          <w:szCs w:val="20"/>
        </w:rPr>
        <w:t xml:space="preserve"> территориальной избирательной комиссии</w:t>
      </w:r>
      <w:r>
        <w:rPr>
          <w:color w:val="000000"/>
          <w:sz w:val="20"/>
          <w:szCs w:val="20"/>
        </w:rPr>
        <w:br/>
        <w:t xml:space="preserve">в реализации полномочий при подготовке и проведения выборов </w:t>
      </w:r>
      <w:r>
        <w:rPr>
          <w:sz w:val="20"/>
          <w:szCs w:val="20"/>
        </w:rPr>
        <w:t xml:space="preserve">депутатов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1"/>
        <w:spacing w:before="0" w:after="0" w:line="240" w:lineRule="auto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Государственной Думы Федерального Собрания Российской Федерации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1"/>
        <w:spacing w:before="0" w:after="0" w:line="240" w:lineRule="auto"/>
        <w:shd w:val="clear" w:color="auto" w:fill="auto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и депутатов Мурманской областной Думы</w: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pStyle w:val="871"/>
        <w:spacing w:before="0" w:after="0" w:line="240" w:lineRule="auto"/>
        <w:shd w:val="clear" w:color="auto" w:fill="auto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71"/>
        <w:spacing w:before="0" w:after="0" w:line="240" w:lineRule="auto"/>
        <w:shd w:val="clear" w:color="auto" w:fill="auto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667"/>
        <w:ind w:firstLine="709"/>
        <w:jc w:val="both"/>
        <w:spacing w:line="240" w:lineRule="auto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Руководствуясь Федеральным законом от 12.06.2002 № 67-ФЗ «Об основных гарантиях избирательных прав и права на участие в референдуме граждан Российской Федерации» (далее - Федеральный закон), в целях оказания содействия </w:t>
      </w:r>
      <w:r>
        <w:rPr>
          <w:spacing w:val="1"/>
          <w:sz w:val="24"/>
          <w:szCs w:val="24"/>
        </w:rPr>
        <w:t xml:space="preserve">Печенгской</w:t>
      </w:r>
      <w:r>
        <w:rPr>
          <w:spacing w:val="1"/>
          <w:sz w:val="24"/>
          <w:szCs w:val="24"/>
        </w:rPr>
        <w:t xml:space="preserve"> территориальной избирательной комиссии в организации подготовки и проведении </w:t>
      </w:r>
      <w:r>
        <w:rPr>
          <w:spacing w:val="1"/>
          <w:sz w:val="24"/>
          <w:szCs w:val="24"/>
        </w:rPr>
        <w:t xml:space="preserve">выборов </w:t>
      </w:r>
      <w:r>
        <w:rPr>
          <w:spacing w:val="1"/>
          <w:sz w:val="24"/>
          <w:szCs w:val="24"/>
        </w:rPr>
        <w:t xml:space="preserve">депутатов Государственной Думы Федерального Собрания Российской Федерации</w:t>
      </w:r>
      <w:r>
        <w:rPr>
          <w:spacing w:val="1"/>
          <w:sz w:val="24"/>
          <w:szCs w:val="24"/>
        </w:rPr>
        <w:t xml:space="preserve"> и депутатов Мурманской областной Думы</w:t>
      </w:r>
      <w:r>
        <w:rPr>
          <w:spacing w:val="1"/>
          <w:sz w:val="24"/>
          <w:szCs w:val="24"/>
        </w:rPr>
        <w:t xml:space="preserve">,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pStyle w:val="872"/>
        <w:ind w:firstLine="822"/>
        <w:jc w:val="both"/>
        <w:spacing w:before="0" w:after="0" w:line="240" w:lineRule="auto"/>
        <w:shd w:val="clear" w:color="auto" w:fil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0"/>
        <w:jc w:val="both"/>
        <w:spacing w:before="0" w:after="0" w:line="240" w:lineRule="auto"/>
        <w:shd w:val="clear" w:color="auto" w:fill="auto"/>
        <w:rPr>
          <w:rStyle w:val="868"/>
          <w:spacing w:val="0"/>
          <w:sz w:val="24"/>
          <w:szCs w:val="24"/>
        </w:rPr>
      </w:pPr>
      <w:r>
        <w:rPr>
          <w:rStyle w:val="868"/>
          <w:spacing w:val="0"/>
          <w:sz w:val="24"/>
          <w:szCs w:val="24"/>
        </w:rPr>
        <w:t xml:space="preserve">ПОСТАНОВЛЯЮ:</w:t>
      </w:r>
      <w:r>
        <w:rPr>
          <w:rStyle w:val="868"/>
          <w:spacing w:val="0"/>
          <w:sz w:val="24"/>
          <w:szCs w:val="24"/>
        </w:rPr>
      </w:r>
      <w:r>
        <w:rPr>
          <w:rStyle w:val="868"/>
          <w:spacing w:val="0"/>
          <w:sz w:val="24"/>
          <w:szCs w:val="24"/>
        </w:rPr>
      </w:r>
    </w:p>
    <w:p>
      <w:pPr>
        <w:pStyle w:val="872"/>
        <w:ind w:firstLine="820"/>
        <w:jc w:val="both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Создать рабочую группу по оказанию содействия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территориальной избирательной комиссии в реализации полномочий при подготовке и проведении </w:t>
      </w:r>
      <w:r>
        <w:rPr>
          <w:color w:val="000000"/>
          <w:sz w:val="24"/>
          <w:szCs w:val="24"/>
        </w:rPr>
        <w:t xml:space="preserve">выборов </w:t>
      </w:r>
      <w:r>
        <w:rPr>
          <w:sz w:val="24"/>
          <w:szCs w:val="24"/>
        </w:rPr>
        <w:t xml:space="preserve">депутатов Государственной Думы Федерального Собрания Российской Федерации</w:t>
      </w:r>
      <w:r>
        <w:rPr>
          <w:sz w:val="24"/>
          <w:szCs w:val="24"/>
        </w:rPr>
        <w:t xml:space="preserve"> и депутатов Мурманской областной Думы</w:t>
      </w:r>
      <w:r>
        <w:rPr>
          <w:color w:val="000000"/>
          <w:sz w:val="24"/>
          <w:szCs w:val="24"/>
        </w:rPr>
        <w:t xml:space="preserve"> (далее - Рабочая группа) </w:t>
        <w:br/>
        <w:t xml:space="preserve">и утвердить ее состав, согласно приложению</w:t>
      </w:r>
      <w:r>
        <w:rPr>
          <w:rStyle w:val="869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numPr>
          <w:ilvl w:val="0"/>
          <w:numId w:val="2"/>
        </w:numPr>
        <w:ind w:firstLine="709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 Рабочей группе обеспечить координацию работы админ</w:t>
      </w:r>
      <w:r>
        <w:rPr>
          <w:color w:val="000000"/>
          <w:spacing w:val="1"/>
        </w:rPr>
        <w:t xml:space="preserve">истрации Печенгского муниципального округа, территориальных подразделений исполнительных органов государственной власти, служб обеспечения жизнедеятельности населения, функционирующих на территории Печенгского муниципального округа, по оказанию содействия </w:t>
      </w:r>
      <w:r>
        <w:rPr>
          <w:color w:val="000000"/>
          <w:spacing w:val="1"/>
        </w:rPr>
        <w:t xml:space="preserve">Печенгской</w:t>
      </w:r>
      <w:r>
        <w:rPr>
          <w:color w:val="000000"/>
          <w:spacing w:val="1"/>
        </w:rPr>
        <w:t xml:space="preserve"> территориальной избирательной комиссии (далее – </w:t>
      </w:r>
      <w:r>
        <w:rPr>
          <w:color w:val="000000"/>
          <w:spacing w:val="1"/>
        </w:rPr>
        <w:t xml:space="preserve">Печенгская</w:t>
      </w:r>
      <w:r>
        <w:rPr>
          <w:color w:val="000000"/>
          <w:spacing w:val="1"/>
        </w:rPr>
        <w:t xml:space="preserve"> ТИК) в реализации ее полномочий в период подготовки и проведения выборов.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 Администрации Печенгского муниципального округа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</w:pPr>
      <w:r>
        <w:rPr>
          <w:color w:val="000000"/>
          <w:spacing w:val="1"/>
        </w:rPr>
        <w:t xml:space="preserve">- </w:t>
      </w:r>
      <w:r>
        <w:t xml:space="preserve">обеспечить необходимые нормативные технологические условия </w:t>
        <w:br/>
        <w:t xml:space="preserve">для бесперебойного функционирования Государственной автоматизированной системы Российской Федерации «Выборы»;</w:t>
      </w:r>
      <w:r/>
    </w:p>
    <w:p>
      <w:pPr>
        <w:ind w:firstLine="709"/>
        <w:jc w:val="both"/>
      </w:pPr>
      <w:r>
        <w:t xml:space="preserve">- организовать работу по уточнению списков избирателей в порядке, установленном федеральными законами и нормативными актами Центральной избирательной комиссии Российской Федерации, избирательной комиссии Мурманской области;</w:t>
      </w:r>
      <w:r/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- 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предоставить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Печенгской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ТИК на безвозмездной основе помещения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для работы участковых избирательных комиссий,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для приема заявлений о включении избирателей </w:t>
        <w:br/>
        <w:t xml:space="preserve">в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список избирателей по месту нахождения, хранения избирательной документации (обеспечить охрану помещений и избирательной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документации), а также </w:t>
        <w:br/>
        <w:t xml:space="preserve">при необходимости средства связи и техническое оборудование;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- обеспечить комиссионное обследова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ние избирательных участков на предмет повышения их антитеррористической защищенности, пожарной безопасности, достаточности принятых мер по предупреждению и ликвидации чрезвычайных ситуаций, обеспечению правопорядка и предотвращению противоправных действий;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</w:pPr>
      <w:r>
        <w:t xml:space="preserve">- организовать резервные пункты для голосования в целях </w:t>
      </w:r>
      <w:r>
        <w:t xml:space="preserve">организации непрерывности процесса проведения выборов</w:t>
      </w:r>
      <w:r>
        <w:t xml:space="preserve"> в случаях невозможности работы избирательных участков в имеющихся помещениях;</w:t>
      </w:r>
      <w:r/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выделить на территории Печенгского муниципального округа специальные места для размещения печатных агитационных материалов на территории каждого избирательного участка;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- назначить дежурных по </w:t>
      </w:r>
      <w:r>
        <w:rPr>
          <w:rStyle w:val="875"/>
        </w:rPr>
        <w:t xml:space="preserve">Печенгскому</w:t>
      </w:r>
      <w:r>
        <w:rPr>
          <w:rStyle w:val="875"/>
        </w:rPr>
        <w:t xml:space="preserve"> муниципальному округу в дни подготовки </w:t>
        <w:br/>
      </w:r>
      <w:r>
        <w:rPr>
          <w:rStyle w:val="875"/>
        </w:rPr>
        <w:t xml:space="preserve">и проведения выборов по вопросам: 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1) общей координации;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2) предупреждения и ликвидации чрезвычайных ситуаций, пожарной безопасности, </w:t>
      </w:r>
      <w:r>
        <w:t xml:space="preserve">обеспечения бесперебойного электроснабжения помещений</w:t>
      </w:r>
      <w:r>
        <w:rPr>
          <w:rStyle w:val="875"/>
        </w:rPr>
        <w:t xml:space="preserve"> </w:t>
      </w:r>
      <w:r>
        <w:rPr>
          <w:rStyle w:val="875"/>
        </w:rPr>
        <w:t xml:space="preserve">Печенгской</w:t>
      </w:r>
      <w:r>
        <w:rPr>
          <w:rStyle w:val="875"/>
        </w:rPr>
        <w:t xml:space="preserve"> ТИК </w:t>
        <w:br/>
        <w:t xml:space="preserve">и участковых избирательных комиссий, взаимодействия с правоохранительными органами;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3) обеспечения функционирования технических средств и оборудования </w:t>
      </w:r>
      <w:r>
        <w:rPr>
          <w:rStyle w:val="875"/>
        </w:rPr>
        <w:t xml:space="preserve">Печенгской</w:t>
      </w:r>
      <w:r>
        <w:rPr>
          <w:rStyle w:val="875"/>
        </w:rPr>
        <w:t xml:space="preserve"> ТИК и участковых избирательных комиссий, обеспечения охраны помещений </w:t>
      </w:r>
      <w:r>
        <w:rPr>
          <w:rStyle w:val="875"/>
        </w:rPr>
        <w:t xml:space="preserve">Печенгской</w:t>
      </w:r>
      <w:r>
        <w:rPr>
          <w:rStyle w:val="875"/>
        </w:rPr>
        <w:t xml:space="preserve"> ТИК и выделения автотранспорта;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</w:pPr>
      <w:r>
        <w:rPr>
          <w:rStyle w:val="875"/>
        </w:rPr>
        <w:t xml:space="preserve">4) функционирования систем энергообеспечения и тепло-, водоснабжения </w:t>
        <w:br/>
        <w:t xml:space="preserve">на муниципальных объектах, в которых расположены </w:t>
      </w:r>
      <w:r>
        <w:rPr>
          <w:rStyle w:val="875"/>
        </w:rPr>
        <w:t xml:space="preserve">Печенгская</w:t>
      </w:r>
      <w:r>
        <w:rPr>
          <w:rStyle w:val="875"/>
        </w:rPr>
        <w:t xml:space="preserve"> ТИК и участковые избирательные комиссии;</w:t>
      </w:r>
      <w:r/>
    </w:p>
    <w:p>
      <w:pPr>
        <w:ind w:firstLine="709"/>
        <w:jc w:val="both"/>
      </w:pPr>
      <w:r>
        <w:t xml:space="preserve">- провести информирование населения по повышению правовой культуры избирателей, активизации их участия в выборах.</w:t>
      </w:r>
      <w:r/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 Комитету по управлению имуществом администрации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(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Веверица В.А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.):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оборудовать на территории Печенгского муниципального округа специальные места для размещения печатных агитационных материалов на территории каждого избирательного участка;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 оказать содействие в размещении информационных материалов, баннеров </w:t>
        <w:br/>
        <w:t xml:space="preserve">на объектах муниципального имущества и в местах установления рекламных конструкций.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МКУ «Управление по обеспечению деятельности администрации Печенгского округа» (</w:t>
      </w:r>
      <w:r>
        <w:rPr>
          <w:rFonts w:ascii="Times New Roman" w:hAnsi="Times New Roman"/>
          <w:sz w:val="24"/>
          <w:szCs w:val="24"/>
        </w:rPr>
        <w:t xml:space="preserve">Рудневская М.</w:t>
      </w:r>
      <w:r>
        <w:rPr>
          <w:rFonts w:ascii="Times New Roman" w:hAnsi="Times New Roman"/>
          <w:sz w:val="24"/>
          <w:szCs w:val="24"/>
        </w:rPr>
        <w:t xml:space="preserve">А.):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провести предварительное обследование избирательных участков на наличие соответствующих технических (аппаратных) средств, при необходимости сформировать их резерв;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</w:pPr>
      <w:r>
        <w:t xml:space="preserve">- оказывать содействие </w:t>
      </w:r>
      <w:r>
        <w:rPr>
          <w:spacing w:val="1"/>
        </w:rPr>
        <w:t xml:space="preserve">Печенгской</w:t>
      </w:r>
      <w:r>
        <w:rPr>
          <w:spacing w:val="1"/>
        </w:rPr>
        <w:t xml:space="preserve"> ТИК </w:t>
      </w:r>
      <w:r>
        <w:t xml:space="preserve">в обеспечении участковых избирательных комиссий не позднее</w:t>
      </w:r>
      <w:r>
        <w:t xml:space="preserve">,</w:t>
      </w:r>
      <w:r>
        <w:t xml:space="preserve"> чем за 20 дней до дня голосования компьютерным оборудованием, необходимым для приема заявлений о включении избирателей в список избирателей по месту </w:t>
      </w:r>
      <w:r>
        <w:rPr>
          <w:spacing w:val="1"/>
        </w:rPr>
        <w:t xml:space="preserve">нахождения</w:t>
      </w:r>
      <w:r>
        <w:t xml:space="preserve">, а также для применения технологии изготовления протоколов участковых избирательных комиссий об итогах голосования с машиночитаемым кодом;</w:t>
      </w:r>
      <w:r/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оказывать содействие </w:t>
      </w:r>
      <w:r>
        <w:rPr>
          <w:rFonts w:ascii="Times New Roman" w:hAnsi="Times New Roman"/>
          <w:sz w:val="24"/>
          <w:szCs w:val="24"/>
        </w:rPr>
        <w:t xml:space="preserve">Печенгской</w:t>
      </w:r>
      <w:r>
        <w:rPr>
          <w:rFonts w:ascii="Times New Roman" w:hAnsi="Times New Roman"/>
          <w:sz w:val="24"/>
          <w:szCs w:val="24"/>
        </w:rPr>
        <w:t xml:space="preserve"> ТИК в предоставлении транспортных средств.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Отделу ГО, ЧС и ПБ администрации Печенгского муниципального округа (Соболев А.В.) совместно с руководителями муниципальных учреждений в целях обеспечения бесперебойного</w:t>
      </w:r>
      <w:r>
        <w:rPr>
          <w:rFonts w:ascii="Times New Roman" w:hAnsi="Times New Roman"/>
          <w:sz w:val="24"/>
          <w:szCs w:val="24"/>
        </w:rPr>
        <w:t xml:space="preserve"> энергоснабжения помещений 27 избирательных участков </w:t>
        <w:br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Печенгской</w:t>
      </w:r>
      <w:r>
        <w:rPr>
          <w:rFonts w:ascii="Times New Roman" w:hAnsi="Times New Roman"/>
          <w:sz w:val="24"/>
          <w:szCs w:val="24"/>
        </w:rPr>
        <w:t xml:space="preserve"> ТИК определить наличие электрогенераторов в муниципальных учреждениях, при необходимости определить источник формирования резерва электрогенераторов у сторонних организаций, разработать план-схему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взаимодействия муниципальных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учреждений, сторонних организаций с </w:t>
      </w:r>
      <w:r>
        <w:rPr>
          <w:rFonts w:ascii="Times New Roman" w:hAnsi="Times New Roman"/>
          <w:spacing w:val="1"/>
          <w:sz w:val="24"/>
          <w:szCs w:val="24"/>
        </w:rPr>
        <w:t xml:space="preserve">Печенгской</w:t>
      </w:r>
      <w:r>
        <w:rPr>
          <w:rFonts w:ascii="Times New Roman" w:hAnsi="Times New Roman"/>
          <w:spacing w:val="1"/>
          <w:sz w:val="24"/>
          <w:szCs w:val="24"/>
        </w:rPr>
        <w:t xml:space="preserve"> ТИК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по вопросам обеспечения бесперебойного энергоснабжения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помещений избирательных участков.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Советникам Главы Печенгского муниципального округа (</w:t>
      </w:r>
      <w:r>
        <w:rPr>
          <w:color w:val="000000"/>
          <w:sz w:val="24"/>
          <w:szCs w:val="24"/>
        </w:rPr>
        <w:t xml:space="preserve">Иванова Н.А.</w:t>
      </w:r>
      <w:r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Збаразская</w:t>
      </w:r>
      <w:r>
        <w:rPr>
          <w:color w:val="000000"/>
          <w:sz w:val="24"/>
          <w:szCs w:val="24"/>
        </w:rPr>
        <w:t xml:space="preserve"> Р.Ю., Поздняков Д.М., </w:t>
      </w:r>
      <w:r>
        <w:rPr>
          <w:color w:val="000000"/>
          <w:sz w:val="24"/>
          <w:szCs w:val="24"/>
        </w:rPr>
        <w:t xml:space="preserve">Ганоченко</w:t>
      </w:r>
      <w:r>
        <w:rPr>
          <w:color w:val="000000"/>
          <w:sz w:val="24"/>
          <w:szCs w:val="24"/>
        </w:rPr>
        <w:t xml:space="preserve"> Д.Ю.):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 осуществлять контроль функционирования систем энергообеспечения и тепло-, водоснабжения в жилых домах, на объектах социальной сферы и в зданиях, </w:t>
        <w:br/>
        <w:t xml:space="preserve">где расположены избирательные участки;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 проверить обеспеченность и готовность к работе стационарных и передвижных автономных источников питания для бесперебойного энергоснабжения помещений избирательных участков.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 Отделу ГО, ЧС и ПБ администрации Печенгского муниципального округа (Соболев А.В.), </w:t>
      </w:r>
      <w:r>
        <w:rPr>
          <w:sz w:val="24"/>
          <w:szCs w:val="24"/>
        </w:rPr>
        <w:t xml:space="preserve">МКУ «ЕДДС Печенгского муниципального округа»</w:t>
      </w:r>
      <w:r>
        <w:rPr>
          <w:color w:val="000000"/>
          <w:sz w:val="24"/>
          <w:szCs w:val="24"/>
        </w:rPr>
        <w:t xml:space="preserve"> (</w:t>
      </w:r>
      <w:r>
        <w:rPr>
          <w:sz w:val="24"/>
          <w:szCs w:val="24"/>
        </w:rPr>
        <w:t xml:space="preserve">Шипилов С.В.) </w:t>
      </w:r>
      <w:r>
        <w:rPr>
          <w:rStyle w:val="875"/>
        </w:rPr>
        <w:br/>
        <w:t xml:space="preserve">в целях осуществления непрерывного руководства и решения задач, которые могут возникнуть при проведении выборов, </w:t>
      </w:r>
      <w:r>
        <w:rPr>
          <w:sz w:val="24"/>
          <w:szCs w:val="24"/>
        </w:rPr>
        <w:t xml:space="preserve">обеспечить взаимодействие дежурных операторов ЕДДС Печенгского муниципального округа с </w:t>
      </w:r>
      <w:r>
        <w:rPr>
          <w:sz w:val="24"/>
          <w:szCs w:val="24"/>
        </w:rPr>
        <w:t xml:space="preserve">Печенгской</w:t>
      </w:r>
      <w:r>
        <w:rPr>
          <w:sz w:val="24"/>
          <w:szCs w:val="24"/>
        </w:rPr>
        <w:t xml:space="preserve"> ТИК, ответственными дежурными по </w:t>
      </w:r>
      <w:r>
        <w:rPr>
          <w:sz w:val="24"/>
          <w:szCs w:val="24"/>
        </w:rPr>
        <w:t xml:space="preserve">Печенгскому</w:t>
      </w:r>
      <w:r>
        <w:rPr>
          <w:sz w:val="24"/>
          <w:szCs w:val="24"/>
        </w:rPr>
        <w:t xml:space="preserve"> муниципальному округу и оперативными дежурными ведомств и организаций о возможных осложнениях</w:t>
      </w:r>
      <w:r>
        <w:rPr>
          <w:sz w:val="24"/>
          <w:szCs w:val="24"/>
        </w:rPr>
        <w:t xml:space="preserve"> оперативной обстановки </w:t>
        <w:br/>
        <w:t xml:space="preserve">и функционирования </w:t>
      </w:r>
      <w:r>
        <w:rPr>
          <w:color w:val="000000"/>
          <w:sz w:val="24"/>
          <w:szCs w:val="24"/>
        </w:rPr>
        <w:t xml:space="preserve">систем энергообеспечения и тепло-, водоснабжения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 Отделу культуры, спорта и молодежной политики (</w:t>
      </w:r>
      <w:r>
        <w:rPr>
          <w:sz w:val="24"/>
          <w:szCs w:val="24"/>
        </w:rPr>
        <w:t xml:space="preserve">Зубкова Н.А.</w:t>
      </w:r>
      <w:r>
        <w:rPr>
          <w:sz w:val="24"/>
          <w:szCs w:val="24"/>
        </w:rPr>
        <w:t xml:space="preserve">) </w:t>
      </w:r>
      <w:r>
        <w:rPr>
          <w:color w:val="000000"/>
          <w:sz w:val="24"/>
          <w:szCs w:val="24"/>
        </w:rPr>
        <w:t xml:space="preserve">провести работу по информированию молодежных общественных и волонтерских организаций </w:t>
        <w:br/>
        <w:t xml:space="preserve">в целях повышения их правовой культуры и активизации участия в выборах.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 Отделу работы с населением </w:t>
      </w:r>
      <w:r>
        <w:rPr>
          <w:sz w:val="24"/>
          <w:szCs w:val="24"/>
        </w:rPr>
        <w:t xml:space="preserve">МКУ «Управление по обеспечению деятельности администрации Печенгского округа»</w:t>
      </w:r>
      <w:r>
        <w:rPr>
          <w:color w:val="000000"/>
          <w:sz w:val="24"/>
          <w:szCs w:val="24"/>
        </w:rPr>
        <w:t xml:space="preserve"> (Кудряшова Е.В.):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 организовать работу по содействию избирательным комиссиям в обеспечении избирательных прав граждан с ограниченными физическими возможностями;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 провести работу по информированию общественных организаций: </w:t>
      </w:r>
      <w:r>
        <w:rPr>
          <w:color w:val="000000"/>
          <w:sz w:val="24"/>
          <w:szCs w:val="24"/>
        </w:rPr>
        <w:t xml:space="preserve">Печенгская</w:t>
      </w:r>
      <w:r>
        <w:rPr>
          <w:color w:val="000000"/>
          <w:sz w:val="24"/>
          <w:szCs w:val="24"/>
        </w:rPr>
        <w:t xml:space="preserve"> районная общественная организация ветеранов (пенсионеров) войны и труда, Общественная организация пенсионеров и инвалидов Печенгского района «Взаимопомощь» и </w:t>
      </w:r>
      <w:r>
        <w:rPr>
          <w:color w:val="000000"/>
          <w:sz w:val="24"/>
          <w:szCs w:val="24"/>
        </w:rPr>
        <w:t xml:space="preserve">Заполярнинская</w:t>
      </w:r>
      <w:r>
        <w:rPr>
          <w:color w:val="000000"/>
          <w:sz w:val="24"/>
          <w:szCs w:val="24"/>
        </w:rPr>
        <w:t xml:space="preserve"> городская организация Мурманской областной организации Общероссийской общественной организации «Всероссийское общество инвалидов», в целях повышения их правовой культуры и активизации участия в выборах.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 МАУ «Информационный центр» (</w:t>
      </w:r>
      <w:r>
        <w:rPr>
          <w:color w:val="000000"/>
          <w:sz w:val="24"/>
          <w:szCs w:val="24"/>
        </w:rPr>
        <w:t xml:space="preserve">Жданова Н.Г.</w:t>
      </w:r>
      <w:r>
        <w:rPr>
          <w:color w:val="000000"/>
          <w:sz w:val="24"/>
          <w:szCs w:val="24"/>
        </w:rPr>
        <w:t xml:space="preserve">) оказывать содействие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 по вопросам предоставления в соответствии с действующим зак</w:t>
      </w:r>
      <w:r>
        <w:rPr>
          <w:color w:val="000000"/>
          <w:sz w:val="24"/>
          <w:szCs w:val="24"/>
        </w:rPr>
        <w:t xml:space="preserve">онодательством печатной площади для информирования избирателей, публикации решений избирательных комиссий, итогов голосования и результатов выборов, а также своевременного принятия надлежащих мер в случае выявления нарушения требований Федерального закона.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Рекомендовать отделу надзорной деятельности Кольского и Печенгского районов Управления надзорной деятельности и профилактической работы главного управления МЧС России по Мурманской </w:t>
      </w:r>
      <w:r>
        <w:rPr>
          <w:color w:val="000000"/>
          <w:sz w:val="24"/>
          <w:szCs w:val="24"/>
        </w:rPr>
        <w:t xml:space="preserve">области (Ястребов К.Ю.) и </w:t>
      </w:r>
      <w:r>
        <w:rPr>
          <w:sz w:val="24"/>
          <w:szCs w:val="24"/>
        </w:rPr>
        <w:t xml:space="preserve">Печенгскому</w:t>
      </w:r>
      <w:r>
        <w:rPr>
          <w:sz w:val="24"/>
          <w:szCs w:val="24"/>
        </w:rPr>
        <w:t xml:space="preserve"> филиалу ГПС Мурманской области ГОКУ «Управление по ГО ЧС и ПБ Мурманской области» (Кузнецов М.Г.) </w:t>
      </w:r>
      <w:r>
        <w:rPr>
          <w:color w:val="000000"/>
          <w:sz w:val="24"/>
          <w:szCs w:val="24"/>
        </w:rPr>
        <w:t xml:space="preserve">обеспечить контроль соблюдения учреждениями требований пожарной безопасности на избирательных участках, в помещениях избирательных комиссий, помещениях для г</w:t>
      </w:r>
      <w:r>
        <w:rPr>
          <w:color w:val="000000"/>
          <w:sz w:val="24"/>
          <w:szCs w:val="24"/>
        </w:rPr>
        <w:t xml:space="preserve">олосования</w:t>
      </w:r>
      <w:r>
        <w:rPr>
          <w:color w:val="000000"/>
          <w:sz w:val="24"/>
          <w:szCs w:val="24"/>
        </w:rPr>
        <w:t xml:space="preserve"> и в местах проведения встреч представителей зарегистрированных кандидатов с избирателями.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Рекомендовать ПАО «Ростелеком» принять меры для обеспечения бесперебойного</w:t>
      </w:r>
      <w:r>
        <w:rPr>
          <w:color w:val="000000"/>
          <w:sz w:val="24"/>
          <w:szCs w:val="24"/>
        </w:rPr>
        <w:t xml:space="preserve"> функционирования сегмента сети связи общего пользования, предназначенного для оказания услуг фиксированной связи, цифровых каналов связи, бесперебойного функционирования государственной автоматизированной системы Российской Федерации «Выборы» в интересах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ТИК,</w:t>
      </w:r>
      <w:r>
        <w:rPr>
          <w:sz w:val="24"/>
          <w:szCs w:val="24"/>
        </w:rPr>
        <w:t xml:space="preserve"> обеспечить </w:t>
        <w:br/>
        <w:t xml:space="preserve">в установленном законодательством о выборах порядке реализацию в помещениях для голосования избирательных участков мероприятий, связанных с организацией видеонаблюдения.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Рекомендовать ОМВД России «ПЕЧЕНГСКИЙ» </w:t>
      </w:r>
      <w:r>
        <w:rPr>
          <w:color w:val="000000"/>
          <w:sz w:val="24"/>
          <w:szCs w:val="24"/>
        </w:rPr>
        <w:t xml:space="preserve">(Кузьмин Ф.В.), ОВО </w:t>
        <w:br/>
        <w:t xml:space="preserve">по </w:t>
      </w:r>
      <w:r>
        <w:rPr>
          <w:color w:val="000000"/>
          <w:sz w:val="24"/>
          <w:szCs w:val="24"/>
        </w:rPr>
        <w:t xml:space="preserve">Печенгскому</w:t>
      </w:r>
      <w:r>
        <w:rPr>
          <w:color w:val="000000"/>
          <w:sz w:val="24"/>
          <w:szCs w:val="24"/>
        </w:rPr>
        <w:t xml:space="preserve"> району - филиалу ФГКУ «УВО ВНГ России по Мурманской области» (</w:t>
      </w:r>
      <w:r>
        <w:rPr>
          <w:color w:val="000000"/>
          <w:sz w:val="24"/>
          <w:szCs w:val="24"/>
        </w:rPr>
        <w:t xml:space="preserve">Шичев</w:t>
      </w:r>
      <w:r>
        <w:rPr>
          <w:color w:val="000000"/>
          <w:sz w:val="24"/>
          <w:szCs w:val="24"/>
        </w:rPr>
        <w:t xml:space="preserve"> А.Ю.) организовать работу </w:t>
      </w:r>
      <w:r>
        <w:rPr>
          <w:color w:val="000000"/>
          <w:sz w:val="24"/>
          <w:szCs w:val="24"/>
        </w:rPr>
        <w:t xml:space="preserve">по</w:t>
      </w:r>
      <w:r>
        <w:rPr>
          <w:color w:val="000000"/>
          <w:sz w:val="24"/>
          <w:szCs w:val="24"/>
        </w:rPr>
        <w:t xml:space="preserve">: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  <w:tab w:val="left" w:pos="1230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 координации деятельности правоохрани</w:t>
      </w:r>
      <w:r>
        <w:rPr>
          <w:color w:val="000000"/>
          <w:sz w:val="24"/>
          <w:szCs w:val="24"/>
        </w:rPr>
        <w:t xml:space="preserve">тельных органов в Печенгском муниципальном округе по обеспечению соблюдения избирательного законодательства всеми участниками избирательного процесса;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 обеспечению охраны общественного порядка</w:t>
      </w:r>
      <w:r>
        <w:rPr>
          <w:color w:val="000000"/>
          <w:sz w:val="24"/>
          <w:szCs w:val="24"/>
        </w:rPr>
        <w:t xml:space="preserve"> и</w:t>
      </w:r>
      <w:r>
        <w:rPr>
          <w:color w:val="000000"/>
          <w:sz w:val="24"/>
          <w:szCs w:val="24"/>
        </w:rPr>
        <w:t xml:space="preserve"> общественной безопасности </w:t>
        <w:br/>
        <w:t xml:space="preserve">в период подготовки и проведения выборов, в том числе на безвозмездной основе охраны помещений избирательных комиссий, помещений для голосования, сопровождения </w:t>
        <w:br/>
        <w:t xml:space="preserve">и охраны транспортных средств, перевозящих избирательные документы;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13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 принятию незамедлительных мер по пресечению экстремистской и иной противоправной </w:t>
      </w:r>
      <w:r>
        <w:rPr>
          <w:rStyle w:val="870"/>
          <w:sz w:val="24"/>
          <w:szCs w:val="24"/>
        </w:rPr>
        <w:t xml:space="preserve">агитационной </w:t>
      </w:r>
      <w:r>
        <w:rPr>
          <w:color w:val="000000"/>
          <w:sz w:val="24"/>
          <w:szCs w:val="24"/>
        </w:rPr>
        <w:t xml:space="preserve">деятельности, в том числе возбуждающей социальную, расовую, национальную, религиозную ненависть и вражду, а также своевременному информированию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 о выявленных фактах и принятых мерах;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13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 принятию мер по предотвращению изготовления и распростра</w:t>
      </w:r>
      <w:r>
        <w:rPr>
          <w:color w:val="000000"/>
          <w:sz w:val="24"/>
          <w:szCs w:val="24"/>
        </w:rPr>
        <w:t xml:space="preserve">н</w:t>
      </w:r>
      <w:r>
        <w:rPr>
          <w:color w:val="000000"/>
          <w:sz w:val="24"/>
          <w:szCs w:val="24"/>
        </w:rPr>
        <w:t xml:space="preserve">ения противоправных предвыборных материалов и их изъятию, установлению изготовителей </w:t>
        <w:br/>
        <w:t xml:space="preserve">и распространителей указанных материалов, источников их оплаты, выявлению участников иной противоправной агитационной деятельности, а также своевременному информированию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 о выявленных фактах и принятых мерах, направлению материалов в суд.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t xml:space="preserve"> </w:t>
      </w:r>
      <w:r>
        <w:rPr>
          <w:color w:val="000000"/>
          <w:sz w:val="24"/>
          <w:szCs w:val="24"/>
        </w:rPr>
        <w:t xml:space="preserve">Рекомендовать руководителям</w:t>
      </w:r>
      <w:r>
        <w:rPr>
          <w:color w:val="000000"/>
          <w:sz w:val="24"/>
          <w:szCs w:val="24"/>
        </w:rPr>
        <w:t xml:space="preserve"> территориальных органов федеральных органов исполнительной власти, расположенных на территории Печенгского муниципального округа, в пределах установленной компетенции обеспечить первоочередное рассмотрение поступивших обращений, заявлений и жалоб граждан.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 Настоящее постановление вступает в силу после его подписания, подлежит опубликованию в газете «Печенга» и размещению </w:t>
      </w:r>
      <w:r>
        <w:rPr>
          <w:sz w:val="24"/>
          <w:szCs w:val="24"/>
        </w:rPr>
        <w:t xml:space="preserve">на официальном сайте Печенгского муниципального округа http://pechengamr.gov-murman.ru/</w:t>
      </w:r>
      <w:r>
        <w:rPr>
          <w:color w:val="000000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 Контроль за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исполнением постановления оставляю за собой.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</w:pPr>
      <w:r>
        <w:t xml:space="preserve">Глава </w:t>
      </w:r>
      <w:r>
        <w:rPr>
          <w:color w:val="000000"/>
          <w:spacing w:val="1"/>
        </w:rPr>
        <w:t xml:space="preserve">Печенгского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</w:t>
      </w:r>
      <w:r>
        <w:rPr>
          <w:color w:val="000000"/>
          <w:spacing w:val="1"/>
        </w:rPr>
        <w:t xml:space="preserve">С</w:t>
      </w:r>
      <w:r>
        <w:rPr>
          <w:color w:val="000000"/>
          <w:spacing w:val="1"/>
        </w:rPr>
        <w:t xml:space="preserve">. </w:t>
      </w:r>
      <w:r>
        <w:rPr>
          <w:color w:val="000000"/>
          <w:spacing w:val="1"/>
        </w:rPr>
        <w:t xml:space="preserve">Пеньшин</w:t>
      </w:r>
      <w:r/>
    </w:p>
    <w:p>
      <w:pPr>
        <w:jc w:val="both"/>
      </w:pPr>
      <w:r/>
      <w:r/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20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20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Рудневская М.</w:t>
      </w:r>
      <w:r>
        <w:rPr>
          <w:sz w:val="20"/>
          <w:szCs w:val="20"/>
        </w:rPr>
        <w:t xml:space="preserve">А., </w:t>
      </w:r>
      <w:r>
        <w:rPr>
          <w:sz w:val="20"/>
          <w:szCs w:val="20"/>
        </w:rPr>
        <w:t xml:space="preserve">5-15-43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jc w:val="both"/>
        <w:widowControl w:val="off"/>
      </w:pPr>
      <w:r>
        <w:t xml:space="preserve">Приложение </w:t>
      </w:r>
      <w:r/>
    </w:p>
    <w:p>
      <w:pPr>
        <w:ind w:left="5529"/>
        <w:jc w:val="both"/>
        <w:widowControl w:val="off"/>
      </w:pPr>
      <w:r>
        <w:t xml:space="preserve">к </w:t>
      </w:r>
      <w:r>
        <w:rPr>
          <w:color w:val="000000" w:themeColor="text1"/>
        </w:rPr>
        <w:t xml:space="preserve">постановлению</w:t>
      </w:r>
      <w:r>
        <w:t xml:space="preserve"> администрации Печенгского муниципального округа</w:t>
      </w:r>
      <w:r/>
    </w:p>
    <w:p>
      <w:pPr>
        <w:ind w:left="5529"/>
        <w:jc w:val="both"/>
        <w:widowControl w:val="off"/>
      </w:pPr>
      <w:r>
        <w:t xml:space="preserve">от </w:t>
      </w:r>
      <w:r>
        <w:t xml:space="preserve">13.07.2026 № </w:t>
      </w:r>
      <w:r>
        <w:t xml:space="preserve">1322</w:t>
      </w:r>
      <w:r/>
    </w:p>
    <w:p>
      <w:pPr>
        <w:pStyle w:val="873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73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СОСТАВ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73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рабочей группы по оказанию содействия </w:t>
      </w:r>
      <w:r>
        <w:rPr>
          <w:rFonts w:ascii="Times New Roman" w:hAnsi="Times New Roman"/>
          <w:color w:val="000000"/>
          <w:sz w:val="24"/>
          <w:szCs w:val="24"/>
        </w:rPr>
        <w:t xml:space="preserve">Печенгской</w:t>
      </w:r>
      <w:r>
        <w:rPr>
          <w:rFonts w:ascii="Times New Roman" w:hAnsi="Times New Roman"/>
          <w:color w:val="000000"/>
          <w:sz w:val="24"/>
          <w:szCs w:val="24"/>
        </w:rPr>
        <w:t xml:space="preserve"> территориальной избирательной комиссии в реализации полномочий при подготовке и проведении выборов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73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депутатов Государственной Думы Федерального Собрания Российской Федерации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73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 депутатов Мурманской областной Думы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73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2341"/>
        <w:gridCol w:w="310"/>
        <w:gridCol w:w="7061"/>
      </w:tblGrid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Пеньшин</w:t>
            </w:r>
            <w:r>
              <w:t xml:space="preserve"> А.С.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Глава </w:t>
            </w:r>
            <w:r>
              <w:rPr>
                <w:color w:val="000000"/>
                <w:spacing w:val="1"/>
              </w:rPr>
              <w:t xml:space="preserve">Печенгского муниципального округа</w:t>
            </w:r>
            <w:r>
              <w:t xml:space="preserve">, председатель рабочей группы;</w:t>
            </w:r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Рыжкова А.А.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t xml:space="preserve">управляющий делами администрации Печенгского муниципального округа</w:t>
            </w:r>
            <w:r>
              <w:t xml:space="preserve">, заместитель председателя рабочей группы;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Рудневская М.А.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руководитель </w:t>
            </w:r>
            <w:r>
              <w:t xml:space="preserve">МКУ «Управление по обеспечению деятельности администрации Печенгского округа», секретарь рабочей группы.</w:t>
            </w:r>
            <w:r/>
          </w:p>
        </w:tc>
      </w:tr>
      <w:tr>
        <w:tblPrEx/>
        <w:trPr/>
        <w:tc>
          <w:tcPr>
            <w:gridSpan w:val="3"/>
            <w:tcW w:w="9712" w:type="dxa"/>
            <w:textDirection w:val="lrTb"/>
            <w:noWrap w:val="false"/>
          </w:tcPr>
          <w:p>
            <w:pPr>
              <w:jc w:val="both"/>
            </w:pPr>
            <w:r>
              <w:t xml:space="preserve">Члены рабочей группы: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Ганоченко</w:t>
            </w:r>
            <w:r>
              <w:t xml:space="preserve"> Д.Ю.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 муниципального округа                         (по </w:t>
            </w:r>
            <w:r>
              <w:rPr>
                <w:color w:val="000000"/>
                <w:spacing w:val="1"/>
              </w:rPr>
              <w:t xml:space="preserve">пгт</w:t>
            </w:r>
            <w:r>
              <w:rPr>
                <w:color w:val="000000"/>
                <w:spacing w:val="1"/>
              </w:rPr>
              <w:t xml:space="preserve">.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1"/>
              </w:rPr>
              <w:t xml:space="preserve">Никель);</w:t>
            </w:r>
            <w:r/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Збаразская</w:t>
            </w:r>
            <w:r>
              <w:t xml:space="preserve"> Р.Ю.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 муниципального округа                          (по п. </w:t>
            </w:r>
            <w:r>
              <w:rPr>
                <w:color w:val="000000"/>
                <w:spacing w:val="1"/>
              </w:rPr>
              <w:t xml:space="preserve">Корзуново</w:t>
            </w:r>
            <w:r>
              <w:rPr>
                <w:color w:val="000000"/>
                <w:spacing w:val="1"/>
              </w:rPr>
              <w:t xml:space="preserve">);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Кузьмин Ф.В.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начальник ОМВД России «ПЕЧЕНГСКИЙ»                                    </w:t>
            </w:r>
            <w:r>
              <w:t xml:space="preserve">(по согласованию);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Мосин С.В.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/>
            <w:bookmarkStart w:id="0" w:name="_Toc301703070"/>
            <w:r/>
            <w:bookmarkStart w:id="1" w:name="_Toc301703153"/>
            <w:r/>
            <w:bookmarkStart w:id="2" w:name="_Toc531951259"/>
            <w:r>
              <w:t xml:space="preserve">начальник отделения в </w:t>
            </w:r>
            <w:r>
              <w:t xml:space="preserve">пгт</w:t>
            </w:r>
            <w:r>
              <w:t xml:space="preserve"> Никель УФСБ России по Мурманской области</w:t>
            </w:r>
            <w:bookmarkEnd w:id="0"/>
            <w:r/>
            <w:bookmarkEnd w:id="1"/>
            <w:r/>
            <w:bookmarkEnd w:id="2"/>
            <w:r>
              <w:t xml:space="preserve"> (по согласованию);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Макридова</w:t>
            </w:r>
            <w:r>
              <w:t xml:space="preserve"> Ю.А.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председатель </w:t>
            </w:r>
            <w:r>
              <w:rPr>
                <w:bCs/>
              </w:rPr>
              <w:t xml:space="preserve">Печенгской</w:t>
            </w:r>
            <w:r>
              <w:rPr>
                <w:bCs/>
              </w:rPr>
              <w:t xml:space="preserve"> территориальной избирательной комиссии </w:t>
            </w:r>
            <w:r>
              <w:t xml:space="preserve">(по согласованию);</w:t>
            </w:r>
            <w:r/>
          </w:p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Поздняков Д.М.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 муниципального округа                           (по г. </w:t>
            </w:r>
            <w:r>
              <w:t xml:space="preserve">Заполярный);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Иванова Н.А.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 муниципального округа                         (по </w:t>
            </w:r>
            <w:r>
              <w:rPr>
                <w:color w:val="000000"/>
                <w:spacing w:val="1"/>
              </w:rPr>
              <w:t xml:space="preserve">пгт</w:t>
            </w:r>
            <w:r>
              <w:rPr>
                <w:color w:val="000000"/>
                <w:spacing w:val="1"/>
              </w:rPr>
              <w:t xml:space="preserve">.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1"/>
              </w:rPr>
              <w:t xml:space="preserve">Печенга);</w:t>
            </w:r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Самойлов С.А.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начальник юридического отдела администрации </w:t>
            </w:r>
            <w:r>
              <w:rPr>
                <w:color w:val="000000"/>
                <w:spacing w:val="1"/>
              </w:rPr>
              <w:t xml:space="preserve">Печенгского муниципального округа</w:t>
            </w:r>
            <w:r>
              <w:rPr>
                <w:bCs/>
              </w:rPr>
              <w:t xml:space="preserve">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Соболев А.В.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начальник отдела ГО, ЧС и ПБ администрации Печенгского муниципального округа;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Шичев</w:t>
            </w:r>
            <w:r>
              <w:t xml:space="preserve"> А.Ю.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начальник </w:t>
            </w:r>
            <w:r>
              <w:rPr>
                <w:color w:val="000000"/>
              </w:rPr>
              <w:t xml:space="preserve">ОВО по </w:t>
            </w:r>
            <w:r>
              <w:rPr>
                <w:color w:val="000000"/>
              </w:rPr>
              <w:t xml:space="preserve">Печенгскому</w:t>
            </w:r>
            <w:r>
              <w:rPr>
                <w:color w:val="000000"/>
              </w:rPr>
              <w:t xml:space="preserve"> району - филиала ФГКУ «УВО ВНГ России по Мурманской области»</w:t>
            </w:r>
            <w:r>
              <w:t xml:space="preserve"> (по согласованию);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/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представитель АО «</w:t>
            </w:r>
            <w:r>
              <w:rPr>
                <w:bCs/>
              </w:rPr>
              <w:t xml:space="preserve">Кольская</w:t>
            </w:r>
            <w:r>
              <w:rPr>
                <w:bCs/>
              </w:rPr>
              <w:t xml:space="preserve"> ГМК» </w:t>
            </w:r>
            <w:r>
              <w:t xml:space="preserve">(по согласованию).</w:t>
            </w:r>
            <w:r/>
          </w:p>
        </w:tc>
      </w:tr>
    </w:tbl>
    <w:p>
      <w:r/>
    </w:p>
    <w:sectPr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space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suff w:val="tab"/>
      <w:lvlText w:val="%1.%2."/>
      <w:lvlJc w:val="left"/>
      <w:pPr>
        <w:ind w:left="1134" w:hanging="60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position w:val="0"/>
        <w:sz w:val="24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 w:default="1">
    <w:name w:val="Normal"/>
    <w:qFormat/>
    <w:rPr>
      <w:sz w:val="24"/>
      <w:szCs w:val="24"/>
    </w:rPr>
  </w:style>
  <w:style w:type="paragraph" w:styleId="665">
    <w:name w:val="Heading 1"/>
    <w:basedOn w:val="664"/>
    <w:next w:val="664"/>
    <w:link w:val="856"/>
    <w:qFormat/>
    <w:pPr>
      <w:jc w:val="center"/>
      <w:keepNext/>
      <w:spacing w:line="360" w:lineRule="auto"/>
      <w:widowControl w:val="off"/>
      <w:outlineLvl w:val="0"/>
    </w:pPr>
    <w:rPr>
      <w:sz w:val="28"/>
      <w:szCs w:val="20"/>
    </w:rPr>
  </w:style>
  <w:style w:type="paragraph" w:styleId="666">
    <w:name w:val="Heading 2"/>
    <w:basedOn w:val="664"/>
    <w:next w:val="664"/>
    <w:link w:val="857"/>
    <w:qFormat/>
    <w:pPr>
      <w:ind w:firstLine="851"/>
      <w:jc w:val="right"/>
      <w:keepNext/>
      <w:spacing w:line="360" w:lineRule="auto"/>
      <w:widowControl w:val="off"/>
      <w:outlineLvl w:val="1"/>
    </w:pPr>
    <w:rPr>
      <w:szCs w:val="20"/>
    </w:rPr>
  </w:style>
  <w:style w:type="paragraph" w:styleId="667">
    <w:name w:val="Heading 3"/>
    <w:basedOn w:val="664"/>
    <w:next w:val="664"/>
    <w:link w:val="858"/>
    <w:qFormat/>
    <w:pPr>
      <w:ind w:firstLine="851"/>
      <w:keepNext/>
      <w:spacing w:line="360" w:lineRule="auto"/>
      <w:widowControl w:val="off"/>
      <w:outlineLvl w:val="2"/>
    </w:pPr>
    <w:rPr>
      <w:color w:val="000000"/>
      <w:spacing w:val="-5"/>
      <w:sz w:val="28"/>
      <w:szCs w:val="20"/>
    </w:rPr>
  </w:style>
  <w:style w:type="paragraph" w:styleId="668">
    <w:name w:val="Heading 4"/>
    <w:basedOn w:val="664"/>
    <w:next w:val="664"/>
    <w:link w:val="6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0">
    <w:name w:val="Heading 6"/>
    <w:basedOn w:val="664"/>
    <w:next w:val="664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664"/>
    <w:next w:val="664"/>
    <w:link w:val="69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664"/>
    <w:next w:val="664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664"/>
    <w:next w:val="664"/>
    <w:link w:val="6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Heading 4 Char"/>
    <w:basedOn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78" w:customStyle="1">
    <w:name w:val="Heading 5 Char"/>
    <w:basedOn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79" w:customStyle="1">
    <w:name w:val="Heading 6 Char"/>
    <w:basedOn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0" w:customStyle="1">
    <w:name w:val="Heading 7 Char"/>
    <w:basedOn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1" w:customStyle="1">
    <w:name w:val="Heading 8 Char"/>
    <w:basedOn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682" w:customStyle="1">
    <w:name w:val="Heading 9 Char"/>
    <w:basedOn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83" w:customStyle="1">
    <w:name w:val="Subtitle Char"/>
    <w:basedOn w:val="674"/>
    <w:uiPriority w:val="11"/>
    <w:rPr>
      <w:sz w:val="24"/>
      <w:szCs w:val="24"/>
    </w:rPr>
  </w:style>
  <w:style w:type="character" w:styleId="684" w:customStyle="1">
    <w:name w:val="Quote Char"/>
    <w:uiPriority w:val="29"/>
    <w:rPr>
      <w:i/>
    </w:rPr>
  </w:style>
  <w:style w:type="character" w:styleId="685" w:customStyle="1">
    <w:name w:val="Intense Quote Char"/>
    <w:uiPriority w:val="30"/>
    <w:rPr>
      <w:i/>
    </w:rPr>
  </w:style>
  <w:style w:type="character" w:styleId="686" w:customStyle="1">
    <w:name w:val="Header Char"/>
    <w:basedOn w:val="674"/>
    <w:uiPriority w:val="99"/>
  </w:style>
  <w:style w:type="character" w:styleId="687" w:customStyle="1">
    <w:name w:val="Caption Char"/>
    <w:uiPriority w:val="99"/>
  </w:style>
  <w:style w:type="character" w:styleId="688" w:customStyle="1">
    <w:name w:val="Footnote Text Char"/>
    <w:uiPriority w:val="99"/>
    <w:rPr>
      <w:sz w:val="18"/>
    </w:rPr>
  </w:style>
  <w:style w:type="character" w:styleId="689" w:customStyle="1">
    <w:name w:val="Endnote Text Char"/>
    <w:uiPriority w:val="99"/>
    <w:rPr>
      <w:sz w:val="20"/>
    </w:rPr>
  </w:style>
  <w:style w:type="character" w:styleId="690" w:customStyle="1">
    <w:name w:val="Heading 1 Char"/>
    <w:basedOn w:val="674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74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74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99">
    <w:name w:val="No Spacing"/>
    <w:uiPriority w:val="1"/>
    <w:qFormat/>
  </w:style>
  <w:style w:type="character" w:styleId="700" w:customStyle="1">
    <w:name w:val="Title Char"/>
    <w:basedOn w:val="674"/>
    <w:uiPriority w:val="10"/>
    <w:rPr>
      <w:sz w:val="48"/>
      <w:szCs w:val="48"/>
    </w:rPr>
  </w:style>
  <w:style w:type="paragraph" w:styleId="701">
    <w:name w:val="Subtitle"/>
    <w:basedOn w:val="664"/>
    <w:next w:val="664"/>
    <w:link w:val="702"/>
    <w:uiPriority w:val="11"/>
    <w:qFormat/>
    <w:pPr>
      <w:spacing w:before="200" w:after="200"/>
    </w:pPr>
  </w:style>
  <w:style w:type="character" w:styleId="702" w:customStyle="1">
    <w:name w:val="Подзаголовок Знак"/>
    <w:basedOn w:val="674"/>
    <w:link w:val="701"/>
    <w:uiPriority w:val="11"/>
    <w:rPr>
      <w:sz w:val="24"/>
      <w:szCs w:val="24"/>
    </w:rPr>
  </w:style>
  <w:style w:type="paragraph" w:styleId="703">
    <w:name w:val="Quote"/>
    <w:basedOn w:val="664"/>
    <w:next w:val="664"/>
    <w:link w:val="704"/>
    <w:uiPriority w:val="29"/>
    <w:qFormat/>
    <w:pPr>
      <w:ind w:left="720" w:right="720"/>
    </w:pPr>
    <w:rPr>
      <w:i/>
    </w:rPr>
  </w:style>
  <w:style w:type="character" w:styleId="704" w:customStyle="1">
    <w:name w:val="Цитата 2 Знак"/>
    <w:link w:val="703"/>
    <w:uiPriority w:val="29"/>
    <w:rPr>
      <w:i/>
    </w:rPr>
  </w:style>
  <w:style w:type="paragraph" w:styleId="705">
    <w:name w:val="Intense Quote"/>
    <w:basedOn w:val="664"/>
    <w:next w:val="664"/>
    <w:link w:val="70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6" w:customStyle="1">
    <w:name w:val="Выделенная цитата Знак"/>
    <w:link w:val="705"/>
    <w:uiPriority w:val="30"/>
    <w:rPr>
      <w:i/>
    </w:rPr>
  </w:style>
  <w:style w:type="paragraph" w:styleId="707">
    <w:name w:val="Header"/>
    <w:basedOn w:val="664"/>
    <w:link w:val="70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8" w:customStyle="1">
    <w:name w:val="Верхний колонтитул Знак"/>
    <w:basedOn w:val="674"/>
    <w:link w:val="707"/>
    <w:uiPriority w:val="99"/>
  </w:style>
  <w:style w:type="paragraph" w:styleId="709">
    <w:name w:val="Footer"/>
    <w:basedOn w:val="664"/>
    <w:link w:val="71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0" w:customStyle="1">
    <w:name w:val="Footer Char"/>
    <w:basedOn w:val="674"/>
    <w:uiPriority w:val="99"/>
  </w:style>
  <w:style w:type="paragraph" w:styleId="711">
    <w:name w:val="Caption"/>
    <w:basedOn w:val="664"/>
    <w:next w:val="6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2" w:customStyle="1">
    <w:name w:val="Нижний колонтитул Знак"/>
    <w:link w:val="709"/>
    <w:uiPriority w:val="99"/>
  </w:style>
  <w:style w:type="table" w:styleId="713">
    <w:name w:val="Table Grid"/>
    <w:basedOn w:val="67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4" w:customStyle="1">
    <w:name w:val="Table Grid Light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5" w:customStyle="1">
    <w:name w:val="Plain Table 1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2"/>
    <w:basedOn w:val="67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3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 w:customStyle="1">
    <w:name w:val="Plain Table 4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Plain Table 5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1 Light"/>
    <w:basedOn w:val="67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2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4"/>
    <w:basedOn w:val="67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4 - Accent 1"/>
    <w:basedOn w:val="67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3" w:customStyle="1">
    <w:name w:val="Grid Table 4 - Accent 2"/>
    <w:basedOn w:val="67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4" w:customStyle="1">
    <w:name w:val="Grid Table 4 - Accent 3"/>
    <w:basedOn w:val="67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5" w:customStyle="1">
    <w:name w:val="Grid Table 4 - Accent 4"/>
    <w:basedOn w:val="67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6" w:customStyle="1">
    <w:name w:val="Grid Table 4 - Accent 5"/>
    <w:basedOn w:val="67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7" w:customStyle="1">
    <w:name w:val="Grid Table 4 - Accent 6"/>
    <w:basedOn w:val="67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8" w:customStyle="1">
    <w:name w:val="Grid Table 5 Dark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1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2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3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4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5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6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6" w:customStyle="1">
    <w:name w:val="Grid Table 6 Colorful - Accent 1"/>
    <w:basedOn w:val="67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7" w:customStyle="1">
    <w:name w:val="Grid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8" w:customStyle="1">
    <w:name w:val="Grid Table 6 Colorful - Accent 3"/>
    <w:basedOn w:val="67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9" w:customStyle="1">
    <w:name w:val="Grid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0" w:customStyle="1">
    <w:name w:val="Grid Table 6 Colorful - Accent 5"/>
    <w:basedOn w:val="67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6 Colorful - Accent 6"/>
    <w:basedOn w:val="67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7 Colorful"/>
    <w:basedOn w:val="67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1"/>
    <w:basedOn w:val="67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5"/>
    <w:basedOn w:val="67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6"/>
    <w:basedOn w:val="67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"/>
    <w:basedOn w:val="67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1"/>
    <w:basedOn w:val="67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2"/>
    <w:basedOn w:val="67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3"/>
    <w:basedOn w:val="67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4"/>
    <w:basedOn w:val="67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5"/>
    <w:basedOn w:val="67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6"/>
    <w:basedOn w:val="67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2"/>
    <w:basedOn w:val="67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3" w:customStyle="1">
    <w:name w:val="List Table 3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5 Dark"/>
    <w:basedOn w:val="67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1"/>
    <w:basedOn w:val="67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List Table 6 Colorful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6" w:customStyle="1">
    <w:name w:val="List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List Table 6 Colorful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8" w:customStyle="1">
    <w:name w:val="List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List Table 6 Colorful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0" w:customStyle="1">
    <w:name w:val="List Table 6 Colorful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1" w:customStyle="1">
    <w:name w:val="List Table 7 Colorful"/>
    <w:basedOn w:val="67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1"/>
    <w:basedOn w:val="67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2"/>
    <w:basedOn w:val="67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3"/>
    <w:basedOn w:val="67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4"/>
    <w:basedOn w:val="67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5"/>
    <w:basedOn w:val="67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6"/>
    <w:basedOn w:val="67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ned - Accent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Lined - Accent 1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Lined - Accent 2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Lined - Accent 3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Lined - Accent 4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Lined - Accent 5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Lined - Accent 6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 &amp; Lined - Accent"/>
    <w:basedOn w:val="67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Bordered &amp; Lined - Accent 1"/>
    <w:basedOn w:val="67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Bordered &amp; Lined - Accent 2"/>
    <w:basedOn w:val="67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Bordered &amp; Lined - Accent 3"/>
    <w:basedOn w:val="67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Bordered &amp; Lined - Accent 4"/>
    <w:basedOn w:val="67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Bordered &amp; Lined - Accent 5"/>
    <w:basedOn w:val="67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Bordered &amp; Lined - Accent 6"/>
    <w:basedOn w:val="67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"/>
    <w:basedOn w:val="67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3" w:customStyle="1">
    <w:name w:val="Bordered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4" w:customStyle="1">
    <w:name w:val="Bordered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5" w:customStyle="1">
    <w:name w:val="Bordered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6" w:customStyle="1">
    <w:name w:val="Bordered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7" w:customStyle="1">
    <w:name w:val="Bordered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8" w:customStyle="1">
    <w:name w:val="Bordered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9">
    <w:name w:val="footnote text"/>
    <w:basedOn w:val="664"/>
    <w:link w:val="840"/>
    <w:uiPriority w:val="99"/>
    <w:semiHidden/>
    <w:unhideWhenUsed/>
    <w:pPr>
      <w:spacing w:after="40"/>
    </w:pPr>
    <w:rPr>
      <w:sz w:val="18"/>
    </w:rPr>
  </w:style>
  <w:style w:type="character" w:styleId="840" w:customStyle="1">
    <w:name w:val="Текст сноски Знак"/>
    <w:link w:val="839"/>
    <w:uiPriority w:val="99"/>
    <w:rPr>
      <w:sz w:val="18"/>
    </w:rPr>
  </w:style>
  <w:style w:type="character" w:styleId="841">
    <w:name w:val="footnote reference"/>
    <w:basedOn w:val="674"/>
    <w:uiPriority w:val="99"/>
    <w:unhideWhenUsed/>
    <w:rPr>
      <w:vertAlign w:val="superscript"/>
    </w:rPr>
  </w:style>
  <w:style w:type="paragraph" w:styleId="842">
    <w:name w:val="endnote text"/>
    <w:basedOn w:val="664"/>
    <w:link w:val="843"/>
    <w:uiPriority w:val="99"/>
    <w:semiHidden/>
    <w:unhideWhenUsed/>
    <w:rPr>
      <w:sz w:val="20"/>
    </w:rPr>
  </w:style>
  <w:style w:type="character" w:styleId="843" w:customStyle="1">
    <w:name w:val="Текст концевой сноски Знак"/>
    <w:link w:val="842"/>
    <w:uiPriority w:val="99"/>
    <w:rPr>
      <w:sz w:val="20"/>
    </w:rPr>
  </w:style>
  <w:style w:type="character" w:styleId="844">
    <w:name w:val="endnote reference"/>
    <w:basedOn w:val="674"/>
    <w:uiPriority w:val="99"/>
    <w:semiHidden/>
    <w:unhideWhenUsed/>
    <w:rPr>
      <w:vertAlign w:val="superscript"/>
    </w:rPr>
  </w:style>
  <w:style w:type="paragraph" w:styleId="845">
    <w:name w:val="toc 1"/>
    <w:basedOn w:val="664"/>
    <w:next w:val="664"/>
    <w:uiPriority w:val="39"/>
    <w:unhideWhenUsed/>
    <w:pPr>
      <w:spacing w:after="57"/>
    </w:pPr>
  </w:style>
  <w:style w:type="paragraph" w:styleId="846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47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48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49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50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51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52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53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664"/>
    <w:next w:val="664"/>
    <w:uiPriority w:val="99"/>
    <w:unhideWhenUsed/>
  </w:style>
  <w:style w:type="character" w:styleId="856" w:customStyle="1">
    <w:name w:val="Заголовок 1 Знак"/>
    <w:link w:val="665"/>
    <w:rPr>
      <w:sz w:val="28"/>
      <w:lang w:val="ru-RU" w:eastAsia="ru-RU" w:bidi="ar-SA"/>
    </w:rPr>
  </w:style>
  <w:style w:type="character" w:styleId="857" w:customStyle="1">
    <w:name w:val="Заголовок 2 Знак"/>
    <w:link w:val="666"/>
    <w:rPr>
      <w:sz w:val="24"/>
      <w:lang w:val="ru-RU" w:eastAsia="ru-RU" w:bidi="ar-SA"/>
    </w:rPr>
  </w:style>
  <w:style w:type="character" w:styleId="858" w:customStyle="1">
    <w:name w:val="Заголовок 3 Знак"/>
    <w:link w:val="667"/>
    <w:rPr>
      <w:color w:val="000000"/>
      <w:spacing w:val="-5"/>
      <w:sz w:val="28"/>
      <w:lang w:val="ru-RU" w:eastAsia="ru-RU" w:bidi="ar-SA"/>
    </w:rPr>
  </w:style>
  <w:style w:type="paragraph" w:styleId="859">
    <w:name w:val="Title"/>
    <w:basedOn w:val="664"/>
    <w:link w:val="860"/>
    <w:qFormat/>
    <w:pPr>
      <w:jc w:val="center"/>
    </w:pPr>
    <w:rPr>
      <w:b/>
      <w:bCs/>
      <w:sz w:val="27"/>
      <w:u w:val="single"/>
    </w:rPr>
  </w:style>
  <w:style w:type="character" w:styleId="860" w:customStyle="1">
    <w:name w:val="Название Знак"/>
    <w:link w:val="859"/>
    <w:rPr>
      <w:b/>
      <w:bCs/>
      <w:sz w:val="27"/>
      <w:szCs w:val="24"/>
      <w:u w:val="single"/>
      <w:lang w:val="ru-RU" w:eastAsia="ru-RU" w:bidi="ar-SA"/>
    </w:rPr>
  </w:style>
  <w:style w:type="paragraph" w:styleId="861">
    <w:name w:val="Body Text"/>
    <w:basedOn w:val="664"/>
    <w:link w:val="862"/>
    <w:pPr>
      <w:spacing w:after="120"/>
    </w:pPr>
    <w:rPr>
      <w:sz w:val="20"/>
      <w:szCs w:val="20"/>
    </w:rPr>
  </w:style>
  <w:style w:type="character" w:styleId="862" w:customStyle="1">
    <w:name w:val="Основной текст Знак"/>
    <w:link w:val="861"/>
    <w:rPr>
      <w:lang w:val="ru-RU" w:eastAsia="ru-RU" w:bidi="ar-SA"/>
    </w:rPr>
  </w:style>
  <w:style w:type="paragraph" w:styleId="863">
    <w:name w:val="Body Text Indent 3"/>
    <w:basedOn w:val="664"/>
    <w:pPr>
      <w:ind w:left="283"/>
      <w:spacing w:after="120"/>
    </w:pPr>
    <w:rPr>
      <w:sz w:val="16"/>
      <w:szCs w:val="16"/>
    </w:rPr>
  </w:style>
  <w:style w:type="paragraph" w:styleId="864">
    <w:name w:val="Balloon Text"/>
    <w:basedOn w:val="664"/>
    <w:link w:val="865"/>
    <w:rPr>
      <w:rFonts w:ascii="Tahoma" w:hAnsi="Tahoma" w:cs="Tahoma"/>
      <w:sz w:val="16"/>
      <w:szCs w:val="16"/>
    </w:rPr>
  </w:style>
  <w:style w:type="character" w:styleId="865" w:customStyle="1">
    <w:name w:val="Текст выноски Знак"/>
    <w:link w:val="864"/>
    <w:rPr>
      <w:rFonts w:ascii="Tahoma" w:hAnsi="Tahoma" w:cs="Tahoma"/>
      <w:sz w:val="16"/>
      <w:szCs w:val="16"/>
    </w:rPr>
  </w:style>
  <w:style w:type="character" w:styleId="866" w:customStyle="1">
    <w:name w:val="Основной текст (3)_"/>
    <w:link w:val="871"/>
    <w:rPr>
      <w:b/>
      <w:bCs/>
      <w:spacing w:val="3"/>
      <w:sz w:val="25"/>
      <w:szCs w:val="25"/>
      <w:shd w:val="clear" w:color="auto" w:fill="ffffff"/>
    </w:rPr>
  </w:style>
  <w:style w:type="character" w:styleId="867" w:customStyle="1">
    <w:name w:val="Основной текст_"/>
    <w:link w:val="872"/>
    <w:rPr>
      <w:spacing w:val="1"/>
      <w:sz w:val="26"/>
      <w:szCs w:val="26"/>
      <w:shd w:val="clear" w:color="auto" w:fill="ffffff"/>
    </w:rPr>
  </w:style>
  <w:style w:type="character" w:styleId="868" w:customStyle="1">
    <w:name w:val="Основной текст + 12;5 pt;Полужирный;Интервал 3 pt"/>
    <w:rPr>
      <w:rFonts w:ascii="Times New Roman" w:hAnsi="Times New Roman" w:eastAsia="Times New Roman" w:cs="Times New Roman"/>
      <w:b/>
      <w:bCs/>
      <w:color w:val="000000"/>
      <w:spacing w:val="63"/>
      <w:position w:val="0"/>
      <w:sz w:val="25"/>
      <w:szCs w:val="25"/>
      <w:shd w:val="clear" w:color="auto" w:fill="ffffff"/>
      <w:lang w:val="ru-RU"/>
    </w:rPr>
  </w:style>
  <w:style w:type="character" w:styleId="869" w:customStyle="1">
    <w:name w:val="Основной текст + 12 pt;Интервал 0 pt"/>
    <w:rPr>
      <w:rFonts w:ascii="Times New Roman" w:hAnsi="Times New Roman" w:eastAsia="Times New Roman" w:cs="Times New Roman"/>
      <w:color w:val="000000"/>
      <w:spacing w:val="2"/>
      <w:position w:val="0"/>
      <w:sz w:val="24"/>
      <w:szCs w:val="24"/>
      <w:shd w:val="clear" w:color="auto" w:fill="ffffff"/>
      <w:lang w:val="ru-RU"/>
    </w:rPr>
  </w:style>
  <w:style w:type="character" w:styleId="870" w:customStyle="1">
    <w:name w:val="Основной текст + 12;5 pt;Интервал 0 pt"/>
    <w:rPr>
      <w:rFonts w:ascii="Times New Roman" w:hAnsi="Times New Roman" w:eastAsia="Times New Roman" w:cs="Times New Roman"/>
      <w:color w:val="000000"/>
      <w:spacing w:val="2"/>
      <w:position w:val="0"/>
      <w:sz w:val="25"/>
      <w:szCs w:val="25"/>
      <w:shd w:val="clear" w:color="auto" w:fill="ffffff"/>
      <w:lang w:val="ru-RU"/>
    </w:rPr>
  </w:style>
  <w:style w:type="paragraph" w:styleId="871" w:customStyle="1">
    <w:name w:val="Основной текст (3)"/>
    <w:basedOn w:val="664"/>
    <w:link w:val="866"/>
    <w:pPr>
      <w:jc w:val="center"/>
      <w:spacing w:before="360" w:after="300" w:line="317" w:lineRule="exact"/>
      <w:shd w:val="clear" w:color="auto" w:fill="ffffff"/>
      <w:widowControl w:val="off"/>
    </w:pPr>
    <w:rPr>
      <w:b/>
      <w:bCs/>
      <w:spacing w:val="3"/>
      <w:sz w:val="25"/>
      <w:szCs w:val="25"/>
    </w:rPr>
  </w:style>
  <w:style w:type="paragraph" w:styleId="872" w:customStyle="1">
    <w:name w:val="Основной текст1"/>
    <w:basedOn w:val="664"/>
    <w:link w:val="867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73">
    <w:name w:val="List Paragraph"/>
    <w:basedOn w:val="664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74">
    <w:name w:val="Hyperlink"/>
    <w:basedOn w:val="674"/>
    <w:uiPriority w:val="99"/>
    <w:unhideWhenUsed/>
    <w:rPr>
      <w:color w:val="0000ff"/>
      <w:u w:val="single"/>
    </w:rPr>
  </w:style>
  <w:style w:type="character" w:styleId="875" w:customStyle="1">
    <w:name w:val="Font Style19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DC2BA-4F3B-4264-9C04-D1DAFCBCD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revision>5</cp:revision>
  <dcterms:created xsi:type="dcterms:W3CDTF">2026-07-01T13:56:00Z</dcterms:created>
  <dcterms:modified xsi:type="dcterms:W3CDTF">2026-07-16T08:29:59Z</dcterms:modified>
</cp:coreProperties>
</file>