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02.06.2026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№ 998</w:t>
      </w:r>
      <w:bookmarkStart w:id="0" w:name="_GoBack"/>
      <w:r/>
      <w:bookmarkEnd w:id="0"/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rFonts w:eastAsia="Times New Roman"/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</w:t>
      </w:r>
      <w:r>
        <w:rPr>
          <w:rFonts w:eastAsia="Times New Roman"/>
          <w:b/>
        </w:rPr>
        <w:t xml:space="preserve">«</w:t>
      </w:r>
      <w:r>
        <w:rPr>
          <w:b/>
          <w:bCs/>
          <w:color w:val="000000"/>
        </w:rPr>
        <w:t xml:space="preserve">Физическая культура и спорт</w:t>
      </w:r>
      <w:r>
        <w:rPr>
          <w:rFonts w:eastAsia="Times New Roman"/>
          <w:b/>
        </w:rPr>
        <w:t xml:space="preserve">» на 2026 - 2028 годы</w:t>
      </w:r>
      <w:r>
        <w:rPr>
          <w:b/>
        </w:rPr>
        <w:t xml:space="preserve">, утвержденную постановлением администрации Печенгского муниципального округа от 12.11.2025 № 1844 </w:t>
      </w: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jc w:val="center"/>
        <w:tabs>
          <w:tab w:val="left" w:pos="9900" w:leader="none"/>
        </w:tabs>
      </w:pPr>
      <w:r/>
      <w:r/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униципальную программу Печенгского муниципального округа «Физическая культура и спорт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12.11.2025 № 1844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08.04.2026 № 550) </w:t>
      </w:r>
      <w:r>
        <w:rPr>
          <w:sz w:val="24"/>
          <w:szCs w:val="24"/>
        </w:rPr>
        <w:t xml:space="preserve">(далее – Программа), </w:t>
      </w:r>
      <w:r>
        <w:rPr>
          <w:sz w:val="24"/>
          <w:szCs w:val="24"/>
        </w:rPr>
        <w:t xml:space="preserve">изложить в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2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32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</w:t>
      </w:r>
      <w:r>
        <w:rPr>
          <w:rFonts w:eastAsia="Times New Roman"/>
          <w:sz w:val="24"/>
          <w:szCs w:val="24"/>
        </w:rPr>
        <w:t xml:space="preserve">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А.</w:t>
      </w:r>
      <w:r>
        <w:rPr>
          <w:sz w:val="24"/>
          <w:szCs w:val="24"/>
          <w:lang w:val="en-US"/>
        </w:rPr>
        <w:t xml:space="preserve">C</w:t>
      </w:r>
      <w:r>
        <w:rPr>
          <w:sz w:val="24"/>
          <w:szCs w:val="24"/>
        </w:rPr>
        <w:t xml:space="preserve">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З</w:t>
      </w:r>
      <w:r>
        <w:t xml:space="preserve">у</w:t>
      </w:r>
      <w:r>
        <w:t xml:space="preserve">бкова Н.А., 5-27-25</w:t>
      </w:r>
      <w:r/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993" w:right="707" w:bottom="254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 </w:t>
      </w:r>
      <w:r>
        <w:rPr>
          <w:rFonts w:eastAsia="Times New Roman"/>
          <w:sz w:val="24"/>
          <w:szCs w:val="24"/>
        </w:rPr>
        <w:t xml:space="preserve">02.06.2026 № </w:t>
      </w:r>
      <w:r>
        <w:rPr>
          <w:rFonts w:eastAsia="Times New Roman"/>
          <w:sz w:val="24"/>
          <w:szCs w:val="24"/>
        </w:rPr>
        <w:t xml:space="preserve">998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488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«</w:t>
      </w:r>
      <w:r>
        <w:rPr>
          <w:rFonts w:eastAsia="Times New Roman"/>
          <w:bCs/>
          <w:sz w:val="24"/>
          <w:szCs w:val="24"/>
        </w:rPr>
        <w:t xml:space="preserve">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 12.11.2025 № 1844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  <w:highlight w:val="yellow"/>
        </w:rPr>
        <w:outlineLvl w:val="1"/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both"/>
        <w:widowControl w:val="off"/>
        <w:rPr>
          <w:b/>
          <w:sz w:val="24"/>
          <w:szCs w:val="24"/>
          <w:highlight w:val="yellow"/>
        </w:rPr>
        <w:outlineLvl w:val="1"/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МУНИЦИПАЛЬНАЯ ПРОГРАММА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8"/>
          <w:szCs w:val="28"/>
        </w:rPr>
        <w:outlineLvl w:val="1"/>
      </w:pPr>
      <w:r>
        <w:rPr>
          <w:b/>
          <w:sz w:val="28"/>
          <w:szCs w:val="28"/>
        </w:rPr>
        <w:t xml:space="preserve">«Физическая культура и спорт»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Срок реализации: 2026 - 2028 годы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</w:p>
    <w:p>
      <w:pPr>
        <w:widowControl w:val="o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</w:p>
    <w:p>
      <w:pPr>
        <w:widowControl w:val="o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</w:p>
    <w:p>
      <w:pPr>
        <w:jc w:val="both"/>
        <w:widowControl w:val="off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Ответственный исполнитель муниципальной программы – </w:t>
      </w:r>
      <w:r>
        <w:rPr>
          <w:rFonts w:eastAsia="Times New Roman"/>
          <w:b/>
          <w:sz w:val="24"/>
          <w:szCs w:val="24"/>
        </w:rPr>
        <w:t xml:space="preserve">Отдел культуры, спорта и молодежной политики администрации Печенгского муниципального округа</w:t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/>
      <w:bookmarkStart w:id="1" w:name="P366"/>
      <w:r/>
      <w:bookmarkEnd w:id="1"/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  <w:t xml:space="preserve">ПАСПОРТ</w:t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муниципальной программы Печенгского муниципального округа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jc w:val="both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jc w:val="center"/>
        <w:widowControl w:val="off"/>
        <w:rPr>
          <w:rFonts w:eastAsia="Times New Roman"/>
          <w:b/>
          <w:sz w:val="24"/>
          <w:u w:val="single"/>
        </w:rPr>
      </w:pPr>
      <w:r>
        <w:rPr>
          <w:rFonts w:eastAsia="Times New Roman"/>
          <w:b/>
          <w:sz w:val="24"/>
          <w:u w:val="single"/>
        </w:rPr>
        <w:t xml:space="preserve">«Физическая культура и спорт»</w:t>
      </w:r>
      <w:r>
        <w:rPr>
          <w:rFonts w:eastAsia="Times New Roman"/>
          <w:b/>
          <w:sz w:val="24"/>
          <w:u w:val="single"/>
        </w:rPr>
      </w:r>
      <w:r>
        <w:rPr>
          <w:rFonts w:eastAsia="Times New Roman"/>
          <w:b/>
          <w:sz w:val="24"/>
          <w:u w:val="single"/>
        </w:rPr>
      </w:r>
    </w:p>
    <w:p>
      <w:pPr>
        <w:jc w:val="both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муниципальной программы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300" w:leader="none"/>
              </w:tabs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Соз</w:t>
            </w:r>
            <w:r>
              <w:rPr>
                <w:sz w:val="24"/>
                <w:szCs w:val="24"/>
              </w:rPr>
              <w:t xml:space="preserve">дание условий, обеспечивающих возможность гражданам систематически заниматься физической культурой и спортом путем популяризации массового и детско-юношеского спорта и приобщения различных слоев общества к регулярным занятиям физической культурой и спортом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2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муниципальной программы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2026 - 2028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sz w:val="24"/>
                <w:szCs w:val="24"/>
              </w:rPr>
              <w:t xml:space="preserve">488 500 540,00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рублей,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447 705 400,00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152 701 100,00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147 235 600,00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147 768 700,00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2 695 140,00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898 380,00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898 380,00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898 380,00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0,0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38 100 000,00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12 200 000,00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12 700 000,00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2028 год: 13 200 000,00 рублей.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Ожидаемые  конечные результаты реализации муниципальной программы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Ожидаемые результаты реализации муниципальной программы к 2029 году: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jc w:val="both"/>
              <w:tabs>
                <w:tab w:val="left" w:pos="993" w:leader="none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доля граждан, систематически занимающихся физической культурой и спортом – 74,0 %;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jc w:val="both"/>
              <w:tabs>
                <w:tab w:val="left" w:pos="993" w:leader="none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 доля обучающихся, систематически занимающихся физической культурой и спортом, в общей численности обучающихся – 99,98 %;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jc w:val="both"/>
              <w:tabs>
                <w:tab w:val="left" w:pos="993" w:leader="none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 уровень обеспеченности граждан спортивными сооружениями </w:t>
            </w:r>
            <w:r>
              <w:rPr>
                <w:sz w:val="24"/>
                <w:szCs w:val="24"/>
              </w:rPr>
              <w:t xml:space="preserve">исходя из единовременной пропускной способности объектов спорта</w:t>
            </w:r>
            <w:r>
              <w:rPr>
                <w:rFonts w:eastAsia="Times New Roman"/>
                <w:sz w:val="24"/>
                <w:szCs w:val="24"/>
              </w:rPr>
              <w:t xml:space="preserve"> – 95,8 %;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jc w:val="both"/>
              <w:tabs>
                <w:tab w:val="left" w:pos="993" w:leader="none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 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 – 1 ед.;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jc w:val="both"/>
              <w:tabs>
                <w:tab w:val="left" w:pos="993" w:leader="none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 количество соревнований (муниципальных, областных, общероссийских, международных), спортивно-массовых мероприятий, в которых обеспечено участие спортсменов Печенгского муниципального округа – 81 ед.;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  <w:p>
            <w:pPr>
              <w:jc w:val="both"/>
              <w:tabs>
                <w:tab w:val="left" w:pos="993" w:leader="none"/>
              </w:tabs>
              <w:rPr>
                <w:rFonts w:cs="Arial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 разработана в 2026 году проектно-сметная документация с </w:t>
            </w:r>
            <w:r>
              <w:rPr>
                <w:rFonts w:eastAsia="Times New Roman"/>
                <w:sz w:val="24"/>
                <w:szCs w:val="24"/>
              </w:rPr>
              <w:t xml:space="preserve">прохождением государственной экспертизы на строительство канатной дороги в п. Никель (горнолыжный склон)</w: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спорта и молодежной политики администрации Печенгского муниципального округа (далее – Отдел КСиМП)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КСиМП, отдел образования администрации Печенгского муниципального округа (далее – Отдел образования), муниципальное бюджетное учреждение дополнительного образования «Детско-юношеская спортивная школа» (далее – МБУ ДО «ДЮСШ»)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программа Мурманской области «Физическая культура и спорт»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32"/>
        <w:ind w:left="1080"/>
        <w:tabs>
          <w:tab w:val="left" w:pos="993" w:leader="none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932"/>
        <w:numPr>
          <w:ilvl w:val="0"/>
          <w:numId w:val="28"/>
        </w:numPr>
        <w:ind w:left="0" w:firstLine="0"/>
        <w:jc w:val="center"/>
        <w:tabs>
          <w:tab w:val="left" w:pos="567" w:leader="none"/>
          <w:tab w:val="left" w:pos="709" w:leader="none"/>
          <w:tab w:val="left" w:pos="851" w:leader="none"/>
          <w:tab w:val="left" w:pos="993" w:leader="none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Приоритеты и задачи муниципального управления в сфере реализации муниципальной программы «Физическая культура и спорт»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</w:pPr>
      <w:r/>
      <w:r/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Основными документами, определяющими стратегию развития физической культуры и спорта в Печенгском муниципальном округе, 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Указ Президента Российской Федерации от </w:t>
      </w:r>
      <w:r>
        <w:rPr>
          <w:rFonts w:eastAsia="Times New Roman"/>
          <w:sz w:val="24"/>
          <w:szCs w:val="24"/>
        </w:rPr>
        <w:t xml:space="preserve">7 мая 2024 г. № 309 </w:t>
      </w:r>
      <w:r>
        <w:rPr>
          <w:rFonts w:eastAsia="Times New Roman"/>
          <w:sz w:val="24"/>
          <w:szCs w:val="24"/>
        </w:rPr>
        <w:br/>
        <w:t xml:space="preserve">«О национальных целях развития Российской Федерации на период до 2030 года и на перспективу до 2036 года»;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ab/>
      </w:r>
      <w:hyperlink r:id="rId11" w:tooltip="https://login.consultant.ru/link/?req=doc&amp;base=LAW&amp;n=493625&amp;dst=100009&amp;field=134&amp;date=02.10.2025" w:history="1">
        <w:r>
          <w:rPr>
            <w:rFonts w:eastAsia="Times New Roman"/>
            <w:sz w:val="24"/>
            <w:szCs w:val="24"/>
          </w:rPr>
          <w:t xml:space="preserve">Стратегия</w:t>
        </w:r>
      </w:hyperlink>
      <w:r>
        <w:rPr>
          <w:rFonts w:eastAsia="Times New Roman"/>
          <w:sz w:val="24"/>
          <w:szCs w:val="24"/>
        </w:rPr>
        <w:t xml:space="preserve"> развития физической культуры и спорта в Российской Федерации на период до 2030 года, утвержденная Распоряжением Правительства Российской Федерации от 24.11.2020 № 3081-р;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прогноз социально-экономического развития Печенгского муниципального округа;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bCs/>
          <w:sz w:val="24"/>
          <w:szCs w:val="24"/>
        </w:rPr>
        <w:t xml:space="preserve">иные нормативные правовые документы федерального и регионального законодательства органов исполнительной власти, касающихся управления в сфере развития физической культуры и спорта. 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В соответствии с указанными программными документами к числу приоритетных направлений развития физической культуры и спорта относятся: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-</w:t>
      </w:r>
      <w:r>
        <w:rPr>
          <w:rFonts w:eastAsia="Times New Roman"/>
          <w:bCs/>
          <w:sz w:val="24"/>
          <w:szCs w:val="24"/>
        </w:rPr>
        <w:tab/>
        <w:t xml:space="preserve">вовлечение граждан, прежде всего детей и молодежи, в регулярные занятия физической культурой и массовым спортом;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pStyle w:val="939"/>
        <w:ind w:firstLine="709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популяризация физической культуры и спорта среди различных групп населения, в том числе среди инвалидов, лиц с ограниченными возможностями здоровья;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tabs>
          <w:tab w:val="left" w:pos="709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организация физкультурно-спортивной работы по месту жительства и месту отдыха граждан Печенгского муниципального округа;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-</w:t>
      </w:r>
      <w:r>
        <w:rPr>
          <w:rFonts w:eastAsia="Times New Roman"/>
          <w:bCs/>
          <w:sz w:val="24"/>
          <w:szCs w:val="24"/>
        </w:rPr>
        <w:tab/>
        <w:t xml:space="preserve">повышение уровня физической подготовленности населения Печенгского муниципального округа;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-</w:t>
      </w:r>
      <w:r>
        <w:rPr>
          <w:rFonts w:eastAsia="Times New Roman"/>
          <w:bCs/>
          <w:sz w:val="24"/>
          <w:szCs w:val="24"/>
        </w:rPr>
        <w:tab/>
        <w:t xml:space="preserve">повышение доступности объектов спорта, в том числе на отдаленных территориях Печенгского муниципального округа, а также для лиц с ограниченными возможностями здоровья и инвалидов.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Целью муниципальной программы «Физическая культура и спорт» на 2026 - 2028 годы (далее - Программа) в трехлетней перспективе является: с</w:t>
      </w:r>
      <w:r>
        <w:rPr>
          <w:sz w:val="24"/>
          <w:szCs w:val="24"/>
        </w:rPr>
        <w:t xml:space="preserve">оздание условий, </w:t>
      </w:r>
      <w:r>
        <w:rPr>
          <w:sz w:val="24"/>
          <w:szCs w:val="24"/>
        </w:rPr>
        <w:t xml:space="preserve">обеспечивающих возможность гражданам систематически заниматься физической культурой и спортом путем популяризации массового и детско-юношеского спорта и приобщения различных слоев общества к регулярным занятиям физической культурой и спортом</w:t>
      </w:r>
      <w:r>
        <w:rPr>
          <w:rFonts w:eastAsia="Times New Roman"/>
          <w:bCs/>
          <w:sz w:val="24"/>
          <w:szCs w:val="24"/>
        </w:rPr>
        <w:t xml:space="preserve">.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цели Программы необходимо решить следующие задачи: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9"/>
        <w:ind w:firstLine="709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привлечения граждан Печенгского муниципального округа, в том числе инвалидов, лиц с ограниченными возможностями здоровья, к систематическим занятиям физической культурой и спортом;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детей и молодежи Печенгского муниципального округа услугами дополнительного образования в сфере физической культуры и спорта;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обеспечение доступности спортивной инфраструктуры для всех категорий и групп населения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Решение поставленных задач обеспечивается посредством реализации системы мероприятий, предусмотренных Программой.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/>
      <w:bookmarkStart w:id="2" w:name="P446"/>
      <w:r/>
      <w:bookmarkEnd w:id="2"/>
      <w:r>
        <w:rPr>
          <w:rFonts w:eastAsia="Times New Roman"/>
          <w:b/>
          <w:sz w:val="24"/>
        </w:rPr>
        <w:t xml:space="preserve">2. Перечень показателей муниципальной программы</w:t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4732"/>
        <w:gridCol w:w="992"/>
        <w:gridCol w:w="1134"/>
        <w:gridCol w:w="1134"/>
        <w:gridCol w:w="1134"/>
        <w:gridCol w:w="1134"/>
        <w:gridCol w:w="1134"/>
        <w:gridCol w:w="1165"/>
        <w:gridCol w:w="138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направления (подпрограммы), цели, показатели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Ед. изм.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Направленность показателя</w:t>
            </w:r>
            <w:r>
              <w:rPr>
                <w:rFonts w:eastAsia="Times New Roman"/>
                <w:vertAlign w:val="superscript"/>
              </w:rPr>
              <w:t xml:space="preserve">1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0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Значение 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Соисполнитель,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ответственный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 достижение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2024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2025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оценка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946" w:type="dxa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«Физическая культура и спорт»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spacing w:line="288" w:lineRule="atLeast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Цель Программы: Соз</w:t>
            </w:r>
            <w:r>
              <w:rPr>
                <w:rFonts w:eastAsia="Times New Roman"/>
              </w:rPr>
              <w:t xml:space="preserve">дание условий, обеспечивающих возможность гражданам систематически заниматься физической культурой и спортом путем популяризации массового и детско-юношеского спорта и приобщения различных слоев общества к регулярным занятиям физической культурой и спортом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24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68,0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69,5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71,0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72,5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</w:pPr>
            <w:r>
              <w:t xml:space="preserve">74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Отдел КСиМП</w:t>
            </w:r>
            <w:r/>
          </w:p>
        </w:tc>
      </w:tr>
      <w:tr>
        <w:tblPrEx/>
        <w:trPr>
          <w:trHeight w:val="525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24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обучающихся, систематически занимающихся физической культурой и спортом, в общей численности обучающихся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99,9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99,95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99,96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99,98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</w:pPr>
            <w:r>
              <w:t xml:space="preserve">99,98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КСиМП</w:t>
            </w:r>
            <w:r/>
          </w:p>
        </w:tc>
      </w:tr>
      <w:tr>
        <w:tblPrEx/>
        <w:trPr>
          <w:trHeight w:val="525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0.3.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24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Уровень обеспеченности граждан спортивными сооружениями исходя из единовременной пропускной способности объектов спорта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92,5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92,8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93,8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94,8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</w:pPr>
            <w:r>
              <w:t xml:space="preserve">95,8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КСиМП</w:t>
            </w:r>
            <w:r/>
          </w:p>
        </w:tc>
      </w:tr>
      <w:tr>
        <w:tblPrEx/>
        <w:trPr>
          <w:trHeight w:val="53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0.4.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24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Ед.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0.5.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24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соревнований (муниципальных, областных, общероссийских, международных), спортивно-массовых мероприятий, в которых обеспечено участие спортсменов Печенгского муниципального округа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Ед.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77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78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79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80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</w:pPr>
            <w:r>
              <w:t xml:space="preserve">81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Отдел КСиМП  </w:t>
            </w:r>
            <w:r/>
          </w:p>
          <w:p>
            <w:pPr>
              <w:jc w:val="center"/>
              <w:widowControl w:val="off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0.6.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24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проектно-сметной документации с прохождением государственной экспертизы на строительство канатной дороги в п. Никель (горнолыжный склон)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МБУ ДО «ДЮСШ» </w:t>
            </w:r>
            <w:r/>
          </w:p>
        </w:tc>
      </w:tr>
    </w:tbl>
    <w:p>
      <w:pPr>
        <w:jc w:val="center"/>
        <w:rPr>
          <w:rFonts w:eastAsia="Times New Roman"/>
          <w:b/>
          <w:sz w:val="24"/>
          <w:szCs w:val="24"/>
        </w:rPr>
      </w:pPr>
      <w:r/>
      <w:bookmarkStart w:id="3" w:name="p125"/>
      <w:r/>
      <w:bookmarkEnd w:id="3"/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rPr>
          <w:rFonts w:eastAsia="Times New Roman"/>
        </w:rPr>
      </w:pPr>
      <w:r>
        <w:rPr>
          <w:rFonts w:eastAsia="Times New Roman"/>
          <w:vertAlign w:val="superscript"/>
        </w:rPr>
        <w:t xml:space="preserve">1 </w:t>
      </w:r>
      <w:r>
        <w:rPr>
          <w:rFonts w:eastAsia="Times New Roman"/>
        </w:rPr>
        <w:t xml:space="preserve">Направленность показателя обозначается: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rPr>
          <w:rFonts w:eastAsia="Times New Roman"/>
        </w:rPr>
      </w:pPr>
      <w:r>
        <w:rPr>
          <w:rFonts w:eastAsia="Times New Roman"/>
        </w:rPr>
        <w:t xml:space="preserve">  1 – направленность на рост;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rPr>
          <w:rFonts w:eastAsia="Times New Roman"/>
        </w:rPr>
      </w:pPr>
      <w:r>
        <w:rPr>
          <w:rFonts w:eastAsia="Times New Roman"/>
        </w:rPr>
        <w:t xml:space="preserve"> (-1) – направленность на снижение;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rPr>
          <w:rFonts w:eastAsia="Times New Roman"/>
        </w:rPr>
      </w:pPr>
      <w:r>
        <w:rPr>
          <w:rFonts w:eastAsia="Times New Roman"/>
        </w:rPr>
        <w:t xml:space="preserve"> 0 – направленность на достижение конкретного значения.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3. Перечень структурных элементов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442" w:type="dxa"/>
        <w:tblInd w:w="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77"/>
        <w:gridCol w:w="1276"/>
        <w:gridCol w:w="1842"/>
        <w:gridCol w:w="708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 выполнения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Связь с показателями Программы (наименования показателей)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strike/>
                <w:color w:val="ff0000"/>
              </w:rPr>
            </w:pPr>
            <w:r>
              <w:rPr>
                <w:rFonts w:eastAsia="Times New Roman"/>
                <w:b/>
                <w:i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strike/>
                <w:color w:val="ff0000"/>
              </w:rPr>
            </w:r>
            <w:r>
              <w:rPr>
                <w:rFonts w:eastAsia="Times New Roman"/>
                <w:strike/>
                <w:color w:val="ff0000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«Привлечение населения Печенгского муниципального округа к систематическим занятиям физической культурой и спортом»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0.1. Доля граждан, систематически занимающихся физической культурой и спортом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tabs>
                <w:tab w:val="left" w:pos="426" w:leader="none"/>
              </w:tabs>
            </w:pPr>
            <w:r>
              <w:t xml:space="preserve">0.3 Уровень обеспеченности граждан спортивными сооружениями исходя из единовременной пропускной способности объектов спорта.</w:t>
            </w:r>
            <w:r/>
          </w:p>
          <w:p>
            <w:pPr>
              <w:jc w:val="both"/>
              <w:tabs>
                <w:tab w:val="left" w:pos="426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0.4. </w:t>
            </w:r>
            <w:r>
              <w:t xml:space="preserve">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  <w:i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«Развитие физической культуры и массового спорта»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8" w:type="dxa"/>
            <w:textDirection w:val="lrTb"/>
            <w:noWrap w:val="false"/>
          </w:tcPr>
          <w:p>
            <w:pPr>
              <w:pStyle w:val="932"/>
              <w:numPr>
                <w:ilvl w:val="1"/>
                <w:numId w:val="29"/>
              </w:numPr>
              <w:ind w:left="7" w:hanging="7"/>
              <w:jc w:val="both"/>
              <w:tabs>
                <w:tab w:val="left" w:pos="215" w:leader="none"/>
                <w:tab w:val="left" w:pos="426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Доля граждан, систематически занимающихся физической культурой и спортом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tabs>
                <w:tab w:val="left" w:pos="426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0.2.</w:t>
            </w:r>
            <w:r>
              <w:t xml:space="preserve"> Доля обучающихся, систематически занимающихся физической культурой и спортом, в общей численности обучающихся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tabs>
                <w:tab w:val="left" w:pos="426" w:leader="none"/>
              </w:tabs>
              <w:rPr>
                <w:rFonts w:eastAsia="Times New Roman"/>
              </w:rPr>
            </w:pPr>
            <w:r>
              <w:t xml:space="preserve">0.3 Уровень обеспеченности граждан спортивными сооружениями исходя из единовременной пропускной способности объектов спорта.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tabs>
                <w:tab w:val="left" w:pos="426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0.5. </w:t>
            </w:r>
            <w:r>
              <w:t xml:space="preserve">Количество соревнований (муниципальных, областных, общероссийских, международных), спортивно-массовых мероприятий, в которых обеспечено участие спортсменов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i/>
              </w:rPr>
            </w:pPr>
            <w:r>
              <w:rPr>
                <w:rFonts w:eastAsia="Times New Roman"/>
                <w:b/>
                <w:i/>
              </w:rPr>
              <w:t xml:space="preserve">Комплекс проектных мероприятий 3 </w:t>
            </w:r>
            <w:r>
              <w:rPr>
                <w:rFonts w:eastAsia="Times New Roman"/>
              </w:rPr>
              <w:t xml:space="preserve">«Реализация мероприятий по строительству, реконструкции, модернизации и приобретению спортивных объектов Печенгского округа»</w:t>
            </w:r>
            <w:r>
              <w:rPr>
                <w:rFonts w:eastAsia="Times New Roman"/>
                <w:b/>
                <w:i/>
              </w:rPr>
            </w:r>
            <w:r>
              <w:rPr>
                <w:rFonts w:eastAsia="Times New Roman"/>
                <w:b/>
                <w:i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 ДО ДЮСШ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0.6. Р</w:t>
            </w:r>
            <w:r>
              <w:t xml:space="preserve">азработка проектно-сметной документации с прохождением государственной экспертизы на строительство канатной дороги в п. Никель (горнолыжный склон)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spacing w:line="288" w:lineRule="atLeast"/>
        <w:rPr>
          <w:rFonts w:eastAsia="Times New Roman"/>
          <w:b/>
          <w:sz w:val="28"/>
          <w:szCs w:val="24"/>
        </w:rPr>
      </w:pPr>
      <w:r>
        <w:rPr>
          <w:rFonts w:eastAsia="Times New Roman"/>
          <w:b/>
          <w:sz w:val="28"/>
          <w:szCs w:val="24"/>
        </w:rPr>
      </w:r>
      <w:r>
        <w:rPr>
          <w:rFonts w:eastAsia="Times New Roman"/>
          <w:b/>
          <w:sz w:val="28"/>
          <w:szCs w:val="24"/>
        </w:rPr>
      </w:r>
      <w:r>
        <w:rPr>
          <w:rFonts w:eastAsia="Times New Roman"/>
          <w:b/>
          <w:sz w:val="28"/>
          <w:szCs w:val="24"/>
        </w:rPr>
      </w:r>
    </w:p>
    <w:p>
      <w:pPr>
        <w:pStyle w:val="923"/>
        <w:contextualSpacing/>
        <w:ind w:firstLine="284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4. Перечень объектов капитального строительства </w:t>
      </w:r>
      <w:r>
        <w:rPr>
          <w:b/>
        </w:rPr>
      </w:r>
      <w:r>
        <w:rPr>
          <w:b/>
        </w:rPr>
      </w:r>
    </w:p>
    <w:p>
      <w:pPr>
        <w:pStyle w:val="923"/>
        <w:contextualSpacing/>
        <w:ind w:firstLine="284"/>
        <w:jc w:val="center"/>
        <w:spacing w:before="0" w:beforeAutospacing="0" w:after="0" w:afterAutospacing="0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tbl>
      <w:tblPr>
        <w:tblStyle w:val="931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93"/>
        <w:gridCol w:w="1470"/>
        <w:gridCol w:w="1150"/>
        <w:gridCol w:w="1288"/>
        <w:gridCol w:w="1645"/>
        <w:gridCol w:w="1035"/>
        <w:gridCol w:w="1405"/>
        <w:gridCol w:w="1405"/>
        <w:gridCol w:w="1405"/>
        <w:gridCol w:w="1379"/>
      </w:tblGrid>
      <w:tr>
        <w:tblPrEx/>
        <w:trPr>
          <w:trHeight w:val="228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199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объекта капитального строительства</w:t>
            </w:r>
            <w:r/>
          </w:p>
        </w:tc>
        <w:tc>
          <w:tcPr>
            <w:tcW w:w="147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Соисполнитель, заказчик</w:t>
            </w:r>
            <w:r/>
          </w:p>
        </w:tc>
        <w:tc>
          <w:tcPr>
            <w:tcW w:w="115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Проектная мощность</w:t>
            </w:r>
            <w:r/>
          </w:p>
        </w:tc>
        <w:tc>
          <w:tcPr>
            <w:tcW w:w="128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Сроки и этапы выполнения работ</w:t>
            </w:r>
            <w:r/>
          </w:p>
        </w:tc>
        <w:tc>
          <w:tcPr>
            <w:tcW w:w="1645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Общая стоимость объекта, рублей</w:t>
            </w:r>
            <w:r/>
          </w:p>
        </w:tc>
        <w:tc>
          <w:tcPr>
            <w:gridSpan w:val="5"/>
            <w:tcW w:w="6629" w:type="dxa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финансирования, рублей</w:t>
            </w:r>
            <w:r/>
          </w:p>
        </w:tc>
      </w:tr>
      <w:tr>
        <w:tblPrEx/>
        <w:trPr>
          <w:trHeight w:val="685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jc w:val="center"/>
            </w:pPr>
            <w:r>
              <w:t xml:space="preserve">Год/ источник</w:t>
            </w:r>
            <w:r/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/>
          </w:p>
        </w:tc>
        <w:tc>
          <w:tcPr>
            <w:tcW w:w="1379" w:type="dxa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/>
          </w:p>
        </w:tc>
      </w:tr>
      <w:tr>
        <w:tblPrEx/>
        <w:trPr>
          <w:trHeight w:val="228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W w:w="7546" w:type="dxa"/>
            <w:vMerge w:val="restart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Муниципальная программа "Физическая культура и спорт"               </w:t>
            </w:r>
            <w:r>
              <w:rPr>
                <w:b/>
              </w:rPr>
              <w:t xml:space="preserve">              </w:t>
            </w:r>
            <w:r>
              <w:rPr>
                <w:b/>
              </w:rPr>
              <w:t xml:space="preserve">Комплекс проектных мероприятий 3 «Реализация мероприятий по строительству, реконструкции, модернизации и приобретению спортивных объектов Печенгского округа»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t xml:space="preserve">2 877 000,00</w:t>
            </w:r>
            <w:r>
              <w:rPr>
                <w:b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 xml:space="preserve">2 877 000,00</w:t>
            </w:r>
            <w:r>
              <w:rPr>
                <w:b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546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2 877 000,00</w:t>
            </w:r>
            <w:r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2 877 000,00</w:t>
            </w:r>
            <w:r>
              <w:rPr>
                <w:b/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 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546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546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546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28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W w:w="1993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проектно-сметной документации с прохождением государственной экспертизы на строительство канатной дороги в п. Никель (горнолыжный склон)</w:t>
            </w:r>
            <w:r/>
          </w:p>
        </w:tc>
        <w:tc>
          <w:tcPr>
            <w:tcW w:w="1470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МБУ ДО ДЮСШ</w:t>
            </w:r>
            <w:r/>
          </w:p>
        </w:tc>
        <w:tc>
          <w:tcPr>
            <w:shd w:val="clear" w:color="auto" w:fill="auto"/>
            <w:tcW w:w="1150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rPr>
                <w:color w:val="2c2d2e"/>
                <w:shd w:val="clear" w:color="auto" w:fill="ffffff"/>
              </w:rPr>
              <w:t xml:space="preserve">186,65 кв.м</w:t>
            </w:r>
            <w:r/>
          </w:p>
        </w:tc>
        <w:tc>
          <w:tcPr>
            <w:tcW w:w="1288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2026 </w:t>
            </w:r>
            <w:r/>
          </w:p>
        </w:tc>
        <w:tc>
          <w:tcPr>
            <w:tcW w:w="1645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2 877 000,00</w:t>
            </w:r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t xml:space="preserve">2 877 000,00</w:t>
            </w:r>
            <w:r>
              <w:rPr>
                <w:b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 xml:space="preserve">2 877 000,00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28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5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2 877 000,00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2 877 000,00  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5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5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</w:tr>
      <w:tr>
        <w:tblPrEx/>
        <w:trPr>
          <w:trHeight w:val="254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5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</w:tr>
    </w:tbl>
    <w:p>
      <w:pPr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5.</w:t>
      </w:r>
      <w:r>
        <w:rPr>
          <w:rFonts w:eastAsia="Times New Roman"/>
          <w:b/>
          <w:color w:val="ff0000"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t xml:space="preserve">Перечень мер налогового регулирования (налоговых расходов) в сфере реализации муниципальной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403"/>
        <w:gridCol w:w="1276"/>
        <w:gridCol w:w="1276"/>
        <w:gridCol w:w="1276"/>
        <w:gridCol w:w="2835"/>
        <w:gridCol w:w="411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меры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 выпадающих доходов бюджета округа (руб.)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Основание применения меры налогового регулирования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Освобождение от уплаты земельного налога организа</w:t>
            </w:r>
            <w:r>
              <w:rPr>
                <w:rFonts w:eastAsia="Times New Roman"/>
              </w:rPr>
              <w:t xml:space="preserve">ций и учреждений спорта, финансируемых из бюджета муниципального образования Печенгский муниципальный округ, в отношении земельных участков, предоставленных для непосредственного выполнения возложенных на эти учреждения функций, от уплаты земельного налога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208 897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208 897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208 897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Подпункт 4.1 пункта 4 решения Совета депутатов Печенгского муниципального округа </w:t>
            </w:r>
            <w:r>
              <w:rPr>
                <w:rFonts w:eastAsia="Times New Roman"/>
              </w:rPr>
              <w:br/>
              <w:t xml:space="preserve">от 23.10.2020 № 39 «Об установлении земельного налога на территории муниципального образования Печенгский муниципальный округ Мурманской области» (в редакции от 22.11.2024)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t xml:space="preserve">0.4 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6.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542"/>
        <w:gridCol w:w="1134"/>
        <w:gridCol w:w="1134"/>
        <w:gridCol w:w="1559"/>
        <w:gridCol w:w="1560"/>
        <w:gridCol w:w="1559"/>
        <w:gridCol w:w="156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</w:rPr>
              <w:t xml:space="preserve">Муниципальная программа «Физическая культура и спорт»</w:t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488 500 540,00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165 799 480,00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160 833 980,00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161 867 080,00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18"/>
                <w:szCs w:val="18"/>
                <w:highlight w:val="yellow"/>
              </w:rPr>
            </w:pP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447 705 400,00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152 701 100,00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147 235 600,00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147 768 700,00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18"/>
                <w:szCs w:val="18"/>
                <w:highlight w:val="yellow"/>
              </w:rPr>
            </w:pP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2 695 140,00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898 380,00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898 380,00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898 380,00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18"/>
                <w:szCs w:val="18"/>
                <w:highlight w:val="yellow"/>
              </w:rPr>
            </w:pP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18"/>
                <w:szCs w:val="18"/>
                <w:highlight w:val="yellow"/>
              </w:rPr>
            </w:pP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  <w:r>
              <w:rPr>
                <w:rFonts w:eastAsia="Times New Roman"/>
                <w:sz w:val="18"/>
                <w:szCs w:val="18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38 100 000,00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12 200 000,00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12 700 000,00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13 200 000,00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9 500 000,00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3 500 000,00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3 000 000,00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3 000 000,00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9 500 000,00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3 500 000,00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3 000 000,00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3 000 000,00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r>
              <w:t xml:space="preserve">ВБС</w:t>
            </w:r>
            <w:r/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479 000 540,00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162 299 480,00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157 333 980,00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158 367 080,00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438 205 400,00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149 201 100,00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143 735 600,00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144 268 700,00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2 695 140,00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8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r>
              <w:t xml:space="preserve">ВБС</w:t>
            </w:r>
            <w:r/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38 100 000,00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12 200 000,00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12 700 000,00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13 200 000,00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trike/>
                <w:color w:val="ff0000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 </w:t>
            </w:r>
            <w:r>
              <w:rPr>
                <w:rFonts w:eastAsia="Times New Roman"/>
                <w:strike/>
                <w:color w:val="ff0000"/>
              </w:rPr>
            </w:r>
            <w:r>
              <w:rPr>
                <w:rFonts w:eastAsia="Times New Roman"/>
                <w:strike/>
                <w:color w:val="ff0000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«Привлечение населения Печенгского муниципального округа к систематическим занятиям физической культурой и спортом»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474 773 540,00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158 972 480,00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157 383 980,00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158 417 080,00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433 978 400,00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145 874 100,00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143 785 600,00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144 318 700,00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2 695 140,00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898 380,00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r>
              <w:t xml:space="preserve">ВБС</w:t>
            </w:r>
            <w:r/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eastAsia="Times New Roman"/>
              </w:rPr>
              <w:t xml:space="preserve">38 100 000,00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t xml:space="preserve">12 200 000,00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t xml:space="preserve">12 700 000,00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textDirection w:val="lrTb"/>
            <w:noWrap w:val="false"/>
          </w:tcPr>
          <w:p>
            <w:pPr>
              <w:jc w:val="right"/>
            </w:pPr>
            <w:r>
              <w:t xml:space="preserve">13 200 000,00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«Развитие физической культуры и массового спорта»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10 850 000,00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3 950 000,00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3 450 000,00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3 450 000,00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10 850 000,00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3 950 000,00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3 450 000,00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3 450 000,00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sz w:val="18"/>
                <w:szCs w:val="18"/>
              </w:rPr>
              <w:t xml:space="preserve">    </w:t>
            </w:r>
            <w:r>
              <w:rPr>
                <w:rFonts w:eastAsia="Times New Roman"/>
                <w:b/>
              </w:rPr>
              <w:t xml:space="preserve">3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3</w:t>
            </w:r>
            <w:r>
              <w:rPr>
                <w:rFonts w:eastAsia="Times New Roman"/>
              </w:rPr>
              <w:t xml:space="preserve"> «Реализация мероприятий по строительству, реконструкции, модернизации и приобретению спортивных объектов Печенгского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2 877 000,00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2 877 000,00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МБУ ДО «ДЮСШ»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2 877 000,00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2 877 000,00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  <w:r>
              <w:rPr>
                <w:rFonts w:eastAsia="Times New Roman"/>
                <w:sz w:val="18"/>
              </w:rPr>
            </w:r>
          </w:p>
        </w:tc>
      </w:tr>
    </w:tbl>
    <w:p>
      <w:pPr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  <w:r>
        <w:rPr>
          <w:rFonts w:eastAsia="Times New Roman"/>
          <w:sz w:val="18"/>
          <w:szCs w:val="18"/>
        </w:rPr>
      </w:r>
      <w:r>
        <w:rPr>
          <w:rFonts w:eastAsia="Times New Roman"/>
          <w:sz w:val="18"/>
          <w:szCs w:val="18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7. Механизмы управления рисками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tbl>
      <w:tblPr>
        <w:tblW w:w="49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2570"/>
        <w:gridCol w:w="3389"/>
        <w:gridCol w:w="3122"/>
        <w:gridCol w:w="3214"/>
        <w:gridCol w:w="173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  </w:t>
            </w: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Ожидаемые последствия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Меры по предотвращению наступления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Меры реагирования при наличии признаков наступления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Периодичность мониторинга рисков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Правовой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Утеря актуальности поставленных задач и запланированных мероприятий (результатов), а также необходимость включения новых направлений деятельности, что окажет влияние на конечные результаты Программы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Мониторинг федерального и регионального законодательства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Оперативное принятие муниципальных нормативных правовых актов с целью приведения нормативно-методической базы Программы в соответствие с государственной политикой на федеральном и региональном уровнях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Постоянно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Финансовый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Недостижение запланированных значений показателей Программы, невыполнение мероприятий результатов в срок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textDirection w:val="lrTb"/>
            <w:noWrap w:val="false"/>
          </w:tcPr>
          <w:p>
            <w:pPr>
              <w:ind w:right="141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Сбалансированное  распределение финансовых средств по структурным элементам Программы в соответствии с ожидаемыми конечными результатами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Ежеквартально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Недостаточный интерес населения Печенгского округа к проводимым мероприятиям и к систематическим занятиям физической культурой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Недостижение установленных  значений показателей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textDirection w:val="lrTb"/>
            <w:noWrap w:val="false"/>
          </w:tcPr>
          <w:p>
            <w:pPr>
              <w:pStyle w:val="923"/>
              <w:jc w:val="both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ведомственного мониторинга за спросом населения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23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Внедрение новых форм проведения мероприятий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Постоянно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Отток высококвалифицированных кадров сферы физической культуры и спорта и спортсменов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Некачественное выполнение мероприятий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Учет высококлассных специалистов.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142"/>
              <w:jc w:val="both"/>
            </w:pPr>
            <w:r>
              <w:rPr>
                <w:rFonts w:eastAsia="Times New Roman"/>
              </w:rPr>
              <w:t xml:space="preserve">Внедрение дополнительных механизмов стимулирования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Подготовка новых специалистов, повышение квалификации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678" w:bottom="993" w:left="1701" w:header="720" w:footer="720" w:gutter="0"/>
          <w:cols w:num="1" w:sep="0" w:space="720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tabs>
          <w:tab w:val="left" w:pos="0" w:leader="none"/>
        </w:tabs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8. Порядок взаимодействия </w:t>
      </w:r>
      <w:r>
        <w:rPr>
          <w:rFonts w:eastAsia="Times New Roman"/>
          <w:b/>
          <w:sz w:val="24"/>
          <w:szCs w:val="24"/>
        </w:rPr>
        <w:t xml:space="preserve">Ответственного исполнителя, Соисполнителей и участников муниципальной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rPr>
          <w:highlight w:val="yellow"/>
        </w:rPr>
      </w:pPr>
      <w:r/>
      <w:bookmarkStart w:id="4" w:name="Par3713"/>
      <w:r/>
      <w:bookmarkEnd w:id="4"/>
      <w:r>
        <w:rPr>
          <w:highlight w:val="yellow"/>
        </w:rPr>
      </w:r>
      <w:r>
        <w:rPr>
          <w:highlight w:val="yellow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Мониторинг и контроль реализации муниципальной программы осуществляется ответственным исполнителем программы – Отделом культуры, спорта и молодежной политики, который: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</w:r>
      <w:r>
        <w:rPr>
          <w:rFonts w:eastAsia="Times New Roman"/>
          <w:sz w:val="24"/>
        </w:rPr>
        <w:t xml:space="preserve">об</w:t>
      </w:r>
      <w:r>
        <w:rPr>
          <w:rFonts w:eastAsia="Times New Roman"/>
          <w:sz w:val="24"/>
        </w:rPr>
        <w:t xml:space="preserve">еспечивает совместно с Соисполнителями разработку проекта Программы,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eastAsia="Times New Roman"/>
          <w:sz w:val="24"/>
          <w:szCs w:val="24"/>
        </w:rPr>
        <w:t xml:space="preserve">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 (далее – Порядок);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</w:rPr>
        <w:t xml:space="preserve">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ab/>
        <w:t xml:space="preserve">осуществляет мониторинг реализации муниципальной программы и подготовку отчетов о ходе реализации муниципальной программы в соответствии с требованиями Порядка.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Соисполнители муниципальной программы: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ab/>
        <w:t xml:space="preserve">обеспечивают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ab/>
        <w:t xml:space="preserve">несут ответственность за достижение плановых значений показателей муниципальной программы в части, их касающейся;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ab/>
        <w:t xml:space="preserve">формируют предложения по разработке проекта муниципальной программы, внесению изменений в муниципальную программу;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ab/>
        <w:t xml:space="preserve">в пределах своей компетенции участвуют в разработке плана реализации муниципальной программы, направляют Отделу КСиМП соответствующие предложения;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ab/>
        <w:t xml:space="preserve">представляют в Отдел КСиМП в электронном виде в срок и по формам, установленным Порядком, всю необходимую информацию для проведения мониторинга и оценки эффективности муниципальной программы.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Участники муниципальной программы: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 осуществляют реализацию мероприятий муниципальной программы, участниками которых они являются;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 представляют ответственному исполнителю муницип</w:t>
      </w:r>
      <w:r>
        <w:rPr>
          <w:rFonts w:eastAsia="Times New Roman"/>
          <w:sz w:val="24"/>
        </w:rP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 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567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>
        <w:tblPrEx/>
        <w:trPr/>
        <w:tc>
          <w:tcPr>
            <w:shd w:val="clear" w:color="auto" w:fill="auto"/>
            <w:tcW w:w="222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</w:tr>
    </w:tbl>
    <w:p>
      <w:pPr>
        <w:ind w:firstLine="709"/>
        <w:jc w:val="center"/>
        <w:rPr>
          <w:rFonts w:eastAsia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firstLine="709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9. Сведения об источниках и методике расчета значений показателей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firstLine="709"/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977"/>
        <w:gridCol w:w="1134"/>
        <w:gridCol w:w="1559"/>
        <w:gridCol w:w="3261"/>
        <w:gridCol w:w="2126"/>
        <w:gridCol w:w="1276"/>
        <w:gridCol w:w="155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Единица измерения, временная характеристика</w:t>
            </w:r>
            <w:r>
              <w:rPr>
                <w:rFonts w:eastAsia="Times New Roman"/>
                <w:vertAlign w:val="superscript"/>
              </w:rPr>
              <w:t xml:space="preserve">4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Алгоритм расчета (формула)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Базовые показатели (используемые в формуле)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Метод сбора информации,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код формы отчетности</w:t>
            </w:r>
            <w:r>
              <w:rPr>
                <w:rFonts w:eastAsia="Times New Roman"/>
                <w:vertAlign w:val="superscript"/>
              </w:rPr>
              <w:t xml:space="preserve">5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получения фактических значений показателей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Ответственный исполнитель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jc w:val="both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«Физическая культура и спорт»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</w:tr>
      <w:tr>
        <w:tblPrEx/>
        <w:trPr>
          <w:trHeight w:val="141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Доля граждан, систематически занимающихся физической культурой и спортом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%,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Дз = Чз / (Чн - Чнп) x 100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Чз - численность населения в возрасте 3 - 79 лет, занимающегося физической культурой и спортом (сумма гр. 5 - 9 стр. 20)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cyan"/>
              </w:rPr>
            </w:pPr>
            <w:r>
              <w:rPr>
                <w:rFonts w:eastAsia="Times New Roman"/>
              </w:rPr>
              <w:t xml:space="preserve">Данные формы статистического наблюдения № 1- ФК</w:t>
            </w:r>
            <w:r>
              <w:rPr>
                <w:rFonts w:eastAsia="Times New Roman"/>
                <w:highlight w:val="cyan"/>
              </w:rPr>
            </w:r>
            <w:r>
              <w:rPr>
                <w:rFonts w:eastAsia="Times New Roman"/>
                <w:highlight w:val="cy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25 января после отчетного периода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highlight w:val="cy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  <w:color w:val="ff0000"/>
                <w:highlight w:val="cyan"/>
              </w:rPr>
            </w:r>
            <w:r>
              <w:rPr>
                <w:rFonts w:eastAsia="Times New Roman"/>
                <w:color w:val="ff0000"/>
                <w:highlight w:val="cyan"/>
              </w:rPr>
            </w:r>
          </w:p>
        </w:tc>
      </w:tr>
      <w:tr>
        <w:tblPrEx/>
        <w:trPr>
          <w:trHeight w:val="167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Чн - численность населения в возрасте 3 - 79 лет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Данные Федерального органа государственной статистики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eastAsia="Times New Roman"/>
                <w:color w:val="ff0000"/>
              </w:rPr>
            </w:pPr>
            <w:r>
              <w:t xml:space="preserve">1 января отчетного года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  <w:highlight w:val="cyan"/>
              </w:rPr>
            </w:pPr>
            <w:r>
              <w:rPr>
                <w:rFonts w:eastAsia="Times New Roman"/>
                <w:color w:val="ff0000"/>
                <w:highlight w:val="cyan"/>
              </w:rPr>
            </w:r>
            <w:r>
              <w:rPr>
                <w:rFonts w:eastAsia="Times New Roman"/>
                <w:color w:val="ff0000"/>
                <w:highlight w:val="cyan"/>
              </w:rPr>
            </w:r>
            <w:r>
              <w:rPr>
                <w:rFonts w:eastAsia="Times New Roman"/>
                <w:color w:val="ff0000"/>
                <w:highlight w:val="cyan"/>
              </w:rPr>
            </w:r>
          </w:p>
        </w:tc>
      </w:tr>
      <w:tr>
        <w:tblPrEx/>
        <w:trPr>
          <w:trHeight w:val="1554"/>
        </w:trPr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Чнп - численность населения в возрасте 3 - 79 лет, имеющего противопоказания и ограничения для занятий физической культурой и спортом, согласно формам статистического наблюдения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Ведомственные данные Министерства спорта Мурманской области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25 января после отчетного периода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  <w:highlight w:val="cyan"/>
              </w:rPr>
            </w:pPr>
            <w:r>
              <w:rPr>
                <w:rFonts w:eastAsia="Times New Roman"/>
                <w:color w:val="ff0000"/>
                <w:highlight w:val="cyan"/>
              </w:rPr>
            </w:r>
            <w:r>
              <w:rPr>
                <w:rFonts w:eastAsia="Times New Roman"/>
                <w:color w:val="ff0000"/>
                <w:highlight w:val="cyan"/>
              </w:rPr>
            </w:r>
            <w:r>
              <w:rPr>
                <w:rFonts w:eastAsia="Times New Roman"/>
                <w:color w:val="ff0000"/>
                <w:highlight w:val="cyan"/>
              </w:rPr>
            </w:r>
          </w:p>
        </w:tc>
      </w:tr>
      <w:tr>
        <w:tblPrEx/>
        <w:trPr>
          <w:trHeight w:val="8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Доля обучающихся, систематически занимающихся физической культурой и спортом, в общей численности обучающихся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%,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Доз=Чзо/Чн</w:t>
            </w:r>
            <w:r>
              <w:rPr>
                <w:rFonts w:eastAsia="Times New Roman"/>
                <w:vertAlign w:val="subscript"/>
              </w:rPr>
              <w:t xml:space="preserve">3-17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Чзо - численность обучающихся, занимающихся физической культурой и спортом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Данные формы статистического наблюдения № 1- ФК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25 января после отчетного периода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>
          <w:trHeight w:val="78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Чн</w:t>
            </w:r>
            <w:r>
              <w:rPr>
                <w:rFonts w:eastAsia="Times New Roman"/>
                <w:vertAlign w:val="subscript"/>
              </w:rPr>
              <w:t xml:space="preserve">3-17</w:t>
            </w:r>
            <w:r>
              <w:rPr>
                <w:rFonts w:eastAsia="Times New Roman"/>
              </w:rPr>
              <w:t xml:space="preserve"> - численность населения в возрасте от 3 до 18 лет (3 - 17 лет включительно)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Данные Федерального органа государственной статистики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eastAsia="Times New Roman"/>
                <w:color w:val="ff0000"/>
              </w:rPr>
            </w:pPr>
            <w:r>
              <w:t xml:space="preserve">1 января отчетного года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>
          <w:trHeight w:val="155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t xml:space="preserve">Уровень обеспеченности граждан спортивными сооружениями исходя из единовременной пропускной способности объектов спорта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%,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ЕПС = ЕПСфакт / ЕПСнорм x 100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ЕПСфакт - единовременная пропускная способность имеющихся спортивных сооружений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Данные формы статистического наблюдения № 1- ФК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25 января после отчетного периода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>
          <w:trHeight w:val="140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ЕПСнорм - нормативная потребность в объектах спортивной инфраструктуры, исходя из единовременной пропускной способности спортивных сооружений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t xml:space="preserve">Методические рекомендации о применении нормативов и норм при определении потребности субъектов Российской Федерации в объектах физической культуры и спорта, утвержденные приказом Минспорта России </w:t>
            </w:r>
            <w:r>
              <w:br/>
              <w:t xml:space="preserve">от 21.03.2018 № 244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0.4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Ед., 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данные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по окончании финансового года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 соревнований (муниципальных, областных, общероссийских, международных), спортивно-массовых мероприятий, в которых обеспечено участие спортсменов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Ед., 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данные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 января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0.6.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Разработка проектно-сметной документации с прохождением государственной экспертизы на строительство канатной дороги в п. Никель (горнолыжный склон)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Ед.,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год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 данные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 окончанию финансового года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 ДО «ДЮСШ»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contextualSpacing/>
        <w:jc w:val="both"/>
        <w:spacing w:line="288" w:lineRule="atLeast"/>
        <w:rPr>
          <w:rFonts w:eastAsia="Times New Roman"/>
          <w:sz w:val="16"/>
          <w:szCs w:val="16"/>
        </w:rPr>
      </w:pPr>
      <w:r/>
      <w:bookmarkStart w:id="5" w:name="p124"/>
      <w:r/>
      <w:bookmarkEnd w:id="5"/>
      <w:r>
        <w:rPr>
          <w:rFonts w:eastAsia="Times New Roman"/>
          <w:sz w:val="16"/>
          <w:szCs w:val="16"/>
          <w:vertAlign w:val="superscript"/>
        </w:rPr>
        <w:t xml:space="preserve">4</w:t>
      </w:r>
      <w:r>
        <w:rPr>
          <w:rFonts w:eastAsia="Times New Roman"/>
          <w:sz w:val="16"/>
          <w:szCs w:val="16"/>
        </w:rPr>
        <w:t xml:space="preserve">Ежегодно, нарастающим итогом, убывающим итогом.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p>
      <w:pPr>
        <w:contextualSpacing/>
        <w:jc w:val="both"/>
        <w:spacing w:before="168"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  <w:vertAlign w:val="superscript"/>
        </w:rPr>
        <w:t xml:space="preserve">5</w:t>
      </w:r>
      <w:r>
        <w:rPr>
          <w:rFonts w:eastAsia="Times New Roman"/>
          <w:sz w:val="16"/>
          <w:szCs w:val="16"/>
        </w:rPr>
        <w:t xml:space="preserve">Указываются методы: статистическая отчетность, социологи</w:t>
      </w:r>
      <w:r>
        <w:rPr>
          <w:rFonts w:eastAsia="Times New Roman"/>
          <w:sz w:val="16"/>
          <w:szCs w:val="16"/>
        </w:rPr>
        <w:t xml:space="preserve">ческий опрос, прочие (указать).».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p>
      <w:pPr>
        <w:jc w:val="center"/>
        <w:widowControl w:val="off"/>
        <w:rPr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1134" w:bottom="1701" w:left="1134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left"/>
        <w:rPr>
          <w:rFonts w:eastAsia="Times New Roman"/>
          <w:b/>
          <w:bCs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5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40" w:hanging="360"/>
      </w:pPr>
      <w:rPr>
        <w:rFonts w:hint="default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Zero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27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num w:numId="1">
    <w:abstractNumId w:val="24"/>
  </w:num>
  <w:num w:numId="2">
    <w:abstractNumId w:val="14"/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7"/>
  </w:num>
  <w:num w:numId="6">
    <w:abstractNumId w:val="5"/>
  </w:num>
  <w:num w:numId="7">
    <w:abstractNumId w:val="16"/>
  </w:num>
  <w:num w:numId="8">
    <w:abstractNumId w:val="8"/>
  </w:num>
  <w:num w:numId="9">
    <w:abstractNumId w:val="6"/>
  </w:num>
  <w:num w:numId="10">
    <w:abstractNumId w:val="13"/>
  </w:num>
  <w:num w:numId="11">
    <w:abstractNumId w:val="23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6"/>
  </w:num>
  <w:num w:numId="15">
    <w:abstractNumId w:val="15"/>
  </w:num>
  <w:num w:numId="16">
    <w:abstractNumId w:val="25"/>
  </w:num>
  <w:num w:numId="17">
    <w:abstractNumId w:val="7"/>
  </w:num>
  <w:num w:numId="18">
    <w:abstractNumId w:val="12"/>
  </w:num>
  <w:num w:numId="19">
    <w:abstractNumId w:val="18"/>
  </w:num>
  <w:num w:numId="20">
    <w:abstractNumId w:val="20"/>
  </w:num>
  <w:num w:numId="21">
    <w:abstractNumId w:val="4"/>
  </w:num>
  <w:num w:numId="22">
    <w:abstractNumId w:val="19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3"/>
  </w:num>
  <w:num w:numId="26">
    <w:abstractNumId w:val="9"/>
  </w:num>
  <w:num w:numId="27">
    <w:abstractNumId w:val="11"/>
  </w:num>
  <w:num w:numId="28">
    <w:abstractNumId w:val="10"/>
  </w:num>
  <w:num w:numId="29">
    <w:abstractNumId w:val="17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2" w:default="1">
    <w:name w:val="Normal"/>
    <w:qFormat/>
    <w:rPr>
      <w:rFonts w:eastAsia="Calibri"/>
    </w:rPr>
  </w:style>
  <w:style w:type="paragraph" w:styleId="713">
    <w:name w:val="Heading 1"/>
    <w:basedOn w:val="712"/>
    <w:next w:val="712"/>
    <w:link w:val="7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4">
    <w:name w:val="Heading 2"/>
    <w:basedOn w:val="712"/>
    <w:next w:val="712"/>
    <w:link w:val="760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5">
    <w:name w:val="Heading 3"/>
    <w:basedOn w:val="712"/>
    <w:next w:val="712"/>
    <w:link w:val="761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6">
    <w:name w:val="Heading 4"/>
    <w:basedOn w:val="712"/>
    <w:next w:val="712"/>
    <w:link w:val="7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7">
    <w:name w:val="Heading 5"/>
    <w:basedOn w:val="712"/>
    <w:next w:val="712"/>
    <w:link w:val="7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712"/>
    <w:next w:val="712"/>
    <w:link w:val="7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712"/>
    <w:next w:val="712"/>
    <w:link w:val="7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0">
    <w:name w:val="Heading 8"/>
    <w:basedOn w:val="712"/>
    <w:next w:val="712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712"/>
    <w:next w:val="712"/>
    <w:link w:val="7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table" w:styleId="725">
    <w:name w:val="Plain Table 1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2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2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72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5 Dark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5">
    <w:name w:val="Grid Table 6 Colorful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6">
    <w:name w:val="Grid Table 7 Colorful"/>
    <w:basedOn w:val="72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7">
    <w:name w:val="List Table 1 Light"/>
    <w:basedOn w:val="72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72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5 Dark"/>
    <w:basedOn w:val="72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2">
    <w:name w:val="List Table 6 Colorful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3">
    <w:name w:val="List Table 7 Colorful"/>
    <w:basedOn w:val="72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4" w:customStyle="1">
    <w:name w:val="Heading 1 Char"/>
    <w:basedOn w:val="722"/>
    <w:uiPriority w:val="9"/>
    <w:rPr>
      <w:rFonts w:ascii="Arial" w:hAnsi="Arial" w:eastAsia="Arial" w:cs="Arial"/>
      <w:sz w:val="40"/>
      <w:szCs w:val="40"/>
    </w:rPr>
  </w:style>
  <w:style w:type="character" w:styleId="745" w:customStyle="1">
    <w:name w:val="Heading 2 Char"/>
    <w:basedOn w:val="722"/>
    <w:uiPriority w:val="9"/>
    <w:rPr>
      <w:rFonts w:ascii="Arial" w:hAnsi="Arial" w:eastAsia="Arial" w:cs="Arial"/>
      <w:sz w:val="34"/>
    </w:rPr>
  </w:style>
  <w:style w:type="character" w:styleId="746" w:customStyle="1">
    <w:name w:val="Heading 3 Char"/>
    <w:basedOn w:val="722"/>
    <w:uiPriority w:val="9"/>
    <w:rPr>
      <w:rFonts w:ascii="Arial" w:hAnsi="Arial" w:eastAsia="Arial" w:cs="Arial"/>
      <w:sz w:val="30"/>
      <w:szCs w:val="30"/>
    </w:rPr>
  </w:style>
  <w:style w:type="character" w:styleId="747" w:customStyle="1">
    <w:name w:val="Heading 4 Char"/>
    <w:basedOn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48" w:customStyle="1">
    <w:name w:val="Heading 5 Char"/>
    <w:basedOn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49" w:customStyle="1">
    <w:name w:val="Heading 6 Char"/>
    <w:basedOn w:val="722"/>
    <w:uiPriority w:val="9"/>
    <w:rPr>
      <w:rFonts w:ascii="Arial" w:hAnsi="Arial" w:eastAsia="Arial" w:cs="Arial"/>
      <w:b/>
      <w:bCs/>
      <w:sz w:val="22"/>
      <w:szCs w:val="22"/>
    </w:rPr>
  </w:style>
  <w:style w:type="character" w:styleId="750" w:customStyle="1">
    <w:name w:val="Heading 7 Char"/>
    <w:basedOn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 w:customStyle="1">
    <w:name w:val="Heading 8 Char"/>
    <w:basedOn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52" w:customStyle="1">
    <w:name w:val="Heading 9 Char"/>
    <w:basedOn w:val="722"/>
    <w:uiPriority w:val="9"/>
    <w:rPr>
      <w:rFonts w:ascii="Arial" w:hAnsi="Arial" w:eastAsia="Arial" w:cs="Arial"/>
      <w:i/>
      <w:iCs/>
      <w:sz w:val="21"/>
      <w:szCs w:val="21"/>
    </w:rPr>
  </w:style>
  <w:style w:type="character" w:styleId="753" w:customStyle="1">
    <w:name w:val="Title Char"/>
    <w:basedOn w:val="722"/>
    <w:uiPriority w:val="10"/>
    <w:rPr>
      <w:sz w:val="48"/>
      <w:szCs w:val="48"/>
    </w:rPr>
  </w:style>
  <w:style w:type="character" w:styleId="754" w:customStyle="1">
    <w:name w:val="Subtitle Char"/>
    <w:basedOn w:val="722"/>
    <w:uiPriority w:val="11"/>
    <w:rPr>
      <w:sz w:val="24"/>
      <w:szCs w:val="24"/>
    </w:rPr>
  </w:style>
  <w:style w:type="character" w:styleId="755" w:customStyle="1">
    <w:name w:val="Quote Char"/>
    <w:uiPriority w:val="29"/>
    <w:rPr>
      <w:i/>
    </w:rPr>
  </w:style>
  <w:style w:type="character" w:styleId="756" w:customStyle="1">
    <w:name w:val="Intense Quote Char"/>
    <w:uiPriority w:val="30"/>
    <w:rPr>
      <w:i/>
    </w:rPr>
  </w:style>
  <w:style w:type="character" w:styleId="757" w:customStyle="1">
    <w:name w:val="Footnote Text Char"/>
    <w:uiPriority w:val="99"/>
    <w:rPr>
      <w:sz w:val="18"/>
    </w:rPr>
  </w:style>
  <w:style w:type="character" w:styleId="758" w:customStyle="1">
    <w:name w:val="Endnote Text Char"/>
    <w:uiPriority w:val="99"/>
    <w:rPr>
      <w:sz w:val="20"/>
    </w:rPr>
  </w:style>
  <w:style w:type="character" w:styleId="759" w:customStyle="1">
    <w:name w:val="Заголовок 1 Знак"/>
    <w:basedOn w:val="722"/>
    <w:link w:val="713"/>
    <w:uiPriority w:val="9"/>
    <w:rPr>
      <w:rFonts w:ascii="Arial" w:hAnsi="Arial" w:eastAsia="Arial" w:cs="Arial"/>
      <w:sz w:val="40"/>
      <w:szCs w:val="40"/>
    </w:rPr>
  </w:style>
  <w:style w:type="character" w:styleId="760" w:customStyle="1">
    <w:name w:val="Заголовок 2 Знак"/>
    <w:basedOn w:val="722"/>
    <w:link w:val="714"/>
    <w:rPr>
      <w:rFonts w:ascii="Arial" w:hAnsi="Arial" w:eastAsia="Arial" w:cs="Arial"/>
      <w:sz w:val="34"/>
    </w:rPr>
  </w:style>
  <w:style w:type="character" w:styleId="761" w:customStyle="1">
    <w:name w:val="Заголовок 3 Знак"/>
    <w:basedOn w:val="722"/>
    <w:link w:val="715"/>
    <w:rPr>
      <w:rFonts w:ascii="Arial" w:hAnsi="Arial" w:eastAsia="Arial" w:cs="Arial"/>
      <w:sz w:val="30"/>
      <w:szCs w:val="30"/>
    </w:rPr>
  </w:style>
  <w:style w:type="character" w:styleId="762" w:customStyle="1">
    <w:name w:val="Заголовок 4 Знак"/>
    <w:basedOn w:val="722"/>
    <w:link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763" w:customStyle="1">
    <w:name w:val="Заголовок 5 Знак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64" w:customStyle="1">
    <w:name w:val="Заголовок 6 Знак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65" w:customStyle="1">
    <w:name w:val="Заголовок 7 Знак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6" w:customStyle="1">
    <w:name w:val="Заголовок 8 Знак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67" w:customStyle="1">
    <w:name w:val="Заголовок 9 Знак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68">
    <w:name w:val="Title"/>
    <w:basedOn w:val="712"/>
    <w:next w:val="712"/>
    <w:link w:val="76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9" w:customStyle="1">
    <w:name w:val="Название Знак"/>
    <w:basedOn w:val="722"/>
    <w:link w:val="768"/>
    <w:uiPriority w:val="10"/>
    <w:rPr>
      <w:sz w:val="48"/>
      <w:szCs w:val="48"/>
    </w:rPr>
  </w:style>
  <w:style w:type="paragraph" w:styleId="770">
    <w:name w:val="Subtitle"/>
    <w:basedOn w:val="712"/>
    <w:next w:val="712"/>
    <w:link w:val="771"/>
    <w:uiPriority w:val="11"/>
    <w:qFormat/>
    <w:pPr>
      <w:spacing w:before="200" w:after="200"/>
    </w:pPr>
    <w:rPr>
      <w:sz w:val="24"/>
      <w:szCs w:val="24"/>
    </w:rPr>
  </w:style>
  <w:style w:type="character" w:styleId="771" w:customStyle="1">
    <w:name w:val="Подзаголовок Знак"/>
    <w:basedOn w:val="722"/>
    <w:link w:val="770"/>
    <w:uiPriority w:val="11"/>
    <w:rPr>
      <w:sz w:val="24"/>
      <w:szCs w:val="24"/>
    </w:rPr>
  </w:style>
  <w:style w:type="paragraph" w:styleId="772">
    <w:name w:val="Quote"/>
    <w:basedOn w:val="712"/>
    <w:next w:val="712"/>
    <w:link w:val="773"/>
    <w:uiPriority w:val="29"/>
    <w:qFormat/>
    <w:pPr>
      <w:ind w:left="720" w:right="720"/>
    </w:pPr>
    <w:rPr>
      <w:i/>
    </w:rPr>
  </w:style>
  <w:style w:type="character" w:styleId="773" w:customStyle="1">
    <w:name w:val="Цитата 2 Знак"/>
    <w:link w:val="772"/>
    <w:uiPriority w:val="29"/>
    <w:rPr>
      <w:i/>
    </w:rPr>
  </w:style>
  <w:style w:type="paragraph" w:styleId="774">
    <w:name w:val="Intense Quote"/>
    <w:basedOn w:val="712"/>
    <w:next w:val="712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</w:rPr>
  </w:style>
  <w:style w:type="character" w:styleId="776" w:customStyle="1">
    <w:name w:val="Header Char"/>
    <w:basedOn w:val="722"/>
    <w:uiPriority w:val="99"/>
  </w:style>
  <w:style w:type="character" w:styleId="777" w:customStyle="1">
    <w:name w:val="Footer Char"/>
    <w:basedOn w:val="722"/>
    <w:uiPriority w:val="99"/>
  </w:style>
  <w:style w:type="paragraph" w:styleId="778">
    <w:name w:val="Caption"/>
    <w:basedOn w:val="712"/>
    <w:next w:val="712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9" w:customStyle="1">
    <w:name w:val="Caption Char"/>
    <w:uiPriority w:val="99"/>
  </w:style>
  <w:style w:type="table" w:styleId="780" w:customStyle="1">
    <w:name w:val="Table Grid Light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1" w:customStyle="1">
    <w:name w:val="Таблица простая 11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 w:customStyle="1">
    <w:name w:val="Таблица простая 21"/>
    <w:basedOn w:val="72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Таблица простая 3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 w:customStyle="1">
    <w:name w:val="Таблица простая 4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Таблица простая 5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 w:customStyle="1">
    <w:name w:val="Таблица-сетка 1 светлая1"/>
    <w:basedOn w:val="72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1"/>
    <w:basedOn w:val="72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2"/>
    <w:basedOn w:val="72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3"/>
    <w:basedOn w:val="72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4"/>
    <w:basedOn w:val="72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5"/>
    <w:basedOn w:val="72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6"/>
    <w:basedOn w:val="72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Таблица-сетка 21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1"/>
    <w:basedOn w:val="72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5"/>
    <w:basedOn w:val="72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6"/>
    <w:basedOn w:val="72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1"/>
    <w:basedOn w:val="72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5"/>
    <w:basedOn w:val="72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6"/>
    <w:basedOn w:val="72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Таблица-сетка 41"/>
    <w:basedOn w:val="72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 w:customStyle="1">
    <w:name w:val="Grid Table 4 - Accent 1"/>
    <w:basedOn w:val="72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9" w:customStyle="1">
    <w:name w:val="Grid Table 4 - Accent 2"/>
    <w:basedOn w:val="72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Grid Table 4 - Accent 3"/>
    <w:basedOn w:val="72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1" w:customStyle="1">
    <w:name w:val="Grid Table 4 - Accent 4"/>
    <w:basedOn w:val="72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Grid Table 4 - Accent 5"/>
    <w:basedOn w:val="72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3" w:customStyle="1">
    <w:name w:val="Grid Table 4 - Accent 6"/>
    <w:basedOn w:val="72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4" w:customStyle="1">
    <w:name w:val="Таблица-сетка 5 темная1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1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2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3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4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5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6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1" w:customStyle="1">
    <w:name w:val="Таблица-сетка 6 цветная1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2" w:customStyle="1">
    <w:name w:val="Grid Table 6 Colorful - Accent 1"/>
    <w:basedOn w:val="72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3" w:customStyle="1">
    <w:name w:val="Grid Table 6 Colorful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4" w:customStyle="1">
    <w:name w:val="Grid Table 6 Colorful - Accent 3"/>
    <w:basedOn w:val="72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5" w:customStyle="1">
    <w:name w:val="Grid Table 6 Colorful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6" w:customStyle="1">
    <w:name w:val="Grid Table 6 Colorful - Accent 5"/>
    <w:basedOn w:val="72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7" w:customStyle="1">
    <w:name w:val="Grid Table 6 Colorful - Accent 6"/>
    <w:basedOn w:val="72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8" w:customStyle="1">
    <w:name w:val="Таблица-сетка 7 цветная1"/>
    <w:basedOn w:val="72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1"/>
    <w:basedOn w:val="72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5"/>
    <w:basedOn w:val="72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6"/>
    <w:basedOn w:val="72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Список-таблица 1 светлая1"/>
    <w:basedOn w:val="72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1"/>
    <w:basedOn w:val="72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2"/>
    <w:basedOn w:val="72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3"/>
    <w:basedOn w:val="72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4"/>
    <w:basedOn w:val="72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5"/>
    <w:basedOn w:val="72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6"/>
    <w:basedOn w:val="72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Список-таблица 21"/>
    <w:basedOn w:val="72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1"/>
    <w:basedOn w:val="72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2"/>
    <w:basedOn w:val="72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3"/>
    <w:basedOn w:val="72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4"/>
    <w:basedOn w:val="72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5"/>
    <w:basedOn w:val="72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6"/>
    <w:basedOn w:val="72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9" w:customStyle="1">
    <w:name w:val="Список-таблица 31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1"/>
    <w:basedOn w:val="72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Список-таблица 41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1"/>
    <w:basedOn w:val="72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2"/>
    <w:basedOn w:val="72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3"/>
    <w:basedOn w:val="72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4"/>
    <w:basedOn w:val="72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5"/>
    <w:basedOn w:val="72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6"/>
    <w:basedOn w:val="72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Список-таблица 5 темная1"/>
    <w:basedOn w:val="72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1"/>
    <w:basedOn w:val="72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Список-таблица 6 цветная1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1" w:customStyle="1">
    <w:name w:val="List Table 6 Colorful - Accent 1"/>
    <w:basedOn w:val="72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2" w:customStyle="1">
    <w:name w:val="List Table 6 Colorful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3" w:customStyle="1">
    <w:name w:val="List Table 6 Colorful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4" w:customStyle="1">
    <w:name w:val="List Table 6 Colorful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5" w:customStyle="1">
    <w:name w:val="List Table 6 Colorful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6" w:customStyle="1">
    <w:name w:val="List Table 6 Colorful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7" w:customStyle="1">
    <w:name w:val="Список-таблица 7 цветная1"/>
    <w:basedOn w:val="72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1"/>
    <w:basedOn w:val="72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2"/>
    <w:basedOn w:val="72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3"/>
    <w:basedOn w:val="72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4"/>
    <w:basedOn w:val="72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5"/>
    <w:basedOn w:val="72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6"/>
    <w:basedOn w:val="72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ned - Accent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Lined - Accent 1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Lined - Accent 2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Lined - Accent 3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Lined - Accent 4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Lined - Accent 5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Lined - Accent 6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 &amp; Lined - Accent"/>
    <w:basedOn w:val="72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Bordered &amp; Lined - Accent 1"/>
    <w:basedOn w:val="72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3" w:customStyle="1">
    <w:name w:val="Bordered &amp; Lined - Accent 2"/>
    <w:basedOn w:val="72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4" w:customStyle="1">
    <w:name w:val="Bordered &amp; Lined - Accent 3"/>
    <w:basedOn w:val="72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5" w:customStyle="1">
    <w:name w:val="Bordered &amp; Lined - Accent 4"/>
    <w:basedOn w:val="72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6" w:customStyle="1">
    <w:name w:val="Bordered &amp; Lined - Accent 5"/>
    <w:basedOn w:val="72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7" w:customStyle="1">
    <w:name w:val="Bordered &amp; Lined - Accent 6"/>
    <w:basedOn w:val="72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8" w:customStyle="1">
    <w:name w:val="Bordered"/>
    <w:basedOn w:val="72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9" w:customStyle="1">
    <w:name w:val="Bordered - Accent 1"/>
    <w:basedOn w:val="72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0" w:customStyle="1">
    <w:name w:val="Bordered - Accent 2"/>
    <w:basedOn w:val="72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1" w:customStyle="1">
    <w:name w:val="Bordered - Accent 3"/>
    <w:basedOn w:val="72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2" w:customStyle="1">
    <w:name w:val="Bordered - Accent 4"/>
    <w:basedOn w:val="72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3" w:customStyle="1">
    <w:name w:val="Bordered - Accent 5"/>
    <w:basedOn w:val="72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4" w:customStyle="1">
    <w:name w:val="Bordered - Accent 6"/>
    <w:basedOn w:val="72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5">
    <w:name w:val="Hyperlink"/>
    <w:unhideWhenUsed/>
    <w:rPr>
      <w:color w:val="0000ff" w:themeColor="hyperlink"/>
      <w:u w:val="single"/>
    </w:rPr>
  </w:style>
  <w:style w:type="paragraph" w:styleId="906">
    <w:name w:val="footnote text"/>
    <w:basedOn w:val="712"/>
    <w:link w:val="907"/>
    <w:uiPriority w:val="99"/>
    <w:semiHidden/>
    <w:unhideWhenUsed/>
    <w:pPr>
      <w:spacing w:after="40"/>
    </w:pPr>
    <w:rPr>
      <w:sz w:val="18"/>
    </w:rPr>
  </w:style>
  <w:style w:type="character" w:styleId="907" w:customStyle="1">
    <w:name w:val="Текст сноски Знак"/>
    <w:link w:val="906"/>
    <w:uiPriority w:val="99"/>
    <w:rPr>
      <w:sz w:val="18"/>
    </w:rPr>
  </w:style>
  <w:style w:type="character" w:styleId="908">
    <w:name w:val="footnote reference"/>
    <w:basedOn w:val="722"/>
    <w:uiPriority w:val="99"/>
    <w:unhideWhenUsed/>
    <w:rPr>
      <w:vertAlign w:val="superscript"/>
    </w:rPr>
  </w:style>
  <w:style w:type="paragraph" w:styleId="909">
    <w:name w:val="endnote text"/>
    <w:basedOn w:val="712"/>
    <w:link w:val="910"/>
    <w:uiPriority w:val="99"/>
    <w:semiHidden/>
    <w:unhideWhenUsed/>
  </w:style>
  <w:style w:type="character" w:styleId="910" w:customStyle="1">
    <w:name w:val="Текст концевой сноски Знак"/>
    <w:link w:val="909"/>
    <w:uiPriority w:val="99"/>
    <w:rPr>
      <w:sz w:val="20"/>
    </w:rPr>
  </w:style>
  <w:style w:type="character" w:styleId="911">
    <w:name w:val="endnote reference"/>
    <w:basedOn w:val="722"/>
    <w:uiPriority w:val="99"/>
    <w:semiHidden/>
    <w:unhideWhenUsed/>
    <w:rPr>
      <w:vertAlign w:val="superscript"/>
    </w:rPr>
  </w:style>
  <w:style w:type="paragraph" w:styleId="912">
    <w:name w:val="toc 1"/>
    <w:basedOn w:val="712"/>
    <w:next w:val="712"/>
    <w:uiPriority w:val="39"/>
    <w:unhideWhenUsed/>
    <w:pPr>
      <w:spacing w:after="57"/>
    </w:pPr>
  </w:style>
  <w:style w:type="paragraph" w:styleId="913">
    <w:name w:val="toc 2"/>
    <w:basedOn w:val="712"/>
    <w:next w:val="712"/>
    <w:uiPriority w:val="39"/>
    <w:unhideWhenUsed/>
    <w:pPr>
      <w:ind w:left="283"/>
      <w:spacing w:after="57"/>
    </w:pPr>
  </w:style>
  <w:style w:type="paragraph" w:styleId="914">
    <w:name w:val="toc 3"/>
    <w:basedOn w:val="712"/>
    <w:next w:val="712"/>
    <w:uiPriority w:val="39"/>
    <w:unhideWhenUsed/>
    <w:pPr>
      <w:ind w:left="567"/>
      <w:spacing w:after="57"/>
    </w:pPr>
  </w:style>
  <w:style w:type="paragraph" w:styleId="915">
    <w:name w:val="toc 4"/>
    <w:basedOn w:val="712"/>
    <w:next w:val="712"/>
    <w:uiPriority w:val="39"/>
    <w:unhideWhenUsed/>
    <w:pPr>
      <w:ind w:left="850"/>
      <w:spacing w:after="57"/>
    </w:pPr>
  </w:style>
  <w:style w:type="paragraph" w:styleId="916">
    <w:name w:val="toc 5"/>
    <w:basedOn w:val="712"/>
    <w:next w:val="712"/>
    <w:uiPriority w:val="39"/>
    <w:unhideWhenUsed/>
    <w:pPr>
      <w:ind w:left="1134"/>
      <w:spacing w:after="57"/>
    </w:pPr>
  </w:style>
  <w:style w:type="paragraph" w:styleId="917">
    <w:name w:val="toc 6"/>
    <w:basedOn w:val="712"/>
    <w:next w:val="712"/>
    <w:uiPriority w:val="39"/>
    <w:unhideWhenUsed/>
    <w:pPr>
      <w:ind w:left="1417"/>
      <w:spacing w:after="57"/>
    </w:pPr>
  </w:style>
  <w:style w:type="paragraph" w:styleId="918">
    <w:name w:val="toc 7"/>
    <w:basedOn w:val="712"/>
    <w:next w:val="712"/>
    <w:uiPriority w:val="39"/>
    <w:unhideWhenUsed/>
    <w:pPr>
      <w:ind w:left="1701"/>
      <w:spacing w:after="57"/>
    </w:pPr>
  </w:style>
  <w:style w:type="paragraph" w:styleId="919">
    <w:name w:val="toc 8"/>
    <w:basedOn w:val="712"/>
    <w:next w:val="712"/>
    <w:uiPriority w:val="39"/>
    <w:unhideWhenUsed/>
    <w:pPr>
      <w:ind w:left="1984"/>
      <w:spacing w:after="57"/>
    </w:pPr>
  </w:style>
  <w:style w:type="paragraph" w:styleId="920">
    <w:name w:val="toc 9"/>
    <w:basedOn w:val="712"/>
    <w:next w:val="712"/>
    <w:uiPriority w:val="39"/>
    <w:unhideWhenUsed/>
    <w:pPr>
      <w:ind w:left="2268"/>
      <w:spacing w:after="57"/>
    </w:pPr>
  </w:style>
  <w:style w:type="paragraph" w:styleId="921">
    <w:name w:val="TOC Heading"/>
    <w:uiPriority w:val="39"/>
    <w:unhideWhenUsed/>
  </w:style>
  <w:style w:type="paragraph" w:styleId="922">
    <w:name w:val="table of figures"/>
    <w:basedOn w:val="712"/>
    <w:next w:val="712"/>
    <w:uiPriority w:val="99"/>
    <w:unhideWhenUsed/>
  </w:style>
  <w:style w:type="paragraph" w:styleId="923">
    <w:name w:val="Normal (Web)"/>
    <w:basedOn w:val="712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24" w:customStyle="1">
    <w:name w:val="Абзац списка1"/>
    <w:basedOn w:val="71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25">
    <w:name w:val="Balloon Text"/>
    <w:basedOn w:val="712"/>
    <w:link w:val="926"/>
    <w:rPr>
      <w:rFonts w:ascii="Calibri" w:hAnsi="Calibri"/>
      <w:sz w:val="16"/>
      <w:szCs w:val="16"/>
    </w:rPr>
  </w:style>
  <w:style w:type="character" w:styleId="926" w:customStyle="1">
    <w:name w:val="Текст выноски Знак"/>
    <w:link w:val="925"/>
    <w:rPr>
      <w:rFonts w:ascii="Calibri" w:hAnsi="Calibri" w:eastAsia="Calibri"/>
      <w:sz w:val="16"/>
      <w:szCs w:val="16"/>
    </w:rPr>
  </w:style>
  <w:style w:type="paragraph" w:styleId="927">
    <w:name w:val="Header"/>
    <w:basedOn w:val="712"/>
    <w:link w:val="928"/>
    <w:uiPriority w:val="99"/>
    <w:pPr>
      <w:tabs>
        <w:tab w:val="center" w:pos="4677" w:leader="none"/>
        <w:tab w:val="right" w:pos="9355" w:leader="none"/>
      </w:tabs>
    </w:pPr>
  </w:style>
  <w:style w:type="character" w:styleId="928" w:customStyle="1">
    <w:name w:val="Верхний колонтитул Знак"/>
    <w:link w:val="927"/>
    <w:uiPriority w:val="99"/>
    <w:rPr>
      <w:rFonts w:eastAsia="Calibri"/>
    </w:rPr>
  </w:style>
  <w:style w:type="paragraph" w:styleId="929">
    <w:name w:val="Footer"/>
    <w:basedOn w:val="712"/>
    <w:link w:val="930"/>
    <w:uiPriority w:val="99"/>
    <w:pPr>
      <w:tabs>
        <w:tab w:val="center" w:pos="4677" w:leader="none"/>
        <w:tab w:val="right" w:pos="9355" w:leader="none"/>
      </w:tabs>
    </w:pPr>
  </w:style>
  <w:style w:type="character" w:styleId="930" w:customStyle="1">
    <w:name w:val="Нижний колонтитул Знак"/>
    <w:link w:val="929"/>
    <w:uiPriority w:val="99"/>
    <w:rPr>
      <w:rFonts w:eastAsia="Calibri"/>
    </w:rPr>
  </w:style>
  <w:style w:type="table" w:styleId="931">
    <w:name w:val="Table Grid"/>
    <w:basedOn w:val="723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2">
    <w:name w:val="List Paragraph"/>
    <w:basedOn w:val="712"/>
    <w:qFormat/>
    <w:pPr>
      <w:contextualSpacing/>
      <w:ind w:left="720"/>
    </w:pPr>
  </w:style>
  <w:style w:type="paragraph" w:styleId="933" w:customStyle="1">
    <w:name w:val="Знак Знак2"/>
    <w:basedOn w:val="71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34">
    <w:name w:val="Body Text 2"/>
    <w:basedOn w:val="712"/>
    <w:link w:val="935"/>
    <w:pPr>
      <w:spacing w:after="120" w:line="480" w:lineRule="auto"/>
    </w:pPr>
  </w:style>
  <w:style w:type="character" w:styleId="935" w:customStyle="1">
    <w:name w:val="Основной текст 2 Знак"/>
    <w:basedOn w:val="722"/>
    <w:link w:val="934"/>
    <w:rPr>
      <w:rFonts w:eastAsia="Calibri"/>
    </w:rPr>
  </w:style>
  <w:style w:type="table" w:styleId="936" w:customStyle="1">
    <w:name w:val="Сетка таблицы1"/>
    <w:basedOn w:val="723"/>
    <w:next w:val="93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7">
    <w:name w:val="No Spacing"/>
    <w:uiPriority w:val="99"/>
    <w:qFormat/>
    <w:rPr>
      <w:rFonts w:ascii="Calibri" w:hAnsi="Calibri" w:eastAsia="Calibri"/>
      <w:sz w:val="22"/>
      <w:szCs w:val="22"/>
      <w:lang w:eastAsia="en-US"/>
    </w:rPr>
  </w:style>
  <w:style w:type="table" w:styleId="938" w:customStyle="1">
    <w:name w:val="Сетка таблицы2"/>
    <w:basedOn w:val="723"/>
    <w:next w:val="931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40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41" w:customStyle="1">
    <w:name w:val="ConsPlusTitle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42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43" w:customStyle="1">
    <w:name w:val="МОН Знак"/>
    <w:link w:val="944"/>
    <w:rPr>
      <w:sz w:val="24"/>
      <w:szCs w:val="24"/>
    </w:rPr>
  </w:style>
  <w:style w:type="paragraph" w:styleId="944" w:customStyle="1">
    <w:name w:val="МОН"/>
    <w:basedOn w:val="712"/>
    <w:link w:val="943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45">
    <w:name w:val="Strong"/>
    <w:qFormat/>
    <w:rPr>
      <w:b/>
      <w:bCs/>
    </w:rPr>
  </w:style>
  <w:style w:type="character" w:styleId="946" w:customStyle="1">
    <w:name w:val="Основной текст_"/>
    <w:link w:val="947"/>
    <w:rPr>
      <w:spacing w:val="-1"/>
      <w:sz w:val="26"/>
      <w:szCs w:val="26"/>
      <w:shd w:val="clear" w:color="auto" w:fill="ffffff"/>
    </w:rPr>
  </w:style>
  <w:style w:type="paragraph" w:styleId="947" w:customStyle="1">
    <w:name w:val="Основной текст2"/>
    <w:basedOn w:val="712"/>
    <w:link w:val="946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4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49" w:customStyle="1">
    <w:name w:val="32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51">
    <w:name w:val="Body Text Indent"/>
    <w:basedOn w:val="712"/>
    <w:link w:val="952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52" w:customStyle="1">
    <w:name w:val="Основной текст с отступом Знак"/>
    <w:basedOn w:val="722"/>
    <w:link w:val="951"/>
    <w:rPr>
      <w:sz w:val="24"/>
      <w:szCs w:val="24"/>
      <w:lang w:eastAsia="en-US"/>
    </w:rPr>
  </w:style>
  <w:style w:type="character" w:styleId="953">
    <w:name w:val="Emphasis"/>
    <w:qFormat/>
    <w:rPr>
      <w:i/>
      <w:iCs/>
    </w:rPr>
  </w:style>
  <w:style w:type="paragraph" w:styleId="954" w:customStyle="1">
    <w:name w:val="Содержимое таблицы"/>
    <w:basedOn w:val="712"/>
    <w:pPr>
      <w:widowControl w:val="off"/>
      <w:suppressLineNumbers/>
    </w:pPr>
    <w:rPr>
      <w:sz w:val="24"/>
      <w:szCs w:val="24"/>
      <w:lang w:eastAsia="ar-SA"/>
    </w:rPr>
  </w:style>
  <w:style w:type="paragraph" w:styleId="955" w:customStyle="1">
    <w:name w:val="consplusnormal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6" w:customStyle="1">
    <w:name w:val="a2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7" w:customStyle="1">
    <w:name w:val="15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8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h1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0" w:customStyle="1">
    <w:name w:val="msonospacing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1" w:customStyle="1">
    <w:name w:val="ac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2">
    <w:name w:val="Body Text 3"/>
    <w:basedOn w:val="712"/>
    <w:link w:val="96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63" w:customStyle="1">
    <w:name w:val="Основной текст 3 Знак"/>
    <w:basedOn w:val="722"/>
    <w:link w:val="962"/>
    <w:rPr>
      <w:sz w:val="24"/>
      <w:szCs w:val="24"/>
    </w:rPr>
  </w:style>
  <w:style w:type="paragraph" w:styleId="964">
    <w:name w:val="HTML Bottom of Form"/>
    <w:basedOn w:val="712"/>
    <w:next w:val="712"/>
    <w:link w:val="965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965" w:customStyle="1">
    <w:name w:val="z-Конец формы Знак"/>
    <w:basedOn w:val="722"/>
    <w:link w:val="964"/>
    <w:rPr>
      <w:rFonts w:ascii="Arial" w:hAnsi="Arial"/>
      <w:vanish/>
      <w:sz w:val="16"/>
      <w:szCs w:val="16"/>
    </w:rPr>
  </w:style>
  <w:style w:type="paragraph" w:styleId="966" w:customStyle="1">
    <w:name w:val="Style16"/>
    <w:basedOn w:val="712"/>
    <w:pPr>
      <w:widowControl w:val="off"/>
    </w:pPr>
    <w:rPr>
      <w:rFonts w:eastAsia="Times New Roman"/>
      <w:sz w:val="24"/>
      <w:szCs w:val="24"/>
    </w:rPr>
  </w:style>
  <w:style w:type="character" w:styleId="967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8">
    <w:name w:val="Body Text"/>
    <w:basedOn w:val="712"/>
    <w:link w:val="969"/>
    <w:uiPriority w:val="99"/>
    <w:pPr>
      <w:spacing w:after="120"/>
    </w:pPr>
    <w:rPr>
      <w:rFonts w:eastAsia="Times New Roman"/>
      <w:sz w:val="24"/>
      <w:szCs w:val="24"/>
    </w:rPr>
  </w:style>
  <w:style w:type="character" w:styleId="969" w:customStyle="1">
    <w:name w:val="Основной текст Знак"/>
    <w:basedOn w:val="722"/>
    <w:link w:val="968"/>
    <w:uiPriority w:val="99"/>
    <w:rPr>
      <w:sz w:val="24"/>
      <w:szCs w:val="24"/>
    </w:rPr>
  </w:style>
  <w:style w:type="paragraph" w:styleId="970">
    <w:name w:val="Body Text Indent 2"/>
    <w:basedOn w:val="712"/>
    <w:link w:val="971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971" w:customStyle="1">
    <w:name w:val="Основной текст с отступом 2 Знак"/>
    <w:basedOn w:val="722"/>
    <w:link w:val="970"/>
    <w:rPr>
      <w:sz w:val="24"/>
      <w:szCs w:val="24"/>
    </w:rPr>
  </w:style>
  <w:style w:type="character" w:styleId="972" w:customStyle="1">
    <w:name w:val="Заголовок №2_"/>
    <w:link w:val="973"/>
    <w:rPr>
      <w:b/>
      <w:bCs/>
      <w:sz w:val="26"/>
      <w:szCs w:val="26"/>
      <w:shd w:val="clear" w:color="auto" w:fill="ffffff"/>
    </w:rPr>
  </w:style>
  <w:style w:type="paragraph" w:styleId="973" w:customStyle="1">
    <w:name w:val="Заголовок №2"/>
    <w:basedOn w:val="712"/>
    <w:link w:val="97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974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975" w:customStyle="1">
    <w:name w:val="msonormalcxspmiddle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976" w:customStyle="1">
    <w:name w:val="Нет списка1"/>
    <w:next w:val="724"/>
    <w:semiHidden/>
    <w:unhideWhenUsed/>
  </w:style>
  <w:style w:type="paragraph" w:styleId="977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978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979" w:customStyle="1">
    <w:name w:val="Обычный (веб)18"/>
    <w:basedOn w:val="712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980" w:customStyle="1">
    <w:name w:val="Знак Знак2 Знак Знак Знак Знак Знак Знак"/>
    <w:basedOn w:val="71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81">
    <w:name w:val="Body Text Indent 3"/>
    <w:basedOn w:val="712"/>
    <w:link w:val="982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982" w:customStyle="1">
    <w:name w:val="Основной текст с отступом 3 Знак"/>
    <w:basedOn w:val="722"/>
    <w:link w:val="981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983" w:customStyle="1">
    <w:name w:val="1"/>
    <w:basedOn w:val="71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84" w:customStyle="1">
    <w:name w:val="blk"/>
  </w:style>
  <w:style w:type="character" w:styleId="985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6" w:customStyle="1">
    <w:name w:val="Знак Знак2 Знак Знак Знак Знак Знак Знак Знак Знак Знак Знак Знак Знак Знак Знак Знак Знак"/>
    <w:basedOn w:val="71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87" w:customStyle="1">
    <w:name w:val="Прижатый влево"/>
    <w:basedOn w:val="712"/>
    <w:next w:val="712"/>
    <w:uiPriority w:val="99"/>
    <w:rPr>
      <w:rFonts w:ascii="Arial" w:hAnsi="Arial" w:eastAsia="Times New Roman" w:cs="Arial"/>
      <w:sz w:val="24"/>
      <w:szCs w:val="24"/>
    </w:rPr>
  </w:style>
  <w:style w:type="paragraph" w:styleId="988" w:customStyle="1">
    <w:name w:val="Стиль 13 пт По ширине"/>
    <w:basedOn w:val="712"/>
    <w:pPr>
      <w:jc w:val="both"/>
    </w:pPr>
    <w:rPr>
      <w:rFonts w:eastAsia="Times New Roman"/>
      <w:sz w:val="26"/>
    </w:rPr>
  </w:style>
  <w:style w:type="character" w:styleId="989" w:customStyle="1">
    <w:name w:val="Font Style65"/>
    <w:uiPriority w:val="99"/>
    <w:rPr>
      <w:rFonts w:ascii="Times New Roman" w:hAnsi="Times New Roman"/>
      <w:sz w:val="22"/>
    </w:rPr>
  </w:style>
  <w:style w:type="paragraph" w:styleId="990" w:customStyle="1">
    <w:name w:val="Style20"/>
    <w:basedOn w:val="712"/>
    <w:uiPriority w:val="99"/>
    <w:pPr>
      <w:widowControl w:val="off"/>
    </w:pPr>
    <w:rPr>
      <w:rFonts w:eastAsia="Times New Roman"/>
      <w:sz w:val="24"/>
      <w:szCs w:val="24"/>
    </w:rPr>
  </w:style>
  <w:style w:type="character" w:styleId="991">
    <w:name w:val="FollowedHyperlink"/>
    <w:basedOn w:val="722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93625&amp;dst=100009&amp;field=134&amp;date=02.10.2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7CDD35-C64E-47B8-A572-817A0368A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43</cp:revision>
  <dcterms:created xsi:type="dcterms:W3CDTF">2025-10-24T09:15:00Z</dcterms:created>
  <dcterms:modified xsi:type="dcterms:W3CDTF">2026-07-20T12:49:26Z</dcterms:modified>
</cp:coreProperties>
</file>