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25.06.2026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№ 1170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«Транспортная система» на 2026 - 2028 годы, утвержденную постановлением администрации Печенгского муниципального округа от 12.11.2025 № 1847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Руководствуясь статьей 179 Бюдже</w:t>
      </w:r>
      <w:r>
        <w:rPr>
          <w:rFonts w:eastAsia="Calibri"/>
          <w:lang w:eastAsia="en-US"/>
        </w:rPr>
        <w:t xml:space="preserve">т</w:t>
      </w:r>
      <w:r>
        <w:rPr>
          <w:rFonts w:eastAsia="Calibri"/>
          <w:lang w:eastAsia="en-US"/>
        </w:rPr>
        <w:t xml:space="preserve">ного кодекса Российской Федерации, </w:t>
        <w:br/>
        <w:t xml:space="preserve">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eastAsia="Calibri"/>
          <w:lang w:eastAsia="en-US"/>
        </w:rPr>
        <w:br/>
        <w:t xml:space="preserve">№ 1488, в целях </w:t>
      </w:r>
      <w: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Внести в</w:t>
      </w:r>
      <w:r>
        <w:t xml:space="preserve"> Муниципальную программу Печенгского муниципального округа «Транспортная система» на 2026 - 2028 годы, утвержденную постановлением администрации Печенгского муниципального округа от 12.11.2025 № 1847</w:t>
      </w:r>
      <w:r>
        <w:t xml:space="preserve"> (в редакции постановления администрации Печенгского муниципального округа от </w:t>
      </w:r>
      <w:r>
        <w:t xml:space="preserve">08.06.2026</w:t>
      </w:r>
      <w:r>
        <w:t xml:space="preserve"> № </w:t>
      </w:r>
      <w:r>
        <w:t xml:space="preserve">1038</w:t>
      </w:r>
      <w:r>
        <w:t xml:space="preserve">) (далее – Программа)</w:t>
      </w:r>
      <w:r>
        <w:t xml:space="preserve"> </w:t>
      </w:r>
      <w:r>
        <w:t xml:space="preserve">следующие изменения:</w:t>
      </w:r>
      <w:r/>
    </w:p>
    <w:p>
      <w:pPr>
        <w:ind w:firstLine="709"/>
        <w:jc w:val="both"/>
      </w:pPr>
      <w:r>
        <w:t xml:space="preserve">- строку «Финансовое обеспечение программы» в паспорте Программы изложить в следующей редакции:</w:t>
      </w:r>
      <w:r/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pStyle w:val="886"/>
            </w:pPr>
            <w:r>
              <w:rPr>
                <w:szCs w:val="24"/>
              </w:rPr>
              <w:t xml:space="preserve">«Финансовое обеспечение 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Всего по программе: </w:t>
            </w:r>
            <w:r>
              <w:rPr>
                <w:b/>
              </w:rPr>
              <w:t xml:space="preserve">656 607 665,03</w:t>
            </w:r>
            <w:r>
              <w:t xml:space="preserve"> </w:t>
            </w:r>
            <w:r>
              <w:rPr>
                <w:b/>
              </w:rPr>
              <w:t xml:space="preserve">рублей,</w:t>
            </w:r>
            <w:r>
              <w:t xml:space="preserve"> в том числе:</w:t>
            </w:r>
            <w:r/>
          </w:p>
          <w:p>
            <w:pPr>
              <w:jc w:val="both"/>
              <w:widowControl w:val="off"/>
            </w:pPr>
            <w:r>
              <w:t xml:space="preserve">МБ: 435 201 877,00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133 013 337,70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151 094 269,65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151 094 269,65 рублей;</w:t>
            </w:r>
            <w:r/>
          </w:p>
          <w:p>
            <w:pPr>
              <w:jc w:val="both"/>
              <w:widowControl w:val="off"/>
            </w:pPr>
            <w:r>
              <w:t xml:space="preserve">ОБ: 200 050 106,30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83 042 592,76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58 503 756,77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58 503 756,77 рублей;</w:t>
            </w:r>
            <w:r/>
          </w:p>
          <w:p>
            <w:pPr>
              <w:jc w:val="both"/>
              <w:widowControl w:val="off"/>
            </w:pPr>
            <w:r>
              <w:t xml:space="preserve">ФБ: 21 355 671,73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21 355 671,73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0,00 рублей;</w:t>
            </w:r>
            <w:r/>
          </w:p>
          <w:p>
            <w:pPr>
              <w:jc w:val="both"/>
              <w:widowControl w:val="off"/>
            </w:pPr>
            <w:r>
              <w:t xml:space="preserve">ВБС: 0,00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pStyle w:val="886"/>
              <w:rPr>
                <w:highlight w:val="cyan"/>
              </w:rPr>
            </w:pPr>
            <w:r>
              <w:rPr>
                <w:szCs w:val="24"/>
              </w:rPr>
              <w:t xml:space="preserve">2028 год: 0,00 рублей.»;</w:t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</w:t>
      </w:r>
      <w:r>
        <w:t xml:space="preserve"> таблиц</w:t>
      </w:r>
      <w:r>
        <w:t xml:space="preserve">у</w:t>
      </w:r>
      <w:r>
        <w:t xml:space="preserve"> 2 «Перечень показателей муниципальной программы» Программы </w:t>
      </w:r>
      <w:r>
        <w:t xml:space="preserve">дополнить строкой 0.10 следующего содержания:</w:t>
      </w:r>
      <w:r/>
    </w:p>
    <w:tbl>
      <w:tblPr>
        <w:tblW w:w="9561" w:type="dxa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194"/>
        <w:gridCol w:w="634"/>
        <w:gridCol w:w="725"/>
        <w:gridCol w:w="725"/>
        <w:gridCol w:w="725"/>
        <w:gridCol w:w="634"/>
        <w:gridCol w:w="666"/>
        <w:gridCol w:w="700"/>
        <w:gridCol w:w="991"/>
      </w:tblGrid>
      <w:tr>
        <w:tblPrEx/>
        <w:trPr>
          <w:trHeight w:val="1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«0.10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94" w:type="dxa"/>
            <w:textDirection w:val="lrTb"/>
            <w:noWrap w:val="false"/>
          </w:tcPr>
          <w:p>
            <w:pPr>
              <w:pStyle w:val="893"/>
              <w:jc w:val="both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п</w:t>
            </w:r>
            <w:r>
              <w:rPr>
                <w:sz w:val="22"/>
                <w:szCs w:val="22"/>
                <w:lang w:eastAsia="en-US"/>
              </w:rPr>
              <w:t xml:space="preserve">риобретен</w:t>
            </w:r>
            <w:r>
              <w:rPr>
                <w:sz w:val="22"/>
                <w:szCs w:val="22"/>
                <w:lang w:eastAsia="en-US"/>
              </w:rPr>
              <w:t xml:space="preserve">ной</w:t>
            </w:r>
            <w:r>
              <w:rPr>
                <w:sz w:val="22"/>
                <w:szCs w:val="22"/>
                <w:lang w:eastAsia="en-US"/>
              </w:rPr>
              <w:t xml:space="preserve"> коммунальной техники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0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1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МБУ «РЭС»»;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 таблицу 3 «Перечень структурных элементов муниципальной программы» и таблицу 5</w:t>
      </w:r>
      <w:r>
        <w:t xml:space="preserve"> «Сведения об объемах финансирования муниципальной программы» Программ</w:t>
      </w:r>
      <w:r>
        <w:t xml:space="preserve">ы</w:t>
      </w:r>
      <w:r>
        <w:t xml:space="preserve"> изложить </w:t>
        <w:br/>
        <w:t xml:space="preserve">в редакции согласно приложению к настоящему </w:t>
      </w:r>
      <w:r>
        <w:t xml:space="preserve">постановлению;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 таблицу 8 «Сведения об источниках и методике расчета значений показателей муниципальной программы» Программы дополнить строкой 0.10 следующего содержания:</w:t>
      </w:r>
      <w:r/>
    </w:p>
    <w:tbl>
      <w:tblPr>
        <w:tblW w:w="963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268"/>
        <w:gridCol w:w="993"/>
        <w:gridCol w:w="708"/>
        <w:gridCol w:w="567"/>
        <w:gridCol w:w="1560"/>
        <w:gridCol w:w="1842"/>
        <w:gridCol w:w="113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«0.10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93"/>
              <w:jc w:val="both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Количество п</w:t>
            </w:r>
            <w:r>
              <w:rPr>
                <w:sz w:val="20"/>
                <w:szCs w:val="20"/>
                <w:lang w:eastAsia="en-US"/>
              </w:rPr>
              <w:t xml:space="preserve">риобретен</w:t>
            </w:r>
            <w:r>
              <w:rPr>
                <w:sz w:val="20"/>
                <w:szCs w:val="20"/>
                <w:lang w:eastAsia="en-US"/>
              </w:rPr>
              <w:t xml:space="preserve">ной</w:t>
            </w:r>
            <w:r>
              <w:rPr>
                <w:sz w:val="20"/>
                <w:szCs w:val="20"/>
                <w:lang w:eastAsia="en-US"/>
              </w:rPr>
              <w:t xml:space="preserve"> коммунальной техники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ед</w:t>
            </w:r>
            <w:r>
              <w:rPr>
                <w:sz w:val="20"/>
                <w:szCs w:val="20"/>
                <w:lang w:eastAsia="en-US"/>
              </w:rPr>
              <w:t xml:space="preserve">.,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2026 год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Ведомственные данные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(Отчет соисполнителей)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МБУ «РЭС»».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2. </w:t>
      </w:r>
      <w:r>
        <w:rPr>
          <w:lang w:eastAsia="en-US"/>
        </w:rPr>
        <w:t xml:space="preserve">Настоящее постановление вступает в силу с момента подписания.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lang w:eastAsia="en-US"/>
        </w:rPr>
        <w:t xml:space="preserve">3. Настоящее постановление опубликовать в официальном издании газета «Печенга» </w:t>
        <w:br/>
      </w:r>
      <w:r>
        <w:rPr>
          <w:lang w:eastAsia="en-US"/>
        </w:rPr>
        <w:t xml:space="preserve">и разместить на сайте Печенгского муниципального округа в сети Интернет. </w:t>
      </w:r>
      <w:r>
        <w:rPr>
          <w:lang w:eastAsia="en-US"/>
        </w:rPr>
      </w:r>
      <w:r>
        <w:rPr>
          <w:lang w:eastAsia="en-US"/>
        </w:rPr>
      </w:r>
    </w:p>
    <w:p>
      <w:pPr>
        <w:pStyle w:val="897"/>
        <w:numPr>
          <w:ilvl w:val="0"/>
          <w:numId w:val="6"/>
        </w:num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>
        <w:t xml:space="preserve"> Контроль за исполнением настоящего постановления оставляю за собой.</w:t>
      </w:r>
      <w:r/>
    </w:p>
    <w:p>
      <w:p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/>
      <w:r/>
    </w:p>
    <w:p>
      <w:p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        А.С. 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</w:pPr>
      <w:r>
        <w:rPr>
          <w:sz w:val="20"/>
          <w:szCs w:val="20"/>
        </w:rPr>
        <w:t xml:space="preserve">Веверица В.А., 25263                                  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</w:rPr>
        <w:sectPr>
          <w:footnotePr/>
          <w:endnotePr/>
          <w:type w:val="nextPage"/>
          <w:pgSz w:w="11906" w:h="16838" w:orient="portrait"/>
          <w:pgMar w:top="1135" w:right="567" w:bottom="709" w:left="156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1057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11057"/>
        <w:jc w:val="both"/>
      </w:pPr>
      <w:r>
        <w:t xml:space="preserve">к постановлению администрации </w:t>
      </w:r>
      <w:r/>
    </w:p>
    <w:p>
      <w:pPr>
        <w:ind w:left="11057"/>
        <w:jc w:val="both"/>
      </w:pPr>
      <w:r>
        <w:t xml:space="preserve">Печенгского муниципального округа </w:t>
      </w:r>
      <w:r/>
    </w:p>
    <w:p>
      <w:pPr>
        <w:ind w:left="11057"/>
        <w:jc w:val="both"/>
      </w:pPr>
      <w:r>
        <w:t xml:space="preserve">от 25.06.2026 № 1170 </w:t>
      </w:r>
      <w:r/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3. Перечень структурных элементов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497"/>
        <w:gridCol w:w="1417"/>
        <w:gridCol w:w="1843"/>
        <w:gridCol w:w="694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«Транспортная система»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49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1.</w:t>
            </w:r>
            <w:r>
              <w:rPr>
                <w:sz w:val="22"/>
                <w:szCs w:val="22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946" w:type="dxa"/>
            <w:textDirection w:val="lrTb"/>
            <w:noWrap w:val="false"/>
          </w:tcPr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0.1.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0.2. Протяженность автомобильных дорог общего пользования местного значения, находящихся на содержании.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0.3. 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0.4. Протяженность дорожной разметки на автомобильных дорогах общего пользования местного значения.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0.5. Обеспечение улично-дорожной сети Печенгского муниципального округа дорожными знаками.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0.6. Площадь отремонтированных автомобильных дорог общего пользования местного значения.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 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0.8. Наличие разработанной программы комплексного развития транспортной инфраструктуры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0.9. 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0.10.</w:t>
            </w:r>
            <w:r>
              <w:rPr>
                <w:sz w:val="20"/>
                <w:szCs w:val="20"/>
              </w:rPr>
              <w:t xml:space="preserve"> Количество п</w:t>
            </w:r>
            <w:r>
              <w:rPr>
                <w:sz w:val="20"/>
                <w:szCs w:val="20"/>
              </w:rPr>
              <w:t xml:space="preserve">риобретен</w:t>
            </w:r>
            <w:r>
              <w:rPr>
                <w:sz w:val="20"/>
                <w:szCs w:val="20"/>
              </w:rPr>
              <w:t xml:space="preserve">н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ой</w:t>
            </w:r>
            <w:r>
              <w:rPr>
                <w:sz w:val="20"/>
                <w:szCs w:val="20"/>
              </w:rPr>
              <w:t xml:space="preserve"> коммунальной техники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5. 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276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 «Транспортная система»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56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607 665,03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37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411 612,19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43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5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201 877,00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1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33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013 337,70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200 050 106,30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83 042 592,76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21 355 671,73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21 355 671,73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51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958 265,03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32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762 212,19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</w:t>
            </w:r>
            <w:r>
              <w:rPr>
                <w:color w:val="000000"/>
                <w:sz w:val="20"/>
                <w:szCs w:val="18"/>
              </w:rPr>
              <w:t xml:space="preserve">30</w:t>
            </w:r>
            <w:r>
              <w:rPr>
                <w:color w:val="000000"/>
                <w:sz w:val="20"/>
                <w:szCs w:val="18"/>
              </w:rPr>
              <w:t xml:space="preserve"> 552 477,00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12</w:t>
            </w:r>
            <w:r>
              <w:rPr>
                <w:color w:val="000000"/>
                <w:sz w:val="20"/>
                <w:szCs w:val="18"/>
              </w:rPr>
              <w:t xml:space="preserve">8</w:t>
            </w:r>
            <w:r>
              <w:rPr>
                <w:color w:val="000000"/>
                <w:sz w:val="20"/>
                <w:szCs w:val="18"/>
              </w:rPr>
              <w:t xml:space="preserve"> 363 937,70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</w:t>
            </w:r>
            <w:r>
              <w:rPr>
                <w:sz w:val="20"/>
                <w:szCs w:val="20"/>
              </w:rPr>
              <w:t xml:space="preserve">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</w:t>
            </w:r>
            <w:r>
              <w:rPr>
                <w:sz w:val="20"/>
                <w:szCs w:val="20"/>
              </w:rPr>
              <w:t xml:space="preserve">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Комитет по управлению имуществом администрации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2026-2028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56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607 665,03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37</w:t>
            </w:r>
            <w:r>
              <w:rPr>
                <w:b/>
                <w:bCs/>
                <w:color w:val="000000"/>
                <w:sz w:val="20"/>
                <w:szCs w:val="18"/>
              </w:rPr>
              <w:t xml:space="preserve"> 411 612,19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43</w:t>
            </w:r>
            <w:r>
              <w:rPr>
                <w:color w:val="000000"/>
                <w:sz w:val="20"/>
                <w:szCs w:val="18"/>
              </w:rPr>
              <w:t xml:space="preserve">5</w:t>
            </w:r>
            <w:r>
              <w:rPr>
                <w:color w:val="000000"/>
                <w:sz w:val="20"/>
                <w:szCs w:val="18"/>
              </w:rPr>
              <w:t xml:space="preserve"> 201 877,00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</w:t>
            </w:r>
            <w:r>
              <w:rPr>
                <w:color w:val="000000"/>
                <w:sz w:val="20"/>
                <w:szCs w:val="18"/>
              </w:rPr>
              <w:t xml:space="preserve">33</w:t>
            </w:r>
            <w:r>
              <w:rPr>
                <w:color w:val="000000"/>
                <w:sz w:val="20"/>
                <w:szCs w:val="18"/>
              </w:rPr>
              <w:t xml:space="preserve"> 013 337,70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sectPr>
          <w:footnotePr/>
          <w:endnotePr/>
          <w:type w:val="nextPage"/>
          <w:pgSz w:w="16838" w:h="11906" w:orient="landscape"/>
          <w:pgMar w:top="567" w:right="709" w:bottom="1559" w:left="1134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3"/>
        <w:jc w:val="left"/>
        <w:spacing w:before="168" w:beforeAutospacing="0" w:after="0" w:afterAutospacing="0" w:line="288" w:lineRule="atLeast"/>
      </w:pPr>
      <w:r/>
      <w:r/>
    </w:p>
    <w:sectPr>
      <w:footnotePr/>
      <w:endnotePr/>
      <w:type w:val="nextPage"/>
      <w:pgSz w:w="11906" w:h="16838" w:orient="portrait"/>
      <w:pgMar w:top="1135" w:right="567" w:bottom="709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3">
    <w:name w:val="Heading 1"/>
    <w:basedOn w:val="672"/>
    <w:next w:val="672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8">
    <w:name w:val="Heading 6"/>
    <w:basedOn w:val="672"/>
    <w:next w:val="67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7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Title Char"/>
    <w:basedOn w:val="682"/>
    <w:uiPriority w:val="10"/>
    <w:rPr>
      <w:sz w:val="48"/>
      <w:szCs w:val="48"/>
    </w:rPr>
  </w:style>
  <w:style w:type="character" w:styleId="695" w:customStyle="1">
    <w:name w:val="Subtitle Char"/>
    <w:basedOn w:val="682"/>
    <w:uiPriority w:val="11"/>
    <w:rPr>
      <w:sz w:val="24"/>
      <w:szCs w:val="24"/>
    </w:rPr>
  </w:style>
  <w:style w:type="character" w:styleId="696" w:customStyle="1">
    <w:name w:val="Quote Char"/>
    <w:uiPriority w:val="29"/>
    <w:rPr>
      <w:i/>
    </w:rPr>
  </w:style>
  <w:style w:type="character" w:styleId="697" w:customStyle="1">
    <w:name w:val="Intense Quote Char"/>
    <w:uiPriority w:val="30"/>
    <w:rPr>
      <w:i/>
    </w:rPr>
  </w:style>
  <w:style w:type="character" w:styleId="698" w:customStyle="1">
    <w:name w:val="Caption Char"/>
    <w:uiPriority w:val="99"/>
  </w:style>
  <w:style w:type="table" w:styleId="699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9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0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3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6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7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8" w:customStyle="1">
    <w:name w:val="Footnote Text Char"/>
    <w:uiPriority w:val="99"/>
    <w:rPr>
      <w:sz w:val="18"/>
    </w:rPr>
  </w:style>
  <w:style w:type="character" w:styleId="719" w:customStyle="1">
    <w:name w:val="Endnote Text Char"/>
    <w:uiPriority w:val="99"/>
    <w:rPr>
      <w:sz w:val="20"/>
    </w:rPr>
  </w:style>
  <w:style w:type="character" w:styleId="720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No Spacing"/>
    <w:uiPriority w:val="1"/>
    <w:qFormat/>
    <w:pPr>
      <w:spacing w:after="0" w:line="240" w:lineRule="auto"/>
    </w:pPr>
  </w:style>
  <w:style w:type="paragraph" w:styleId="730">
    <w:name w:val="Title"/>
    <w:basedOn w:val="672"/>
    <w:next w:val="67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682"/>
    <w:link w:val="730"/>
    <w:uiPriority w:val="10"/>
    <w:rPr>
      <w:sz w:val="48"/>
      <w:szCs w:val="48"/>
    </w:rPr>
  </w:style>
  <w:style w:type="paragraph" w:styleId="732">
    <w:name w:val="Subtitle"/>
    <w:basedOn w:val="672"/>
    <w:next w:val="672"/>
    <w:link w:val="733"/>
    <w:uiPriority w:val="11"/>
    <w:qFormat/>
    <w:pPr>
      <w:spacing w:before="200" w:after="200"/>
    </w:pPr>
  </w:style>
  <w:style w:type="character" w:styleId="733" w:customStyle="1">
    <w:name w:val="Подзаголовок Знак"/>
    <w:basedOn w:val="682"/>
    <w:link w:val="732"/>
    <w:uiPriority w:val="11"/>
    <w:rPr>
      <w:sz w:val="24"/>
      <w:szCs w:val="24"/>
    </w:rPr>
  </w:style>
  <w:style w:type="paragraph" w:styleId="734">
    <w:name w:val="Quote"/>
    <w:basedOn w:val="672"/>
    <w:next w:val="672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72"/>
    <w:next w:val="672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character" w:styleId="738" w:customStyle="1">
    <w:name w:val="Header Char"/>
    <w:basedOn w:val="682"/>
    <w:uiPriority w:val="99"/>
  </w:style>
  <w:style w:type="paragraph" w:styleId="739">
    <w:name w:val="Footer"/>
    <w:basedOn w:val="672"/>
    <w:link w:val="74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0" w:customStyle="1">
    <w:name w:val="Footer Char"/>
    <w:basedOn w:val="682"/>
    <w:uiPriority w:val="99"/>
  </w:style>
  <w:style w:type="paragraph" w:styleId="741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Нижний колонтитул Знак"/>
    <w:link w:val="739"/>
    <w:uiPriority w:val="99"/>
  </w:style>
  <w:style w:type="table" w:styleId="743">
    <w:name w:val="Table Grid"/>
    <w:basedOn w:val="68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4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72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682"/>
    <w:uiPriority w:val="99"/>
    <w:unhideWhenUsed/>
    <w:rPr>
      <w:vertAlign w:val="superscript"/>
    </w:rPr>
  </w:style>
  <w:style w:type="paragraph" w:styleId="872">
    <w:name w:val="endnote text"/>
    <w:basedOn w:val="672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682"/>
    <w:uiPriority w:val="99"/>
    <w:semiHidden/>
    <w:unhideWhenUsed/>
    <w:rPr>
      <w:vertAlign w:val="superscript"/>
    </w:rPr>
  </w:style>
  <w:style w:type="paragraph" w:styleId="875">
    <w:name w:val="toc 1"/>
    <w:basedOn w:val="672"/>
    <w:next w:val="672"/>
    <w:uiPriority w:val="39"/>
    <w:unhideWhenUsed/>
    <w:pPr>
      <w:spacing w:after="57"/>
    </w:pPr>
  </w:style>
  <w:style w:type="paragraph" w:styleId="876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77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78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79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80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81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82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83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72"/>
    <w:next w:val="672"/>
    <w:uiPriority w:val="99"/>
    <w:unhideWhenUsed/>
  </w:style>
  <w:style w:type="paragraph" w:styleId="886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7">
    <w:name w:val="Body Text"/>
    <w:basedOn w:val="672"/>
    <w:link w:val="888"/>
    <w:pPr>
      <w:spacing w:after="120"/>
      <w:widowControl w:val="off"/>
    </w:pPr>
    <w:rPr>
      <w:sz w:val="20"/>
      <w:szCs w:val="20"/>
    </w:rPr>
  </w:style>
  <w:style w:type="character" w:styleId="888" w:customStyle="1">
    <w:name w:val="Основной текст Знак"/>
    <w:basedOn w:val="682"/>
    <w:link w:val="88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Header"/>
    <w:basedOn w:val="672"/>
    <w:link w:val="890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0" w:customStyle="1">
    <w:name w:val="Верхний колонтитул Знак"/>
    <w:basedOn w:val="682"/>
    <w:link w:val="889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1">
    <w:name w:val="Hyperlink"/>
    <w:basedOn w:val="682"/>
    <w:uiPriority w:val="99"/>
    <w:unhideWhenUsed/>
    <w:rPr>
      <w:color w:val="0000ff" w:themeColor="hyperlink"/>
      <w:u w:val="single"/>
    </w:rPr>
  </w:style>
  <w:style w:type="paragraph" w:styleId="892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3">
    <w:name w:val="Normal (Web)"/>
    <w:basedOn w:val="672"/>
    <w:uiPriority w:val="99"/>
    <w:unhideWhenUsed/>
    <w:pPr>
      <w:spacing w:before="100" w:beforeAutospacing="1" w:after="100" w:afterAutospacing="1"/>
    </w:pPr>
  </w:style>
  <w:style w:type="paragraph" w:styleId="894">
    <w:name w:val="Balloon Text"/>
    <w:basedOn w:val="672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682"/>
    <w:link w:val="89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6">
    <w:name w:val="Placeholder Text"/>
    <w:basedOn w:val="682"/>
    <w:uiPriority w:val="99"/>
    <w:semiHidden/>
    <w:rPr>
      <w:color w:val="808080"/>
    </w:rPr>
  </w:style>
  <w:style w:type="paragraph" w:styleId="897">
    <w:name w:val="List Paragraph"/>
    <w:basedOn w:val="672"/>
    <w:link w:val="901"/>
    <w:uiPriority w:val="99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8">
    <w:name w:val="Strong"/>
    <w:basedOn w:val="682"/>
    <w:uiPriority w:val="22"/>
    <w:qFormat/>
    <w:rPr>
      <w:b/>
      <w:bCs/>
    </w:rPr>
  </w:style>
  <w:style w:type="paragraph" w:styleId="899">
    <w:name w:val="Body Text Indent 3"/>
    <w:basedOn w:val="672"/>
    <w:link w:val="90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00" w:customStyle="1">
    <w:name w:val="Основной текст с отступом 3 Знак"/>
    <w:basedOn w:val="682"/>
    <w:link w:val="899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01" w:customStyle="1">
    <w:name w:val="Абзац списка Знак"/>
    <w:link w:val="89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E68BE-C6C1-4F6F-98B2-FC5A8AFDC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42</cp:revision>
  <dcterms:created xsi:type="dcterms:W3CDTF">2025-11-12T13:01:00Z</dcterms:created>
  <dcterms:modified xsi:type="dcterms:W3CDTF">2026-07-20T12:50:19Z</dcterms:modified>
</cp:coreProperties>
</file>