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23.07.2026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№ 1408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п.г.т</w:t>
      </w:r>
      <w:r>
        <w:rPr>
          <w:rFonts w:ascii="Times New Roman" w:hAnsi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2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2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2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  <w:t xml:space="preserve">муниципальных учреждений Печенгского муниципального округа в сфере средств </w:t>
      </w:r>
      <w:r>
        <w:rPr>
          <w:b/>
          <w:bCs/>
          <w:sz w:val="20"/>
          <w:szCs w:val="20"/>
        </w:rPr>
        <w:br/>
        <w:t xml:space="preserve">массовой информации, подведомственных администрации Печенгского муниципального округа, утвержденное постановлением администрации Печенгского муниципального округа </w:t>
      </w:r>
      <w:r>
        <w:rPr>
          <w:b/>
          <w:bCs/>
          <w:sz w:val="20"/>
          <w:szCs w:val="20"/>
        </w:rPr>
        <w:br/>
        <w:t xml:space="preserve">от 30.12.2022 № 1882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5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 Постановления Правительства Мурманской области </w:t>
        <w:br/>
        <w:t xml:space="preserve">от 30.05</w:t>
      </w:r>
      <w:r>
        <w:rPr>
          <w:sz w:val="24"/>
          <w:szCs w:val="24"/>
        </w:rPr>
        <w:t xml:space="preserve">.2025 № 382-ПП «Об утверждении П</w:t>
      </w:r>
      <w:r>
        <w:rPr>
          <w:sz w:val="24"/>
          <w:szCs w:val="24"/>
        </w:rPr>
        <w:t xml:space="preserve">оложения о наставничестве в сфере труда </w:t>
        <w:br/>
        <w:t xml:space="preserve">в государственных областных бюджетных, автономных и казенных учреждениях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45"/>
        <w:numPr>
          <w:ilvl w:val="0"/>
          <w:numId w:val="26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учреждений Печенгского муниципального округа в сфере средств массовой информации, утвержденное постановлением администрации Печенгского муниципального округа </w:t>
      </w:r>
      <w:r>
        <w:rPr>
          <w:bCs/>
          <w:iCs/>
          <w:sz w:val="24"/>
          <w:szCs w:val="24"/>
        </w:rPr>
        <w:br/>
        <w:t xml:space="preserve">от 30.12.2022 № 1882 (в редакции постановления администрации Печенгс</w:t>
      </w:r>
      <w:r>
        <w:rPr>
          <w:bCs/>
          <w:iCs/>
          <w:sz w:val="24"/>
          <w:szCs w:val="24"/>
        </w:rPr>
        <w:t xml:space="preserve">кого муниципального округа от 21.01.2026 № 90</w:t>
      </w:r>
      <w:r>
        <w:rPr>
          <w:bCs/>
          <w:iCs/>
          <w:sz w:val="24"/>
          <w:szCs w:val="24"/>
        </w:rPr>
        <w:t xml:space="preserve">) (далее - примерное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745"/>
        <w:ind w:left="709" w:firstLine="0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 2 примерного</w:t>
      </w:r>
      <w:r>
        <w:rPr>
          <w:sz w:val="24"/>
          <w:szCs w:val="24"/>
        </w:rPr>
        <w:t xml:space="preserve"> Положени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изложить в </w:t>
      </w:r>
      <w:r>
        <w:rPr>
          <w:sz w:val="24"/>
          <w:szCs w:val="24"/>
        </w:rPr>
        <w:t xml:space="preserve">следующей редакции: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«Заработная плат</w:t>
      </w:r>
      <w:r>
        <w:rPr>
          <w:rFonts w:ascii="Times New Roman" w:hAnsi="Times New Roman"/>
          <w:sz w:val="24"/>
          <w:szCs w:val="24"/>
        </w:rPr>
        <w:t xml:space="preserve">а работников (включающая все предусмотренные системой оплаты труда виды выплат, применяемые у соответствующего работодателя, независимо от источников этих выплат), отработавших установленную законодательством Российской Федерации месячную норму рабочего вр</w:t>
      </w:r>
      <w:r>
        <w:rPr>
          <w:rFonts w:ascii="Times New Roman" w:hAnsi="Times New Roman"/>
          <w:sz w:val="24"/>
          <w:szCs w:val="24"/>
        </w:rPr>
        <w:t xml:space="preserve">емени, исполнивших свои трудовые обязанности (нормы труда), не может быть ниже минимального размера оплаты труда, установленного федеральным законом на всей территории Российской Федерации, увеличенного на районный коэффициент и процентные надбавки за стаж</w:t>
      </w:r>
      <w:r>
        <w:rPr>
          <w:rFonts w:ascii="Times New Roman" w:hAnsi="Times New Roman"/>
          <w:sz w:val="24"/>
          <w:szCs w:val="24"/>
        </w:rPr>
        <w:t xml:space="preserve"> работы в районах Крайнего Севера и приравненных к ним местностях.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Заработная плата работников состоит </w:t>
      </w:r>
      <w:r>
        <w:rPr>
          <w:rFonts w:ascii="Times New Roman" w:hAnsi="Times New Roman"/>
          <w:sz w:val="24"/>
          <w:szCs w:val="24"/>
        </w:rPr>
        <w:t xml:space="preserve">из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должностного оклада (оклада);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выплат компенсационного характера;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выплат стимулирующего характера;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доплаты до минимального </w:t>
      </w:r>
      <w:r>
        <w:rPr>
          <w:rFonts w:ascii="Times New Roman" w:hAnsi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Положением об оплате труда работникам учреждения может быть предусмотрено установление </w:t>
      </w:r>
      <w:r>
        <w:rPr>
          <w:rFonts w:ascii="Times New Roman" w:hAnsi="Times New Roman" w:eastAsia="Times New Roman"/>
          <w:sz w:val="24"/>
          <w:szCs w:val="24"/>
        </w:rPr>
        <w:t xml:space="preserve">персонального повышающего коэффициента к должностному окладу, чтобы </w:t>
      </w:r>
      <w:r>
        <w:rPr>
          <w:rFonts w:ascii="Times New Roman" w:hAnsi="Times New Roman" w:eastAsia="Times New Roman"/>
          <w:sz w:val="24"/>
          <w:szCs w:val="24"/>
        </w:rPr>
        <w:t xml:space="preserve">подчеркнуть уровень их профессионального мастерства, уникальность умений, важность выполняемой работы, степень самостоятельности и профессиональный стаж </w:t>
        <w:br/>
        <w:t xml:space="preserve">в учреждении.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Применение персональных повышающих к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эффициентов по занимаемой должности не образует нового оклада и не учитывается при начислении иных выплат стимулирующего характера, а также выплат компенсационного характера, </w:t>
        <w:br/>
        <w:t xml:space="preserve">за исключением выплат за работу в местностях с особыми климатическими условиями.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931"/>
        <w:ind w:right="0" w:firstLine="708"/>
      </w:pPr>
      <w:r>
        <w:t xml:space="preserve">Рекомендуемый размер персонального повышающего коэффициента - до 3,0.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Положением об оплате труда работникам учреждения устан</w:t>
      </w:r>
      <w:r>
        <w:rPr>
          <w:rFonts w:ascii="Times New Roman" w:hAnsi="Times New Roman"/>
          <w:sz w:val="24"/>
          <w:szCs w:val="24"/>
        </w:rPr>
        <w:t xml:space="preserve">авливаются</w:t>
      </w:r>
      <w:r>
        <w:rPr>
          <w:rFonts w:ascii="Times New Roman" w:hAnsi="Times New Roman"/>
          <w:sz w:val="24"/>
          <w:szCs w:val="24"/>
        </w:rPr>
        <w:t xml:space="preserve"> выплаты</w:t>
      </w:r>
      <w:r>
        <w:rPr>
          <w:rFonts w:ascii="Times New Roman" w:hAnsi="Times New Roman"/>
          <w:sz w:val="24"/>
          <w:szCs w:val="24"/>
        </w:rPr>
        <w:t xml:space="preserve"> компенсационного характера в соответствии с Трудовым кодексом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за работу в выходные и нерабочие праздничные дни, а также за работу </w:t>
        <w:br/>
        <w:t xml:space="preserve">в ночное время производится в соответствии с Трудовым кодексом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Выплаты стимулирующего характера устанавливаются работникам в целях повышения мотивации к качественному труду и поощрения за высокие результаты его труда с учетом разрабатываемых в учреждениях показателей и критериев </w:t>
      </w:r>
      <w:r>
        <w:rPr>
          <w:rFonts w:ascii="Times New Roman" w:hAnsi="Times New Roman"/>
          <w:sz w:val="24"/>
          <w:szCs w:val="24"/>
        </w:rPr>
        <w:t xml:space="preserve">оценки эффективности труда работников этих учреждений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1"/>
        <w:ind w:right="0" w:firstLine="708"/>
      </w:pPr>
      <w:r>
        <w:t xml:space="preserve">Стимулирующая надбавка </w:t>
      </w:r>
      <w:r>
        <w:rPr>
          <w:color w:val="000000"/>
        </w:rPr>
        <w:t xml:space="preserve">за сложность, напряженность (интенсивность), высокие результаты работы</w:t>
      </w:r>
      <w:r>
        <w:t xml:space="preserve"> устанавливается в процентном отношении к должностному окладу. Рекомендуемый размер надбавки за сложность, напряженность – до 250%.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</w:t>
      </w:r>
      <w:r>
        <w:rPr>
          <w:rFonts w:ascii="Times New Roman" w:hAnsi="Times New Roman"/>
          <w:sz w:val="24"/>
          <w:szCs w:val="24"/>
        </w:rPr>
        <w:t xml:space="preserve"> осуществление наставничества работнику устанавливается доплата в размере 10% должностного оклада наставника, при условии назначения наставником не более двух раз в календарном году и осуществлении наставничества в отношении одного работника единовременно.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Доплата</w:t>
      </w:r>
      <w:r>
        <w:rPr>
          <w:rFonts w:ascii="Times New Roman" w:hAnsi="Times New Roman"/>
          <w:sz w:val="24"/>
          <w:szCs w:val="24"/>
        </w:rPr>
        <w:t xml:space="preserve"> за осуществление наставничества не </w:t>
      </w:r>
      <w:r>
        <w:rPr>
          <w:rFonts w:ascii="Times New Roman" w:hAnsi="Times New Roman"/>
          <w:sz w:val="24"/>
          <w:szCs w:val="24"/>
        </w:rPr>
        <w:t xml:space="preserve">учитывается при доведении заработной платы до минимального </w:t>
      </w:r>
      <w:r>
        <w:rPr>
          <w:rFonts w:ascii="Times New Roman" w:hAnsi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1"/>
        <w:ind w:right="0" w:firstLine="708"/>
      </w:pPr>
      <w:r>
        <w:t xml:space="preserve">По решению органа, исполняющего функции и полномочия учредителя соответствующего учреждения, работникам учреждений может выплачиваться материальная помощь, другие выплаты поощрительного, социального характера.</w:t>
      </w:r>
      <w:r>
        <w:rPr>
          <w:shd w:val="clear" w:color="auto" w:fill="f9faf6"/>
        </w:rPr>
        <w:t xml:space="preserve"> </w:t>
      </w:r>
      <w:r>
        <w:rPr>
          <w:shd w:val="clear" w:color="auto" w:fill="f9faf6"/>
        </w:rPr>
        <w:t xml:space="preserve">Премирование по </w:t>
      </w:r>
      <w:r>
        <w:t xml:space="preserve">итогам работы за период (месяц, квартал, год) выплачивается в пределах бюджетных средств на опла</w:t>
      </w:r>
      <w:r>
        <w:t xml:space="preserve">ту труда работников учреждения.</w:t>
      </w:r>
      <w:r/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увольнении работника по собственному желанию работник лишается права </w:t>
        <w:br/>
        <w:t xml:space="preserve">на получение премии по итогам работы за период (квартал, год).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увольнении работника по собственному желанию работник не лишается права на получение премии по итогам работы за месяц.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3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премии по итогам работы за период (за месяц, квартал, год) может быть снижен: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трудовой или производственной дисциплины;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невыполнение должностных инструкций;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ухудшение качества выполняемой работы;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правил внутреннего распорядка;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требований охраны труда работников учреждения, пожарной безопасности, техники безопасности;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наличия обоснованных устных или письменных обращений (жалоб) граждан;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необеспечение сохранности имущества.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3"/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Снижение производится в части начислений за месяц, в котором применено взыскание.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Снижение размера премии не может приводить к уменьшению размера месячной заработной платы работника более чем на 20%.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Премирование за выполнение особо важных </w:t>
      </w:r>
      <w:r>
        <w:rPr>
          <w:rFonts w:ascii="Times New Roman" w:hAnsi="Times New Roman"/>
          <w:sz w:val="24"/>
          <w:szCs w:val="24"/>
        </w:rPr>
        <w:t xml:space="preserve">и срочных работ – выплачивается </w:t>
      </w:r>
      <w:r>
        <w:rPr>
          <w:rFonts w:ascii="Times New Roman" w:hAnsi="Times New Roman"/>
          <w:sz w:val="24"/>
          <w:szCs w:val="24"/>
        </w:rPr>
        <w:t xml:space="preserve">работникам единовременно по итогам выполнения особо важных и срочных работ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 целью поощрения работников за оперативность и качественный результат труда.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Премия за выполнение особо важных и срочных работ устанавливается и выплачивается по приказу руководителя учреждения, в котором указывается конкретное задание, выполненное работником, и размер премии.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премии устанавливается в процентном отношении к месячному фонду оплаты труда работника либо в абсолютной сумме в рублях. </w:t>
      </w:r>
      <w:r>
        <w:rPr>
          <w:rFonts w:ascii="Times New Roman" w:hAnsi="Times New Roman"/>
          <w:sz w:val="24"/>
          <w:szCs w:val="24"/>
        </w:rPr>
        <w:t xml:space="preserve">Максимальным размером премия за выполнение  </w:t>
      </w:r>
      <w:r>
        <w:rPr>
          <w:rFonts w:ascii="Times New Roman" w:hAnsi="Times New Roman"/>
          <w:sz w:val="24"/>
          <w:szCs w:val="24"/>
        </w:rPr>
        <w:t xml:space="preserve">особо важных и срочных работ</w:t>
      </w:r>
      <w:r>
        <w:rPr>
          <w:rFonts w:ascii="Times New Roman" w:hAnsi="Times New Roman"/>
          <w:sz w:val="24"/>
          <w:szCs w:val="24"/>
        </w:rPr>
        <w:t xml:space="preserve"> не ограничена. Выплата премии производится с начислением</w:t>
      </w:r>
      <w:r>
        <w:rPr>
          <w:rFonts w:ascii="Times New Roman" w:hAnsi="Times New Roman"/>
          <w:sz w:val="24"/>
          <w:szCs w:val="24"/>
        </w:rPr>
        <w:t xml:space="preserve"> районного коэффициента и полярных надбавок за работу в условиях Крайнего Севера.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работникам учреждений по решению работодателя может выплачиваться единовременная премия и материальная помощь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не обусловленные системой оплаты труда.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Работникам учреждений может выплачиваться единовременная премия в связи </w:t>
        <w:br/>
        <w:t xml:space="preserve">с 50, 55-летием со дня рождения и далее каждые 5 лет и (20, 25, 30 лет и т.д.) продолжительности работы в учреждении – в размере полутора должностных окладов.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экономии по фонду оплаты труда материальная помощь работнику может оказываться по его личному заявлению в связи: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длительной и продолжительной болезнью работника или члена его семьи – </w:t>
        <w:br/>
        <w:t xml:space="preserve">в размере одного должностного оклада;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рождением ребенка – в размере 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бракосочетанием – в размере 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 смертью работника или членов его семьи (супруг, дети и родители обоих супругов) – в размере 10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тяжелым материальным положением, вызванным иными вескими причинами –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размере до полутора должностных окладов (в зависимости от конкретной ситуации).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Положением об оплате труда работникам учреждения может быть предусмотрено оказание иной материальной помощи.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указанные единовременные премии и материальную помощь начисление районного коэффициента и полярных надбавок за работу в условиях Крайнего Севера не производится.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Выплаты стим</w:t>
      </w:r>
      <w:r>
        <w:rPr>
          <w:rFonts w:ascii="Times New Roman" w:hAnsi="Times New Roman"/>
          <w:sz w:val="24"/>
          <w:szCs w:val="24"/>
        </w:rPr>
        <w:t xml:space="preserve">улирующего характера производятся по решению руководителя учреждения в пределах бюджетных ассигнований на оплату труда работников учреждения, а также средств, полученных от приносящей доход деятельности, направленных учреждением на оплату труда работников.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от</w:t>
      </w:r>
      <w:r>
        <w:rPr>
          <w:rFonts w:ascii="Times New Roman" w:hAnsi="Times New Roman"/>
          <w:sz w:val="24"/>
          <w:szCs w:val="24"/>
        </w:rPr>
        <w:t xml:space="preserve">сутствии или недостаточном объеме соответствующих финансовых средств руководитель учреждения вправе приостановить выплату стимулирующего характера, уменьшить либо отменить их выплату, предупредив работника об этом в установленном законодательством порядке.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Условия оплаты труда, включая размер должностного оклада (оклада) работника, повышающие коэффициенты к окладам, выплаты компенсационного и сти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мулирующего характера, являются обязательными для включения в трудовой договор.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труда работников,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работника учрежден</w:t>
      </w:r>
      <w:r>
        <w:rPr>
          <w:rFonts w:ascii="Times New Roman" w:hAnsi="Times New Roman"/>
          <w:sz w:val="24"/>
          <w:szCs w:val="24"/>
        </w:rPr>
        <w:t xml:space="preserve">ия с его письменного согласия может быть возложено наряду со своей основной работой выполнение не предусмотренных должностной инструкцией обязанностей отсутствующего (в связи с болезнью, отпуском, командировкой) работника или по вакантной должности с устан</w:t>
      </w:r>
      <w:r>
        <w:rPr>
          <w:rFonts w:ascii="Times New Roman" w:hAnsi="Times New Roman"/>
          <w:sz w:val="24"/>
          <w:szCs w:val="24"/>
        </w:rPr>
        <w:t xml:space="preserve">овлением доплаты </w:t>
        <w:br/>
        <w:t xml:space="preserve">в размере до 5</w:t>
      </w:r>
      <w:r>
        <w:rPr>
          <w:rFonts w:ascii="Times New Roman" w:hAnsi="Times New Roman"/>
          <w:sz w:val="24"/>
          <w:szCs w:val="24"/>
        </w:rPr>
        <w:t xml:space="preserve">0 процентов должностного оклада (оклада) отсутствующего работника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b/>
          <w:i/>
          <w:color w:val="ff0000"/>
          <w:sz w:val="24"/>
          <w:szCs w:val="24"/>
        </w:rPr>
      </w:r>
      <w:r>
        <w:rPr>
          <w:rFonts w:ascii="Times New Roman" w:hAnsi="Times New Roman"/>
          <w:b/>
          <w:i/>
          <w:color w:val="ff0000"/>
          <w:sz w:val="24"/>
          <w:szCs w:val="24"/>
        </w:rPr>
      </w:r>
    </w:p>
    <w:p>
      <w:pPr>
        <w:pStyle w:val="943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Theme="minorHAnsi"/>
          <w:sz w:val="24"/>
          <w:szCs w:val="24"/>
        </w:rPr>
        <w:t xml:space="preserve">Настоящее постановление вступает в силу после его </w:t>
      </w:r>
      <w:r>
        <w:rPr>
          <w:rFonts w:ascii="Times New Roman" w:hAnsi="Times New Roman"/>
          <w:color w:val="000000"/>
          <w:sz w:val="24"/>
          <w:szCs w:val="24"/>
        </w:rPr>
        <w:t xml:space="preserve">официального о</w:t>
      </w:r>
      <w:r>
        <w:rPr>
          <w:rFonts w:ascii="Times New Roman" w:hAnsi="Times New Roman"/>
          <w:color w:val="000000"/>
          <w:sz w:val="24"/>
          <w:szCs w:val="24"/>
        </w:rPr>
        <w:t xml:space="preserve">публикования в газете «Печенга».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А.</w:t>
      </w:r>
      <w:r>
        <w:rPr>
          <w:rFonts w:ascii="Times New Roman" w:hAnsi="Times New Roman"/>
          <w:sz w:val="24"/>
          <w:szCs w:val="24"/>
        </w:rPr>
        <w:t xml:space="preserve">С.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Морозова М.Е., 5-01-79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822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60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32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4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6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8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0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2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4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65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9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7"/>
  </w:num>
  <w:num w:numId="6">
    <w:abstractNumId w:val="11"/>
  </w:num>
  <w:num w:numId="7">
    <w:abstractNumId w:val="3"/>
  </w:num>
  <w:num w:numId="8">
    <w:abstractNumId w:val="16"/>
  </w:num>
  <w:num w:numId="9">
    <w:abstractNumId w:val="20"/>
  </w:num>
  <w:num w:numId="10">
    <w:abstractNumId w:val="0"/>
  </w:num>
  <w:num w:numId="11">
    <w:abstractNumId w:val="13"/>
  </w:num>
  <w:num w:numId="12">
    <w:abstractNumId w:val="9"/>
  </w:num>
  <w:num w:numId="13">
    <w:abstractNumId w:val="1"/>
  </w:num>
  <w:num w:numId="14">
    <w:abstractNumId w:val="12"/>
  </w:num>
  <w:num w:numId="15">
    <w:abstractNumId w:val="5"/>
  </w:num>
  <w:num w:numId="16">
    <w:abstractNumId w:val="8"/>
  </w:num>
  <w:num w:numId="17">
    <w:abstractNumId w:val="23"/>
  </w:num>
  <w:num w:numId="18">
    <w:abstractNumId w:val="22"/>
  </w:num>
  <w:num w:numId="19">
    <w:abstractNumId w:val="2"/>
  </w:num>
  <w:num w:numId="20">
    <w:abstractNumId w:val="24"/>
  </w:num>
  <w:num w:numId="21">
    <w:abstractNumId w:val="15"/>
  </w:num>
  <w:num w:numId="22">
    <w:abstractNumId w:val="25"/>
  </w:num>
  <w:num w:numId="23">
    <w:abstractNumId w:val="14"/>
  </w:num>
  <w:num w:numId="24">
    <w:abstractNumId w:val="17"/>
  </w:num>
  <w:num w:numId="25">
    <w:abstractNumId w:val="26"/>
  </w:num>
  <w:num w:numId="26">
    <w:abstractNumId w:val="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751"/>
    <w:link w:val="743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5 Char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51"/>
    <w:link w:val="764"/>
    <w:uiPriority w:val="10"/>
    <w:rPr>
      <w:sz w:val="48"/>
      <w:szCs w:val="48"/>
    </w:rPr>
  </w:style>
  <w:style w:type="character" w:styleId="717">
    <w:name w:val="Subtitle Char"/>
    <w:basedOn w:val="751"/>
    <w:link w:val="766"/>
    <w:uiPriority w:val="11"/>
    <w:rPr>
      <w:sz w:val="24"/>
      <w:szCs w:val="24"/>
    </w:rPr>
  </w:style>
  <w:style w:type="character" w:styleId="718">
    <w:name w:val="Quote Char"/>
    <w:link w:val="768"/>
    <w:uiPriority w:val="29"/>
    <w:rPr>
      <w:i/>
    </w:rPr>
  </w:style>
  <w:style w:type="character" w:styleId="719">
    <w:name w:val="Intense Quote Char"/>
    <w:link w:val="770"/>
    <w:uiPriority w:val="30"/>
    <w:rPr>
      <w:i/>
    </w:rPr>
  </w:style>
  <w:style w:type="table" w:styleId="720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7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8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9">
    <w:name w:val="Footnote Text Char"/>
    <w:link w:val="901"/>
    <w:uiPriority w:val="99"/>
    <w:rPr>
      <w:sz w:val="18"/>
    </w:rPr>
  </w:style>
  <w:style w:type="character" w:styleId="740">
    <w:name w:val="Endnote Text Char"/>
    <w:link w:val="904"/>
    <w:uiPriority w:val="99"/>
    <w:rPr>
      <w:sz w:val="20"/>
    </w:rPr>
  </w:style>
  <w:style w:type="paragraph" w:styleId="741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42">
    <w:name w:val="Heading 1"/>
    <w:basedOn w:val="741"/>
    <w:next w:val="741"/>
    <w:link w:val="75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43">
    <w:name w:val="Heading 2"/>
    <w:basedOn w:val="741"/>
    <w:next w:val="741"/>
    <w:link w:val="75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44">
    <w:name w:val="Heading 3"/>
    <w:basedOn w:val="741"/>
    <w:next w:val="741"/>
    <w:link w:val="75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918"/>
    <w:qFormat/>
    <w:pPr>
      <w:ind w:firstLine="709"/>
      <w:keepNext/>
      <w:spacing w:after="0" w:line="240" w:lineRule="auto"/>
      <w:outlineLvl w:val="3"/>
    </w:pPr>
    <w:rPr>
      <w:rFonts w:ascii="Times New Roman" w:hAnsi="Times New Roman"/>
      <w:sz w:val="28"/>
      <w:szCs w:val="20"/>
      <w:lang w:eastAsia="ru-RU"/>
    </w:rPr>
  </w:style>
  <w:style w:type="paragraph" w:styleId="746">
    <w:name w:val="Heading 5"/>
    <w:basedOn w:val="741"/>
    <w:next w:val="741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8">
    <w:name w:val="Heading 7"/>
    <w:basedOn w:val="741"/>
    <w:next w:val="741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9">
    <w:name w:val="Heading 8"/>
    <w:basedOn w:val="741"/>
    <w:next w:val="741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50">
    <w:name w:val="Heading 9"/>
    <w:basedOn w:val="741"/>
    <w:next w:val="741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Заголовок 1 Знак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Заголовок 2 Знак"/>
    <w:basedOn w:val="751"/>
    <w:link w:val="743"/>
    <w:uiPriority w:val="9"/>
    <w:rPr>
      <w:rFonts w:ascii="Arial" w:hAnsi="Arial" w:eastAsia="Arial" w:cs="Arial"/>
      <w:sz w:val="34"/>
    </w:rPr>
  </w:style>
  <w:style w:type="character" w:styleId="756" w:customStyle="1">
    <w:name w:val="Заголовок 3 Знак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Heading 4 Char"/>
    <w:basedOn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No Spacing"/>
    <w:uiPriority w:val="1"/>
    <w:qFormat/>
  </w:style>
  <w:style w:type="paragraph" w:styleId="764">
    <w:name w:val="Title"/>
    <w:basedOn w:val="741"/>
    <w:next w:val="741"/>
    <w:link w:val="765"/>
    <w:uiPriority w:val="10"/>
    <w:qFormat/>
    <w:pPr>
      <w:contextualSpacing/>
      <w:spacing w:before="300"/>
    </w:pPr>
    <w:rPr>
      <w:sz w:val="48"/>
      <w:szCs w:val="48"/>
    </w:rPr>
  </w:style>
  <w:style w:type="character" w:styleId="765" w:customStyle="1">
    <w:name w:val="Название Знак"/>
    <w:basedOn w:val="751"/>
    <w:link w:val="764"/>
    <w:uiPriority w:val="10"/>
    <w:rPr>
      <w:sz w:val="48"/>
      <w:szCs w:val="48"/>
    </w:rPr>
  </w:style>
  <w:style w:type="paragraph" w:styleId="766">
    <w:name w:val="Subtitle"/>
    <w:basedOn w:val="741"/>
    <w:next w:val="741"/>
    <w:link w:val="767"/>
    <w:uiPriority w:val="11"/>
    <w:qFormat/>
    <w:pPr>
      <w:spacing w:before="200"/>
    </w:pPr>
    <w:rPr>
      <w:sz w:val="24"/>
      <w:szCs w:val="24"/>
    </w:rPr>
  </w:style>
  <w:style w:type="character" w:styleId="767" w:customStyle="1">
    <w:name w:val="Подзаголовок Знак"/>
    <w:basedOn w:val="751"/>
    <w:link w:val="766"/>
    <w:uiPriority w:val="11"/>
    <w:rPr>
      <w:sz w:val="24"/>
      <w:szCs w:val="24"/>
    </w:rPr>
  </w:style>
  <w:style w:type="paragraph" w:styleId="768">
    <w:name w:val="Quote"/>
    <w:basedOn w:val="741"/>
    <w:next w:val="741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1"/>
    <w:next w:val="741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51"/>
    <w:uiPriority w:val="99"/>
  </w:style>
  <w:style w:type="character" w:styleId="773" w:customStyle="1">
    <w:name w:val="Footer Char"/>
    <w:basedOn w:val="751"/>
    <w:uiPriority w:val="99"/>
  </w:style>
  <w:style w:type="paragraph" w:styleId="774">
    <w:name w:val="Caption"/>
    <w:basedOn w:val="741"/>
    <w:next w:val="74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5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Таблица простая 11"/>
    <w:basedOn w:val="75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21"/>
    <w:basedOn w:val="75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31"/>
    <w:basedOn w:val="75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Таблица простая 41"/>
    <w:basedOn w:val="75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Таблица простая 51"/>
    <w:basedOn w:val="75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1 светлая1"/>
    <w:basedOn w:val="75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5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5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5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5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5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5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Таблица-сетка 21"/>
    <w:basedOn w:val="75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5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5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5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5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5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5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31"/>
    <w:basedOn w:val="75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5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5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5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5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5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5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41"/>
    <w:basedOn w:val="75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5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5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5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5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5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5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Таблица-сетка 5 темная1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5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Таблица-сетка 6 цветная1"/>
    <w:basedOn w:val="75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5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5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5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5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5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5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Таблица-сетка 7 цветная1"/>
    <w:basedOn w:val="75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5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5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5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5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5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5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Список-таблица 1 светлая1"/>
    <w:basedOn w:val="75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5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5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5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5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5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5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Список-таблица 21"/>
    <w:basedOn w:val="75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5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5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5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5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5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5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Список-таблица 31"/>
    <w:basedOn w:val="75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5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5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5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5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5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5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Список-таблица 41"/>
    <w:basedOn w:val="75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5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5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5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5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5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5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Список-таблица 5 темная1"/>
    <w:basedOn w:val="75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5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5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5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5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5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5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Список-таблица 6 цветная1"/>
    <w:basedOn w:val="75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5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5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5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5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5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5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Список-таблица 7 цветная1"/>
    <w:basedOn w:val="75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5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5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5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5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5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5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5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5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5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5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5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5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5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5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5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5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5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5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5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5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5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41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51"/>
    <w:uiPriority w:val="99"/>
    <w:unhideWhenUsed/>
    <w:rPr>
      <w:vertAlign w:val="superscript"/>
    </w:rPr>
  </w:style>
  <w:style w:type="paragraph" w:styleId="904">
    <w:name w:val="endnote text"/>
    <w:basedOn w:val="741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51"/>
    <w:uiPriority w:val="99"/>
    <w:semiHidden/>
    <w:unhideWhenUsed/>
    <w:rPr>
      <w:vertAlign w:val="superscript"/>
    </w:rPr>
  </w:style>
  <w:style w:type="paragraph" w:styleId="907">
    <w:name w:val="toc 1"/>
    <w:basedOn w:val="741"/>
    <w:next w:val="741"/>
    <w:uiPriority w:val="39"/>
    <w:unhideWhenUsed/>
    <w:pPr>
      <w:spacing w:after="57"/>
    </w:pPr>
  </w:style>
  <w:style w:type="paragraph" w:styleId="908">
    <w:name w:val="toc 2"/>
    <w:basedOn w:val="741"/>
    <w:next w:val="741"/>
    <w:uiPriority w:val="39"/>
    <w:unhideWhenUsed/>
    <w:pPr>
      <w:ind w:left="283"/>
      <w:spacing w:after="57"/>
    </w:pPr>
  </w:style>
  <w:style w:type="paragraph" w:styleId="909">
    <w:name w:val="toc 3"/>
    <w:basedOn w:val="741"/>
    <w:next w:val="741"/>
    <w:uiPriority w:val="39"/>
    <w:unhideWhenUsed/>
    <w:pPr>
      <w:ind w:left="567"/>
      <w:spacing w:after="57"/>
    </w:pPr>
  </w:style>
  <w:style w:type="paragraph" w:styleId="910">
    <w:name w:val="toc 4"/>
    <w:basedOn w:val="741"/>
    <w:next w:val="741"/>
    <w:uiPriority w:val="39"/>
    <w:unhideWhenUsed/>
    <w:pPr>
      <w:ind w:left="850"/>
      <w:spacing w:after="57"/>
    </w:pPr>
  </w:style>
  <w:style w:type="paragraph" w:styleId="911">
    <w:name w:val="toc 5"/>
    <w:basedOn w:val="741"/>
    <w:next w:val="741"/>
    <w:uiPriority w:val="39"/>
    <w:unhideWhenUsed/>
    <w:pPr>
      <w:ind w:left="1134"/>
      <w:spacing w:after="57"/>
    </w:pPr>
  </w:style>
  <w:style w:type="paragraph" w:styleId="912">
    <w:name w:val="toc 6"/>
    <w:basedOn w:val="741"/>
    <w:next w:val="741"/>
    <w:uiPriority w:val="39"/>
    <w:unhideWhenUsed/>
    <w:pPr>
      <w:ind w:left="1417"/>
      <w:spacing w:after="57"/>
    </w:pPr>
  </w:style>
  <w:style w:type="paragraph" w:styleId="913">
    <w:name w:val="toc 7"/>
    <w:basedOn w:val="741"/>
    <w:next w:val="741"/>
    <w:uiPriority w:val="39"/>
    <w:unhideWhenUsed/>
    <w:pPr>
      <w:ind w:left="1701"/>
      <w:spacing w:after="57"/>
    </w:pPr>
  </w:style>
  <w:style w:type="paragraph" w:styleId="914">
    <w:name w:val="toc 8"/>
    <w:basedOn w:val="741"/>
    <w:next w:val="741"/>
    <w:uiPriority w:val="39"/>
    <w:unhideWhenUsed/>
    <w:pPr>
      <w:ind w:left="1984"/>
      <w:spacing w:after="57"/>
    </w:pPr>
  </w:style>
  <w:style w:type="paragraph" w:styleId="915">
    <w:name w:val="toc 9"/>
    <w:basedOn w:val="741"/>
    <w:next w:val="741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41"/>
    <w:next w:val="741"/>
    <w:uiPriority w:val="99"/>
    <w:unhideWhenUsed/>
    <w:pPr>
      <w:spacing w:after="0"/>
    </w:pPr>
  </w:style>
  <w:style w:type="character" w:styleId="918" w:customStyle="1">
    <w:name w:val="Заголовок 4 Знак"/>
    <w:link w:val="745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19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20" w:customStyle="1">
    <w:name w:val="ConsPlusTitle"/>
    <w:uiPriority w:val="99"/>
    <w:pPr>
      <w:widowControl w:val="off"/>
    </w:pPr>
    <w:rPr>
      <w:rFonts w:eastAsia="Times New Roman" w:cs="Calibri"/>
      <w:b/>
      <w:sz w:val="22"/>
    </w:rPr>
  </w:style>
  <w:style w:type="paragraph" w:styleId="921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922" w:customStyle="1">
    <w:name w:val="Default"/>
    <w:rPr>
      <w:rFonts w:ascii="Times New Roman" w:hAnsi="Times New Roman" w:eastAsia="Times New Roman"/>
      <w:color w:val="000000"/>
      <w:sz w:val="24"/>
      <w:szCs w:val="24"/>
    </w:rPr>
  </w:style>
  <w:style w:type="paragraph" w:styleId="923">
    <w:name w:val="Balloon Text"/>
    <w:basedOn w:val="741"/>
    <w:link w:val="924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styleId="924" w:customStyle="1">
    <w:name w:val="Текст выноски Знак"/>
    <w:link w:val="923"/>
    <w:rPr>
      <w:rFonts w:ascii="Tahoma" w:hAnsi="Tahoma" w:eastAsia="Calibri" w:cs="Tahoma"/>
      <w:sz w:val="16"/>
      <w:szCs w:val="16"/>
      <w:lang w:eastAsia="ru-RU"/>
    </w:rPr>
  </w:style>
  <w:style w:type="paragraph" w:styleId="925">
    <w:name w:val="Body Text 3"/>
    <w:basedOn w:val="741"/>
    <w:link w:val="926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character" w:styleId="926" w:customStyle="1">
    <w:name w:val="Основной текст 3 Знак"/>
    <w:link w:val="92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27">
    <w:name w:val="Body Text Indent 2"/>
    <w:basedOn w:val="741"/>
    <w:link w:val="928"/>
    <w:pPr>
      <w:ind w:left="283"/>
      <w:spacing w:after="120" w:line="480" w:lineRule="auto"/>
    </w:pPr>
    <w:rPr>
      <w:rFonts w:ascii="Times New Roman" w:hAnsi="Times New Roman"/>
      <w:sz w:val="20"/>
      <w:szCs w:val="20"/>
      <w:lang w:eastAsia="ru-RU"/>
    </w:rPr>
  </w:style>
  <w:style w:type="character" w:styleId="928" w:customStyle="1">
    <w:name w:val="Основной текст с отступом 2 Знак"/>
    <w:link w:val="92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9">
    <w:name w:val="Body Text"/>
    <w:basedOn w:val="741"/>
    <w:link w:val="93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930" w:customStyle="1">
    <w:name w:val="Основной текст Знак"/>
    <w:link w:val="92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1" w:customStyle="1">
    <w:name w:val="Обычный + 12 пт"/>
    <w:basedOn w:val="741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character" w:styleId="932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33" w:customStyle="1">
    <w:name w:val="Абзац списка1"/>
    <w:basedOn w:val="741"/>
    <w:pPr>
      <w:contextualSpacing/>
      <w:ind w:left="72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934">
    <w:name w:val="Body Text Indent"/>
    <w:basedOn w:val="741"/>
    <w:link w:val="935"/>
    <w:pPr>
      <w:ind w:right="76" w:firstLine="900"/>
      <w:jc w:val="both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36" w:customStyle="1">
    <w:name w:val="Обычный + 12 пт."/>
    <w:basedOn w:val="741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937">
    <w:name w:val="Header"/>
    <w:basedOn w:val="741"/>
    <w:link w:val="93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38" w:customStyle="1">
    <w:name w:val="Верхний колонтитул Знак"/>
    <w:link w:val="93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9">
    <w:name w:val="Footer"/>
    <w:basedOn w:val="741"/>
    <w:link w:val="940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40" w:customStyle="1">
    <w:name w:val="Нижний колонтитул Знак"/>
    <w:link w:val="93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41">
    <w:name w:val="Normal (Web)"/>
    <w:basedOn w:val="74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2" w:customStyle="1">
    <w:name w:val="s_1"/>
    <w:basedOn w:val="74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3">
    <w:name w:val="List Paragraph"/>
    <w:basedOn w:val="741"/>
    <w:uiPriority w:val="34"/>
    <w:qFormat/>
    <w:pPr>
      <w:contextualSpacing/>
      <w:ind w:left="720"/>
    </w:pPr>
    <w:rPr>
      <w:rFonts w:eastAsia="Times New Roman"/>
      <w:lang w:eastAsia="ru-RU"/>
    </w:rPr>
  </w:style>
  <w:style w:type="paragraph" w:styleId="944" w:customStyle="1">
    <w:name w:val="Основной текст3"/>
    <w:basedOn w:val="741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45">
    <w:name w:val="Hyperlink"/>
    <w:uiPriority w:val="99"/>
    <w:unhideWhenUsed/>
    <w:rPr>
      <w:color w:val="0000ff"/>
      <w:u w:val="single"/>
    </w:rPr>
  </w:style>
  <w:style w:type="table" w:styleId="946">
    <w:name w:val="Table Grid"/>
    <w:basedOn w:val="75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EEFCC-7AE1-4907-B8E8-83268D3B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4</cp:revision>
  <dcterms:created xsi:type="dcterms:W3CDTF">2026-07-23T08:38:00Z</dcterms:created>
  <dcterms:modified xsi:type="dcterms:W3CDTF">2026-07-27T07:20:06Z</dcterms:modified>
</cp:coreProperties>
</file>