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23.07.2026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1409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713"/>
        <w:ind w:firstLine="0"/>
        <w:jc w:val="center"/>
        <w:widowControl w:val="off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в примерное Положение об оплате труда работников </w:t>
      </w:r>
      <w:r>
        <w:rPr>
          <w:b/>
          <w:bCs/>
          <w:iCs/>
          <w:sz w:val="20"/>
        </w:rPr>
        <w:br/>
        <w:t xml:space="preserve">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</w:t>
      </w:r>
      <w:r>
        <w:rPr>
          <w:b/>
          <w:bCs/>
          <w:iCs/>
          <w:sz w:val="20"/>
        </w:rPr>
        <w:br/>
        <w:t xml:space="preserve">Печенгского муниципального округа, утвержденное постановлением администрации 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</w:r>
    </w:p>
    <w:p>
      <w:pPr>
        <w:pStyle w:val="713"/>
        <w:ind w:firstLine="0"/>
        <w:jc w:val="center"/>
        <w:widowControl w:val="off"/>
        <w:rPr>
          <w:b/>
          <w:bCs/>
          <w:sz w:val="20"/>
        </w:rPr>
      </w:pPr>
      <w:r>
        <w:rPr>
          <w:b/>
          <w:bCs/>
          <w:iCs/>
          <w:sz w:val="20"/>
        </w:rPr>
        <w:t xml:space="preserve">Печенгского муниципального округа от 07.06.2023 № 844</w:t>
      </w:r>
      <w:r>
        <w:rPr>
          <w:b/>
          <w:bCs/>
          <w:sz w:val="20"/>
        </w:rPr>
      </w:r>
      <w:r>
        <w:rPr>
          <w:b/>
          <w:bCs/>
          <w:sz w:val="20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6"/>
        <w:ind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3 Постановления Правительства Мурманской области </w:t>
        <w:br/>
        <w:t xml:space="preserve">от 30.05</w:t>
      </w:r>
      <w:r>
        <w:rPr>
          <w:sz w:val="24"/>
          <w:szCs w:val="24"/>
        </w:rPr>
        <w:t xml:space="preserve">.2025 № 382-ПП «Об утверждении П</w:t>
      </w:r>
      <w:r>
        <w:rPr>
          <w:sz w:val="24"/>
          <w:szCs w:val="24"/>
        </w:rPr>
        <w:t xml:space="preserve">оложения о наставничестве в сфере труда </w:t>
        <w:br/>
      </w:r>
      <w:r>
        <w:rPr>
          <w:sz w:val="24"/>
          <w:szCs w:val="24"/>
        </w:rPr>
        <w:t xml:space="preserve">в государственных областных бюджетных, автономных и казенных учреждениях Мурманской области»,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13"/>
        <w:numPr>
          <w:ilvl w:val="0"/>
          <w:numId w:val="18"/>
        </w:numPr>
        <w:ind w:lef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 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</w:t>
      </w:r>
      <w:r>
        <w:rPr>
          <w:bCs/>
          <w:iCs/>
          <w:sz w:val="24"/>
          <w:szCs w:val="24"/>
        </w:rPr>
        <w:t xml:space="preserve">реждений дополнительного образования в сфере культуры, подведомственных отделу культуры, спорта и молодежной политики администрации Печенгского муниципального округа, утвержденное постановлением администрации Печенгского муниципального округа от 07.06.2023</w:t>
      </w:r>
      <w:r>
        <w:rPr>
          <w:bCs/>
          <w:iCs/>
          <w:sz w:val="24"/>
          <w:szCs w:val="24"/>
        </w:rPr>
        <w:t xml:space="preserve"> № 844 (в редакции постановления</w:t>
      </w:r>
      <w:r>
        <w:rPr>
          <w:bCs/>
          <w:iCs/>
          <w:sz w:val="24"/>
          <w:szCs w:val="24"/>
        </w:rPr>
        <w:t xml:space="preserve"> администрации Печенгского муниципального округа </w:t>
      </w:r>
      <w:r>
        <w:rPr>
          <w:bCs/>
          <w:iCs/>
          <w:sz w:val="24"/>
          <w:szCs w:val="24"/>
        </w:rPr>
        <w:t xml:space="preserve">от 04.05.2026 № 678</w:t>
      </w:r>
      <w:r>
        <w:rPr>
          <w:bCs/>
          <w:iCs/>
          <w:sz w:val="24"/>
          <w:szCs w:val="24"/>
        </w:rPr>
        <w:t xml:space="preserve">) (далее – примерное 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941"/>
        <w:numPr>
          <w:ilvl w:val="1"/>
          <w:numId w:val="18"/>
        </w:numPr>
        <w:ind w:left="0" w:firstLine="709"/>
        <w:jc w:val="both"/>
        <w:rPr>
          <w:color w:val="auto"/>
          <w:sz w:val="24"/>
          <w:szCs w:val="24"/>
        </w:rPr>
      </w:pPr>
      <w:r>
        <w:t xml:space="preserve"> </w:t>
      </w:r>
      <w:r>
        <w:rPr>
          <w:color w:val="auto"/>
          <w:sz w:val="24"/>
          <w:szCs w:val="24"/>
        </w:rPr>
        <w:t xml:space="preserve">Пункт 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.1 раздела 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примерного Положения изложить в следующей редакции: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41"/>
        <w:ind w:left="0" w:firstLine="709"/>
        <w:jc w:val="both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«</w:t>
      </w:r>
      <w:r>
        <w:rPr>
          <w:sz w:val="24"/>
          <w:szCs w:val="24"/>
        </w:rPr>
        <w:t xml:space="preserve">6.1.</w:t>
      </w:r>
      <w:r>
        <w:rPr>
          <w:sz w:val="24"/>
          <w:szCs w:val="24"/>
        </w:rPr>
        <w:t xml:space="preserve"> Выплаты стимулирующего характера, размеры </w:t>
      </w:r>
      <w:r>
        <w:rPr>
          <w:sz w:val="24"/>
          <w:szCs w:val="24"/>
        </w:rPr>
        <w:t xml:space="preserve">и условия их осуществления устанавливаются Положением об оплате труда работников Учреждения и утверждаются руководителем Учреждения с учетом мнения представительного или совещательного органа (комиссии) работников данного Учреждения и оформляется приказом.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Положением об оплате труда работников Учреждения может быть предусмотрено установление работникам стимулирующих надбавок к должностному окладу: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за сложность, напряженность (интенсивность), высокие результаты работы;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педагогу - молодому специалисту;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1"/>
        <w:ind w:left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за почетное звание Российской Федерации, ученую степень, ученое звание;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1"/>
        <w:ind w:left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за наставничество.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1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Иные поощрительные выплаты: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8"/>
        <w:ind w:firstLine="708"/>
        <w:jc w:val="both"/>
        <w:spacing w:before="0" w:beforeAutospacing="0" w:after="0" w:afterAutospacing="0"/>
      </w:pPr>
      <w:r>
        <w:t xml:space="preserve">- единовременные поощрительные выплаты.</w:t>
      </w:r>
      <w:r/>
    </w:p>
    <w:p>
      <w:pPr>
        <w:pStyle w:val="94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</w:t>
      </w:r>
      <w:r>
        <w:rPr>
          <w:sz w:val="24"/>
          <w:szCs w:val="24"/>
        </w:rPr>
        <w:t xml:space="preserve">овление стимулирующей надбавки осуществляется по решению руководителя Учреждения в пределах бюджетных ассигнований на оплату труда работников Учреждения, а также средств от приносящей доход деятельности, направленных Учреждением на оплату труда работников.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отсутствии или недостаточном объеме соответствующих (бюджетных </w:t>
        <w:br/>
      </w:r>
      <w:r>
        <w:rPr>
          <w:sz w:val="24"/>
          <w:szCs w:val="24"/>
        </w:rPr>
        <w:t xml:space="preserve">и внебюджетных) финансовых средств руководитель Учреждения уменьшает, приостанавливает либо отменяет выплату стимулирующего характера</w:t>
      </w:r>
      <w:r>
        <w:rPr>
          <w:sz w:val="24"/>
          <w:szCs w:val="24"/>
        </w:rPr>
        <w:t xml:space="preserve">.»</w:t>
      </w:r>
      <w:r>
        <w:rPr>
          <w:color w:val="auto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iCs/>
          <w:sz w:val="24"/>
          <w:szCs w:val="24"/>
        </w:rPr>
      </w:pPr>
      <w:r>
        <w:rPr>
          <w:color w:val="auto"/>
          <w:sz w:val="24"/>
          <w:szCs w:val="24"/>
        </w:rPr>
        <w:t xml:space="preserve">1.2. </w:t>
      </w:r>
      <w:r>
        <w:rPr>
          <w:color w:val="auto"/>
          <w:sz w:val="24"/>
          <w:szCs w:val="24"/>
        </w:rPr>
        <w:t xml:space="preserve">Приложение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№ 2 к примерному П</w:t>
      </w:r>
      <w:r>
        <w:rPr>
          <w:sz w:val="24"/>
          <w:szCs w:val="24"/>
        </w:rPr>
        <w:t xml:space="preserve">оложению</w:t>
      </w:r>
      <w:r>
        <w:rPr>
          <w:sz w:val="24"/>
          <w:szCs w:val="24"/>
        </w:rPr>
        <w:t xml:space="preserve"> изложить в новой редакции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огласно приложению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. 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958"/>
        <w:ind w:firstLine="709"/>
        <w:jc w:val="both"/>
        <w:spacing w:before="0" w:beforeAutospacing="0" w:after="0" w:afterAutospacing="0"/>
      </w:pPr>
      <w:r>
        <w:t xml:space="preserve">2.</w:t>
      </w:r>
      <w:r>
        <w:rPr>
          <w:rFonts w:eastAsiaTheme="minorHAnsi"/>
          <w:lang w:eastAsia="en-US"/>
        </w:rPr>
        <w:t xml:space="preserve"> Настоящее постановление вступает в силу после его </w:t>
      </w:r>
      <w:r>
        <w:t xml:space="preserve">опубликования в газете «Печенга».</w:t>
      </w:r>
      <w:r/>
    </w:p>
    <w:p>
      <w:pPr>
        <w:pStyle w:val="958"/>
        <w:ind w:firstLine="709"/>
        <w:jc w:val="both"/>
        <w:spacing w:before="0" w:beforeAutospacing="0" w:after="0" w:afterAutospacing="0"/>
      </w:pPr>
      <w:r>
        <w:rPr>
          <w:rFonts w:eastAsiaTheme="minorHAnsi"/>
          <w:lang w:eastAsia="en-US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/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</w:p>
    <w:p>
      <w:pPr>
        <w:jc w:val="both"/>
        <w:widowControl w:val="off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</w:p>
    <w:p>
      <w:pPr>
        <w:jc w:val="both"/>
        <w:widowControl w:val="off"/>
        <w:rPr>
          <w:rFonts w:eastAsiaTheme="minorHAnsi"/>
          <w:color w:val="auto"/>
          <w:lang w:eastAsia="en-US"/>
        </w:rPr>
      </w:pPr>
      <w:r>
        <w:t xml:space="preserve">Морозова М.Е., 5-01-79</w:t>
      </w:r>
      <w:r>
        <w:rPr>
          <w:rFonts w:eastAsiaTheme="minorHAnsi"/>
          <w:color w:val="auto"/>
          <w:lang w:eastAsia="en-US"/>
        </w:rPr>
        <w:br w:type="page" w:clear="all"/>
      </w:r>
      <w:r>
        <w:rPr>
          <w:rFonts w:eastAsiaTheme="minorHAnsi"/>
          <w:color w:val="auto"/>
          <w:lang w:eastAsia="en-US"/>
        </w:rPr>
      </w:r>
      <w:r>
        <w:rPr>
          <w:rFonts w:eastAsiaTheme="minorHAnsi"/>
          <w:color w:val="auto"/>
          <w:lang w:eastAsia="en-US"/>
        </w:rPr>
      </w:r>
    </w:p>
    <w:p>
      <w:pPr>
        <w:ind w:left="6237"/>
        <w:jc w:val="both"/>
        <w:rPr>
          <w:rFonts w:ascii="I" w:hAnsi="I"/>
          <w:sz w:val="24"/>
          <w:szCs w:val="24"/>
        </w:rPr>
      </w:pPr>
      <w:r>
        <w:rPr>
          <w:rFonts w:ascii="I" w:hAnsi="I"/>
          <w:sz w:val="24"/>
          <w:szCs w:val="24"/>
        </w:rPr>
        <w:t xml:space="preserve">Приложение к постановлению администрации Печенгского муниципального округа </w:t>
      </w:r>
      <w:r>
        <w:rPr>
          <w:rFonts w:ascii="I" w:hAnsi="I"/>
          <w:sz w:val="24"/>
          <w:szCs w:val="24"/>
        </w:rPr>
      </w:r>
      <w:r>
        <w:rPr>
          <w:rFonts w:ascii="I" w:hAnsi="I"/>
          <w:sz w:val="24"/>
          <w:szCs w:val="24"/>
        </w:rPr>
      </w:r>
    </w:p>
    <w:p>
      <w:pPr>
        <w:ind w:left="6237"/>
        <w:jc w:val="both"/>
        <w:rPr>
          <w:rFonts w:ascii="I" w:hAnsi="I"/>
          <w:sz w:val="24"/>
          <w:szCs w:val="24"/>
        </w:rPr>
      </w:pPr>
      <w:r>
        <w:rPr>
          <w:rFonts w:ascii="I" w:hAnsi="I"/>
          <w:sz w:val="24"/>
          <w:szCs w:val="24"/>
        </w:rPr>
        <w:t xml:space="preserve">от 23.07.2026 № 1409</w:t>
      </w:r>
      <w:r>
        <w:rPr>
          <w:rFonts w:ascii="I" w:hAnsi="I"/>
          <w:sz w:val="24"/>
          <w:szCs w:val="24"/>
        </w:rPr>
      </w:r>
      <w:r>
        <w:rPr>
          <w:rFonts w:ascii="I" w:hAnsi="I"/>
          <w:sz w:val="24"/>
          <w:szCs w:val="24"/>
        </w:rPr>
      </w:r>
    </w:p>
    <w:p>
      <w:pPr>
        <w:ind w:left="6237"/>
        <w:jc w:val="both"/>
        <w:rPr>
          <w:rFonts w:ascii="I" w:hAnsi="I"/>
          <w:sz w:val="24"/>
          <w:szCs w:val="24"/>
        </w:rPr>
      </w:pPr>
      <w:r>
        <w:rPr>
          <w:rFonts w:ascii="I" w:hAnsi="I"/>
          <w:sz w:val="24"/>
          <w:szCs w:val="24"/>
        </w:rPr>
        <w:t xml:space="preserve">«</w:t>
      </w:r>
      <w:r>
        <w:rPr>
          <w:rFonts w:ascii="I" w:hAnsi="I"/>
          <w:sz w:val="24"/>
          <w:szCs w:val="24"/>
        </w:rPr>
        <w:t xml:space="preserve">Приложение № 2</w:t>
      </w:r>
      <w:r>
        <w:rPr>
          <w:rFonts w:ascii="I" w:hAnsi="I"/>
          <w:sz w:val="24"/>
          <w:szCs w:val="24"/>
        </w:rPr>
      </w:r>
      <w:r>
        <w:rPr>
          <w:rFonts w:ascii="I" w:hAnsi="I"/>
          <w:sz w:val="24"/>
          <w:szCs w:val="24"/>
        </w:rPr>
      </w:r>
    </w:p>
    <w:p>
      <w:pPr>
        <w:pStyle w:val="941"/>
        <w:ind w:left="6237"/>
        <w:jc w:val="both"/>
        <w:rPr>
          <w:rFonts w:ascii="I" w:hAnsi="I"/>
          <w:sz w:val="24"/>
          <w:szCs w:val="24"/>
        </w:rPr>
      </w:pPr>
      <w:r>
        <w:rPr>
          <w:rFonts w:ascii="I" w:hAnsi="I"/>
          <w:sz w:val="24"/>
          <w:szCs w:val="24"/>
        </w:rPr>
        <w:t xml:space="preserve">к примерному П</w:t>
      </w:r>
      <w:r>
        <w:rPr>
          <w:rFonts w:ascii="I" w:hAnsi="I"/>
          <w:sz w:val="24"/>
          <w:szCs w:val="24"/>
        </w:rPr>
        <w:t xml:space="preserve">оложению </w:t>
      </w:r>
      <w:r>
        <w:rPr>
          <w:rFonts w:ascii="I" w:hAnsi="I"/>
          <w:sz w:val="24"/>
          <w:szCs w:val="24"/>
        </w:rPr>
      </w:r>
      <w:r>
        <w:rPr>
          <w:rFonts w:ascii="I" w:hAnsi="I"/>
          <w:sz w:val="24"/>
          <w:szCs w:val="24"/>
        </w:rPr>
      </w:r>
    </w:p>
    <w:p>
      <w:pPr>
        <w:pStyle w:val="941"/>
        <w:ind w:left="0"/>
        <w:jc w:val="right"/>
        <w:rPr>
          <w:rFonts w:ascii="I" w:hAnsi="I"/>
          <w:sz w:val="24"/>
          <w:szCs w:val="24"/>
        </w:rPr>
      </w:pPr>
      <w:r>
        <w:rPr>
          <w:rFonts w:ascii="I" w:hAnsi="I"/>
          <w:sz w:val="24"/>
          <w:szCs w:val="24"/>
        </w:rPr>
      </w:r>
      <w:r>
        <w:rPr>
          <w:rFonts w:ascii="I" w:hAnsi="I"/>
          <w:sz w:val="24"/>
          <w:szCs w:val="24"/>
        </w:rPr>
      </w:r>
      <w:r>
        <w:rPr>
          <w:rFonts w:ascii="I" w:hAnsi="I"/>
          <w:sz w:val="24"/>
          <w:szCs w:val="24"/>
        </w:rPr>
      </w:r>
    </w:p>
    <w:p>
      <w:pPr>
        <w:pStyle w:val="941"/>
        <w:ind w:left="0"/>
        <w:jc w:val="right"/>
        <w:rPr>
          <w:rFonts w:ascii="I" w:hAnsi="I"/>
          <w:sz w:val="24"/>
          <w:szCs w:val="24"/>
        </w:rPr>
      </w:pPr>
      <w:r>
        <w:rPr>
          <w:rFonts w:ascii="I" w:hAnsi="I"/>
          <w:sz w:val="24"/>
          <w:szCs w:val="24"/>
        </w:rPr>
      </w:r>
      <w:r>
        <w:rPr>
          <w:rFonts w:ascii="I" w:hAnsi="I"/>
          <w:sz w:val="24"/>
          <w:szCs w:val="24"/>
        </w:rPr>
      </w:r>
      <w:r>
        <w:rPr>
          <w:rFonts w:ascii="I" w:hAnsi="I"/>
          <w:sz w:val="24"/>
          <w:szCs w:val="24"/>
        </w:rPr>
      </w:r>
    </w:p>
    <w:p>
      <w:pPr>
        <w:jc w:val="center"/>
        <w:widowControl w:val="off"/>
        <w:rPr>
          <w:b/>
          <w:caps/>
          <w:color w:val="auto"/>
          <w:sz w:val="24"/>
          <w:szCs w:val="24"/>
        </w:rPr>
      </w:pPr>
      <w:r>
        <w:rPr>
          <w:b/>
          <w:caps/>
          <w:color w:val="auto"/>
          <w:sz w:val="24"/>
          <w:szCs w:val="24"/>
        </w:rPr>
        <w:t xml:space="preserve">Размеры Выплат</w:t>
      </w:r>
      <w:r>
        <w:rPr>
          <w:b/>
          <w:caps/>
          <w:color w:val="auto"/>
          <w:sz w:val="24"/>
          <w:szCs w:val="24"/>
        </w:rPr>
      </w:r>
      <w:r>
        <w:rPr>
          <w:b/>
          <w:caps/>
          <w:color w:val="auto"/>
          <w:sz w:val="24"/>
          <w:szCs w:val="24"/>
        </w:rPr>
      </w:r>
    </w:p>
    <w:p>
      <w:pPr>
        <w:jc w:val="center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стимулирующего характера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2"/>
        </w:rPr>
      </w:pPr>
      <w:r>
        <w:rPr>
          <w:color w:val="auto"/>
          <w:sz w:val="22"/>
        </w:rPr>
      </w:r>
      <w:r>
        <w:rPr>
          <w:color w:val="auto"/>
          <w:sz w:val="22"/>
        </w:rPr>
      </w:r>
      <w:r>
        <w:rPr>
          <w:color w:val="auto"/>
          <w:sz w:val="22"/>
        </w:rPr>
      </w:r>
    </w:p>
    <w:tbl>
      <w:tblPr>
        <w:tblW w:w="95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173"/>
        <w:gridCol w:w="2409"/>
      </w:tblGrid>
      <w:tr>
        <w:tblPrEx/>
        <w:trPr>
          <w:jc w:val="center"/>
        </w:trPr>
        <w:tc>
          <w:tcPr>
            <w:tcW w:w="717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Виды выплат</w:t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Размер выплат</w:t>
            </w:r>
            <w:r>
              <w:rPr>
                <w:b/>
                <w:color w:val="auto"/>
                <w:sz w:val="24"/>
                <w:szCs w:val="24"/>
              </w:rPr>
              <w:t xml:space="preserve"> (%)</w:t>
            </w:r>
            <w:r>
              <w:rPr>
                <w:b/>
                <w:color w:val="auto"/>
                <w:sz w:val="24"/>
                <w:szCs w:val="24"/>
              </w:rPr>
            </w:r>
            <w:r>
              <w:rPr>
                <w:b/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562"/>
        </w:trPr>
        <w:tc>
          <w:tcPr>
            <w:tcW w:w="717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1. </w:t>
            </w:r>
            <w:r>
              <w:rPr>
                <w:sz w:val="24"/>
                <w:szCs w:val="24"/>
                <w:lang w:eastAsia="en-US"/>
              </w:rPr>
              <w:t xml:space="preserve">За сложность и напряженность (интенсивность), высокие результаты </w:t>
            </w:r>
            <w:r>
              <w:rPr>
                <w:sz w:val="24"/>
                <w:szCs w:val="24"/>
                <w:lang w:eastAsia="en-US"/>
              </w:rPr>
              <w:t xml:space="preserve">работы*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Не ограничен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562"/>
        </w:trPr>
        <w:tc>
          <w:tcPr>
            <w:tcW w:w="717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2.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 xml:space="preserve">Педагогу</w:t>
            </w:r>
            <w:r>
              <w:rPr>
                <w:color w:val="auto"/>
                <w:sz w:val="24"/>
                <w:szCs w:val="24"/>
              </w:rPr>
              <w:t xml:space="preserve"> - молодому специалисту*</w:t>
            </w:r>
            <w:r>
              <w:rPr>
                <w:color w:val="auto"/>
                <w:sz w:val="24"/>
                <w:szCs w:val="24"/>
              </w:rPr>
              <w:t xml:space="preserve">*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20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17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3</w:t>
            </w:r>
            <w:r>
              <w:rPr>
                <w:color w:val="auto"/>
                <w:sz w:val="24"/>
                <w:szCs w:val="24"/>
              </w:rPr>
              <w:t xml:space="preserve">. За почетное звание Российской Федерации, ученую степень, ученое звание**</w:t>
            </w:r>
            <w:r>
              <w:rPr>
                <w:color w:val="auto"/>
                <w:sz w:val="24"/>
                <w:szCs w:val="24"/>
              </w:rPr>
              <w:t xml:space="preserve">*</w:t>
            </w:r>
            <w:r>
              <w:rPr>
                <w:color w:val="auto"/>
                <w:sz w:val="24"/>
                <w:szCs w:val="24"/>
              </w:rPr>
              <w:t xml:space="preserve">: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17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3</w:t>
            </w:r>
            <w:r>
              <w:rPr>
                <w:color w:val="auto"/>
                <w:sz w:val="24"/>
                <w:szCs w:val="24"/>
              </w:rPr>
              <w:t xml:space="preserve">.1. за ученую степень кандидата наук и работающим по соответствующему профилю или почетное звание «Заслуженный»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до 20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17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3</w:t>
            </w:r>
            <w:r>
              <w:rPr>
                <w:color w:val="auto"/>
                <w:sz w:val="24"/>
                <w:szCs w:val="24"/>
              </w:rPr>
              <w:t xml:space="preserve">.2. за ученую степень доктора наук и работающим по соответствующему профилю или почетное звание «Народный»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до 40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7173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3.3. за наставничество</w:t>
            </w:r>
            <w:r>
              <w:rPr>
                <w:color w:val="auto"/>
                <w:sz w:val="24"/>
                <w:szCs w:val="24"/>
              </w:rPr>
              <w:t xml:space="preserve">**</w:t>
            </w:r>
            <w:r>
              <w:rPr>
                <w:color w:val="auto"/>
                <w:sz w:val="24"/>
                <w:szCs w:val="24"/>
              </w:rPr>
              <w:t xml:space="preserve">**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10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Примечание: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lang w:eastAsia="en-US"/>
        </w:rPr>
      </w:pPr>
      <w:r>
        <w:rPr>
          <w:lang w:eastAsia="en-US"/>
        </w:rPr>
        <w:t xml:space="preserve">*Стимулирующая выплата за слож</w:t>
      </w:r>
      <w:r>
        <w:rPr>
          <w:lang w:eastAsia="en-US"/>
        </w:rPr>
        <w:t xml:space="preserve">ность и напряженность (интенсивность), высокие результаты работы устанавливается работникам учреждения в соответствии с целевыми показателями эффективности деятельности работников, утвержденными приказом руководителя в разрезе должностей по согласованию с </w:t>
      </w:r>
      <w:r>
        <w:rPr>
          <w:color w:val="auto"/>
        </w:rPr>
        <w:t xml:space="preserve">представительным органом работников (при наличии) </w:t>
      </w:r>
      <w:r>
        <w:rPr>
          <w:lang w:eastAsia="en-US"/>
        </w:rPr>
        <w:t xml:space="preserve">или совещательным органом учреждения. Выплата устанавливается сроком не более 1 года и по истечении, которого может быть сохранена или отменена.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  <w:t xml:space="preserve">*</w:t>
      </w:r>
      <w:r>
        <w:rPr>
          <w:color w:val="auto"/>
        </w:rPr>
        <w:t xml:space="preserve">*К </w:t>
      </w:r>
      <w:r>
        <w:rPr>
          <w:color w:val="auto"/>
        </w:rPr>
        <w:t xml:space="preserve">педагогам - </w:t>
      </w:r>
      <w:r>
        <w:rPr>
          <w:color w:val="auto"/>
        </w:rPr>
        <w:t xml:space="preserve">молодым специалистам в целях реализации настоящего По</w:t>
      </w:r>
      <w:r>
        <w:rPr>
          <w:color w:val="auto"/>
        </w:rPr>
        <w:t xml:space="preserve">ложения относятся выпускники профессиональных образовательных организаций, образовательных организаций высшего образования очной, очно-заочной (вечерней) и заочной форм обучения в возрасте до 35 лет, принятые на работу в учреждения в течение трех лет со дн</w:t>
      </w:r>
      <w:r>
        <w:rPr>
          <w:color w:val="auto"/>
        </w:rPr>
        <w:t xml:space="preserve">я выдачи документов о соответствующем образовании и (или) квалификации. Право молодого специалиста на получение размера оклада (ставки) с учетом установленного коэффициента действует в течение трех лет со дня заключения им трудового договора с учреждением.</w:t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  <w:t xml:space="preserve">В указанный период не включается срок, в течение которого молодой специалис</w:t>
      </w:r>
      <w:r>
        <w:rPr>
          <w:color w:val="auto"/>
        </w:rPr>
        <w:t xml:space="preserve">т был призван на военную службу или направлен на заменяющую ее альтернативную гражданскую службу, направлен на обучение, повышение квалификации или стажировку с отрывом от работы, находился в отпуске по уходу за ребенком до достижения им возраста трех лет.</w:t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  <w:t xml:space="preserve">Право молодого специалиста на получение размера оклада (ставки) с учетом установленного коэффициента утрачивается в следующих случаях:</w:t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  <w:t xml:space="preserve">- расторжение трудового договора по инициативе молодого специалиста;</w:t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  <w:t xml:space="preserve">- расторжение трудового договора по инициативе работодателя за виновные действия молодого специалиста по основаниям, предусмотренным трудовым законодательством Российской Федерации.</w:t>
      </w:r>
      <w:r>
        <w:rPr>
          <w:color w:val="auto"/>
        </w:rPr>
      </w:r>
      <w:r>
        <w:rPr>
          <w:color w:val="auto"/>
        </w:rPr>
      </w:r>
    </w:p>
    <w:p>
      <w:pPr>
        <w:ind w:firstLine="709"/>
        <w:jc w:val="both"/>
        <w:widowControl w:val="off"/>
        <w:rPr>
          <w:color w:val="auto"/>
        </w:rPr>
      </w:pPr>
      <w:r>
        <w:rPr>
          <w:color w:val="auto"/>
        </w:rPr>
        <w:t xml:space="preserve">*</w:t>
      </w:r>
      <w:r>
        <w:rPr>
          <w:color w:val="auto"/>
        </w:rPr>
        <w:t xml:space="preserve">**Стимулирующая надбавка за почетное звание Российской Федерации, ученую степень, ученое звание устанавливается работникам, которым присвоена ученая степень, ученое звание, почетное звание по основному профилю профессиональной деятельности.</w:t>
      </w:r>
      <w:r>
        <w:rPr>
          <w:color w:val="auto"/>
        </w:rPr>
      </w:r>
      <w:r>
        <w:rPr>
          <w:color w:val="auto"/>
        </w:rPr>
      </w:r>
    </w:p>
    <w:p>
      <w:pPr>
        <w:ind w:firstLine="708"/>
        <w:jc w:val="both"/>
      </w:pPr>
      <w:r>
        <w:rPr>
          <w:color w:val="auto"/>
        </w:rPr>
        <w:t xml:space="preserve">*</w:t>
      </w:r>
      <w:r>
        <w:rPr>
          <w:color w:val="auto"/>
        </w:rPr>
        <w:t xml:space="preserve">***</w:t>
      </w:r>
      <w:r>
        <w:rPr>
          <w:sz w:val="24"/>
          <w:szCs w:val="24"/>
        </w:rPr>
        <w:t xml:space="preserve"> </w:t>
      </w:r>
      <w:r>
        <w:t xml:space="preserve">з</w:t>
      </w:r>
      <w:r>
        <w:t xml:space="preserve">а осуществление наставничества работнику устанавливается доплата при условии назначения </w:t>
      </w:r>
      <w:r>
        <w:t xml:space="preserve">работника </w:t>
      </w:r>
      <w:r>
        <w:t xml:space="preserve">наставником не более двух раз в календарном году и осуществлении наставничества в отношении одного работника единовременно.</w:t>
      </w:r>
      <w:r/>
    </w:p>
    <w:p>
      <w:pPr>
        <w:ind w:firstLine="708"/>
        <w:jc w:val="both"/>
      </w:pPr>
      <w:r>
        <w:t xml:space="preserve">Доплат</w:t>
      </w:r>
      <w:r>
        <w:t xml:space="preserve">а</w:t>
      </w:r>
      <w:r>
        <w:t xml:space="preserve"> за осуществление наставничества не учитывается </w:t>
      </w:r>
      <w:r>
        <w:t xml:space="preserve">при доведении заработной платы до минимального размера оплаты труда</w:t>
      </w:r>
      <w:r>
        <w:t xml:space="preserve">.</w:t>
      </w:r>
      <w:r>
        <w:t xml:space="preserve">»</w:t>
      </w:r>
      <w:r>
        <w:t xml:space="preserve">.</w:t>
      </w:r>
      <w:r/>
    </w:p>
    <w:p>
      <w:pPr>
        <w:ind w:firstLine="708"/>
        <w:jc w:val="both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ind w:firstLine="708"/>
        <w:jc w:val="both"/>
        <w:rPr>
          <w:color w:val="auto"/>
        </w:rPr>
      </w:pPr>
      <w:r/>
      <w:bookmarkStart w:id="0" w:name="_GoBack"/>
      <w:r/>
      <w:bookmarkEnd w:id="0"/>
      <w:r>
        <w:rPr>
          <w:color w:val="auto"/>
        </w:rPr>
      </w:r>
      <w:r>
        <w:rPr>
          <w:color w:val="auto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footnotePr/>
      <w:endnotePr/>
      <w:type w:val="nextPage"/>
      <w:pgSz w:w="11906" w:h="16838" w:orient="portrait"/>
      <w:pgMar w:top="567" w:right="850" w:bottom="70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I">
    <w:panose1 w:val="020B0402020203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multiLevelType w:val="hybridMultilevel"/>
    <w:lvl w:ilvl="0">
      <w:start w:val="9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isLgl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6"/>
  </w:num>
  <w:num w:numId="2">
    <w:abstractNumId w:val="13"/>
  </w:num>
  <w:num w:numId="3">
    <w:abstractNumId w:val="16"/>
  </w:num>
  <w:num w:numId="4">
    <w:abstractNumId w:val="2"/>
  </w:num>
  <w:num w:numId="5">
    <w:abstractNumId w:val="4"/>
  </w:num>
  <w:num w:numId="6">
    <w:abstractNumId w:val="14"/>
  </w:num>
  <w:num w:numId="7">
    <w:abstractNumId w:val="12"/>
  </w:num>
  <w:num w:numId="8">
    <w:abstractNumId w:val="0"/>
  </w:num>
  <w:num w:numId="9">
    <w:abstractNumId w:val="15"/>
  </w:num>
  <w:num w:numId="10">
    <w:abstractNumId w:val="11"/>
  </w:num>
  <w:num w:numId="11">
    <w:abstractNumId w:val="8"/>
  </w:num>
  <w:num w:numId="12">
    <w:abstractNumId w:val="3"/>
  </w:num>
  <w:num w:numId="13">
    <w:abstractNumId w:val="10"/>
  </w:num>
  <w:num w:numId="14">
    <w:abstractNumId w:val="5"/>
  </w:num>
  <w:num w:numId="15">
    <w:abstractNumId w:val="1"/>
  </w:num>
  <w:num w:numId="16">
    <w:abstractNumId w:val="9"/>
  </w:num>
  <w:num w:numId="17">
    <w:abstractNumId w:val="7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0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0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4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7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8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10">
    <w:name w:val="Heading 1"/>
    <w:basedOn w:val="709"/>
    <w:next w:val="709"/>
    <w:link w:val="7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1">
    <w:name w:val="Heading 2"/>
    <w:basedOn w:val="709"/>
    <w:next w:val="709"/>
    <w:link w:val="77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2">
    <w:name w:val="Heading 3"/>
    <w:basedOn w:val="709"/>
    <w:next w:val="709"/>
    <w:link w:val="7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3">
    <w:name w:val="Heading 4"/>
    <w:basedOn w:val="709"/>
    <w:next w:val="709"/>
    <w:link w:val="936"/>
    <w:qFormat/>
    <w:pPr>
      <w:ind w:firstLine="709"/>
      <w:keepNext/>
      <w:outlineLvl w:val="3"/>
    </w:pPr>
    <w:rPr>
      <w:sz w:val="28"/>
    </w:rPr>
  </w:style>
  <w:style w:type="paragraph" w:styleId="714">
    <w:name w:val="Heading 5"/>
    <w:basedOn w:val="709"/>
    <w:next w:val="709"/>
    <w:link w:val="77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709"/>
    <w:next w:val="709"/>
    <w:link w:val="7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709"/>
    <w:next w:val="709"/>
    <w:link w:val="7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7">
    <w:name w:val="Heading 8"/>
    <w:basedOn w:val="709"/>
    <w:next w:val="709"/>
    <w:link w:val="7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709"/>
    <w:next w:val="709"/>
    <w:link w:val="7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table" w:styleId="722" w:customStyle="1">
    <w:name w:val="Таблица простая 11"/>
    <w:basedOn w:val="72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Таблица простая 21"/>
    <w:basedOn w:val="72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Таблица простая 3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 w:customStyle="1">
    <w:name w:val="Таблица простая 4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Таблица простая 5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 w:customStyle="1">
    <w:name w:val="Таблица-сетка 1 светл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Таблица-сетка 2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Таблица-сетка 3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Таблица-сетка 41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 w:customStyle="1">
    <w:name w:val="Таблица-сетка 5 тем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2" w:customStyle="1">
    <w:name w:val="Таблица-сетка 6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3" w:customStyle="1">
    <w:name w:val="Таблица-сетка 7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4" w:customStyle="1">
    <w:name w:val="Список-таблица 1 светлая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Список-таблица 2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6" w:customStyle="1">
    <w:name w:val="Список-таблица 3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Список-таблица 4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Список-таблица 5 тем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9" w:customStyle="1">
    <w:name w:val="Список-таблица 6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0" w:customStyle="1">
    <w:name w:val="Список-таблица 7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1" w:customStyle="1">
    <w:name w:val="Heading 1 Char"/>
    <w:basedOn w:val="719"/>
    <w:uiPriority w:val="9"/>
    <w:rPr>
      <w:rFonts w:ascii="Arial" w:hAnsi="Arial" w:eastAsia="Arial" w:cs="Arial"/>
      <w:sz w:val="40"/>
      <w:szCs w:val="40"/>
    </w:rPr>
  </w:style>
  <w:style w:type="character" w:styleId="742" w:customStyle="1">
    <w:name w:val="Heading 2 Char"/>
    <w:basedOn w:val="719"/>
    <w:uiPriority w:val="9"/>
    <w:rPr>
      <w:rFonts w:ascii="Arial" w:hAnsi="Arial" w:eastAsia="Arial" w:cs="Arial"/>
      <w:sz w:val="34"/>
    </w:rPr>
  </w:style>
  <w:style w:type="character" w:styleId="743" w:customStyle="1">
    <w:name w:val="Heading 3 Char"/>
    <w:basedOn w:val="719"/>
    <w:uiPriority w:val="9"/>
    <w:rPr>
      <w:rFonts w:ascii="Arial" w:hAnsi="Arial" w:eastAsia="Arial" w:cs="Arial"/>
      <w:sz w:val="30"/>
      <w:szCs w:val="30"/>
    </w:rPr>
  </w:style>
  <w:style w:type="character" w:styleId="744" w:customStyle="1">
    <w:name w:val="Heading 5 Char"/>
    <w:basedOn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45" w:customStyle="1">
    <w:name w:val="Heading 6 Char"/>
    <w:basedOn w:val="719"/>
    <w:uiPriority w:val="9"/>
    <w:rPr>
      <w:rFonts w:ascii="Arial" w:hAnsi="Arial" w:eastAsia="Arial" w:cs="Arial"/>
      <w:b/>
      <w:bCs/>
      <w:sz w:val="22"/>
      <w:szCs w:val="22"/>
    </w:rPr>
  </w:style>
  <w:style w:type="character" w:styleId="746" w:customStyle="1">
    <w:name w:val="Heading 7 Char"/>
    <w:basedOn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 w:customStyle="1">
    <w:name w:val="Heading 8 Char"/>
    <w:basedOn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48" w:customStyle="1">
    <w:name w:val="Heading 9 Char"/>
    <w:basedOn w:val="719"/>
    <w:uiPriority w:val="9"/>
    <w:rPr>
      <w:rFonts w:ascii="Arial" w:hAnsi="Arial" w:eastAsia="Arial" w:cs="Arial"/>
      <w:i/>
      <w:iCs/>
      <w:sz w:val="21"/>
      <w:szCs w:val="21"/>
    </w:rPr>
  </w:style>
  <w:style w:type="character" w:styleId="749" w:customStyle="1">
    <w:name w:val="Title Char"/>
    <w:basedOn w:val="719"/>
    <w:uiPriority w:val="10"/>
    <w:rPr>
      <w:sz w:val="48"/>
      <w:szCs w:val="48"/>
    </w:rPr>
  </w:style>
  <w:style w:type="character" w:styleId="750" w:customStyle="1">
    <w:name w:val="Subtitle Char"/>
    <w:basedOn w:val="719"/>
    <w:uiPriority w:val="11"/>
    <w:rPr>
      <w:sz w:val="24"/>
      <w:szCs w:val="24"/>
    </w:rPr>
  </w:style>
  <w:style w:type="character" w:styleId="751" w:customStyle="1">
    <w:name w:val="Quote Char"/>
    <w:uiPriority w:val="29"/>
    <w:rPr>
      <w:i/>
    </w:rPr>
  </w:style>
  <w:style w:type="character" w:styleId="752" w:customStyle="1">
    <w:name w:val="Intense Quote Char"/>
    <w:uiPriority w:val="30"/>
    <w:rPr>
      <w:i/>
    </w:rPr>
  </w:style>
  <w:style w:type="character" w:styleId="753" w:customStyle="1">
    <w:name w:val="Header Char"/>
    <w:basedOn w:val="719"/>
    <w:uiPriority w:val="99"/>
  </w:style>
  <w:style w:type="character" w:styleId="754" w:customStyle="1">
    <w:name w:val="Caption Char"/>
    <w:uiPriority w:val="99"/>
  </w:style>
  <w:style w:type="table" w:styleId="755" w:customStyle="1">
    <w:name w:val="Таблица простая 11"/>
    <w:basedOn w:val="72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Таблица простая 21"/>
    <w:basedOn w:val="72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3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 w:customStyle="1">
    <w:name w:val="Таблица простая 4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Таблица простая 5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1 светл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-сетка 2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Таблица-сетка 3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Таблица-сетка 41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Таблица-сетка 5 тем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Таблица-сетка 6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Таблица-сетка 7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Список-таблица 1 светлая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Список-таблица 2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Список-таблица 3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Список-таблица 4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Список-таблица 5 тем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2" w:customStyle="1">
    <w:name w:val="Список-таблица 6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3" w:customStyle="1">
    <w:name w:val="Список-таблица 7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74" w:customStyle="1">
    <w:name w:val="Заголовок 1 Знак"/>
    <w:basedOn w:val="719"/>
    <w:link w:val="710"/>
    <w:uiPriority w:val="9"/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19"/>
    <w:link w:val="711"/>
    <w:uiPriority w:val="9"/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19"/>
    <w:link w:val="712"/>
    <w:uiPriority w:val="9"/>
    <w:rPr>
      <w:rFonts w:ascii="Arial" w:hAnsi="Arial" w:eastAsia="Arial" w:cs="Arial"/>
      <w:sz w:val="30"/>
      <w:szCs w:val="30"/>
    </w:rPr>
  </w:style>
  <w:style w:type="character" w:styleId="777" w:customStyle="1">
    <w:name w:val="Heading 4 Char"/>
    <w:basedOn w:val="719"/>
    <w:uiPriority w:val="9"/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83">
    <w:name w:val="No Spacing"/>
    <w:uiPriority w:val="1"/>
    <w:qFormat/>
    <w:pPr>
      <w:spacing w:after="0" w:line="240" w:lineRule="auto"/>
    </w:pPr>
  </w:style>
  <w:style w:type="paragraph" w:styleId="784">
    <w:name w:val="Title"/>
    <w:basedOn w:val="709"/>
    <w:next w:val="709"/>
    <w:link w:val="7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5" w:customStyle="1">
    <w:name w:val="Название Знак"/>
    <w:basedOn w:val="719"/>
    <w:link w:val="784"/>
    <w:uiPriority w:val="10"/>
    <w:rPr>
      <w:sz w:val="48"/>
      <w:szCs w:val="48"/>
    </w:rPr>
  </w:style>
  <w:style w:type="paragraph" w:styleId="786">
    <w:name w:val="Subtitle"/>
    <w:basedOn w:val="709"/>
    <w:next w:val="709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 w:customStyle="1">
    <w:name w:val="Подзаголовок Знак"/>
    <w:basedOn w:val="719"/>
    <w:link w:val="786"/>
    <w:uiPriority w:val="11"/>
    <w:rPr>
      <w:sz w:val="24"/>
      <w:szCs w:val="24"/>
    </w:rPr>
  </w:style>
  <w:style w:type="paragraph" w:styleId="788">
    <w:name w:val="Quote"/>
    <w:basedOn w:val="709"/>
    <w:next w:val="709"/>
    <w:link w:val="789"/>
    <w:uiPriority w:val="29"/>
    <w:qFormat/>
    <w:pPr>
      <w:ind w:left="720" w:right="720"/>
    </w:pPr>
    <w:rPr>
      <w:i/>
    </w:rPr>
  </w:style>
  <w:style w:type="character" w:styleId="789" w:customStyle="1">
    <w:name w:val="Цитата 2 Знак"/>
    <w:link w:val="788"/>
    <w:uiPriority w:val="29"/>
    <w:rPr>
      <w:i/>
    </w:rPr>
  </w:style>
  <w:style w:type="paragraph" w:styleId="790">
    <w:name w:val="Intense Quote"/>
    <w:basedOn w:val="709"/>
    <w:next w:val="709"/>
    <w:link w:val="79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 w:customStyle="1">
    <w:name w:val="Выделенная цитата Знак"/>
    <w:link w:val="790"/>
    <w:uiPriority w:val="30"/>
    <w:rPr>
      <w:i/>
    </w:rPr>
  </w:style>
  <w:style w:type="paragraph" w:styleId="792">
    <w:name w:val="Header"/>
    <w:basedOn w:val="709"/>
    <w:link w:val="79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93" w:customStyle="1">
    <w:name w:val="Верхний колонтитул Знак"/>
    <w:basedOn w:val="719"/>
    <w:link w:val="792"/>
    <w:uiPriority w:val="99"/>
  </w:style>
  <w:style w:type="paragraph" w:styleId="794">
    <w:name w:val="Footer"/>
    <w:basedOn w:val="709"/>
    <w:link w:val="79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95" w:customStyle="1">
    <w:name w:val="Footer Char"/>
    <w:basedOn w:val="719"/>
    <w:uiPriority w:val="99"/>
  </w:style>
  <w:style w:type="paragraph" w:styleId="796">
    <w:name w:val="Caption"/>
    <w:basedOn w:val="709"/>
    <w:next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7" w:customStyle="1">
    <w:name w:val="Нижний колонтитул Знак"/>
    <w:link w:val="794"/>
    <w:uiPriority w:val="99"/>
  </w:style>
  <w:style w:type="table" w:styleId="798" w:customStyle="1">
    <w:name w:val="Table Grid Light"/>
    <w:basedOn w:val="72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9" w:customStyle="1">
    <w:name w:val="Таблица простая 11"/>
    <w:basedOn w:val="72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0" w:customStyle="1">
    <w:name w:val="Таблица простая 21"/>
    <w:basedOn w:val="72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1" w:customStyle="1">
    <w:name w:val="Таблица простая 3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2" w:customStyle="1">
    <w:name w:val="Таблица простая 4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Таблица простая 5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4" w:customStyle="1">
    <w:name w:val="Таблица-сетка 1 светл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Таблица-сетка 2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3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Таблица-сетка 41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6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7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8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9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0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1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2" w:customStyle="1">
    <w:name w:val="Таблица-сетка 5 тем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8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9" w:customStyle="1">
    <w:name w:val="Таблица-сетка 6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0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1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2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3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4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5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6" w:customStyle="1">
    <w:name w:val="Таблица-сетка 7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Список-таблица 1 светлая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Список-таблица 2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5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6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7" w:customStyle="1">
    <w:name w:val="Список-таблица 3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4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Список-таблица 5 тем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8" w:customStyle="1">
    <w:name w:val="Список-таблица 6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9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0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1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2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3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4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5" w:customStyle="1">
    <w:name w:val="Список-таблица 7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2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0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1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2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3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4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5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6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7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8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9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0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1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2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23" w:customStyle="1">
    <w:name w:val="Footnote Text Char"/>
    <w:uiPriority w:val="99"/>
    <w:rPr>
      <w:sz w:val="18"/>
    </w:rPr>
  </w:style>
  <w:style w:type="character" w:styleId="924" w:customStyle="1">
    <w:name w:val="Endnote Text Char"/>
    <w:uiPriority w:val="99"/>
    <w:rPr>
      <w:sz w:val="20"/>
    </w:rPr>
  </w:style>
  <w:style w:type="paragraph" w:styleId="925">
    <w:name w:val="toc 1"/>
    <w:basedOn w:val="709"/>
    <w:next w:val="709"/>
    <w:uiPriority w:val="39"/>
    <w:unhideWhenUsed/>
    <w:pPr>
      <w:spacing w:after="57"/>
    </w:pPr>
  </w:style>
  <w:style w:type="paragraph" w:styleId="926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927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928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929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930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931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932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933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709"/>
    <w:next w:val="709"/>
    <w:uiPriority w:val="99"/>
    <w:unhideWhenUsed/>
  </w:style>
  <w:style w:type="character" w:styleId="936" w:customStyle="1">
    <w:name w:val="Заголовок 4 Знак"/>
    <w:basedOn w:val="719"/>
    <w:link w:val="71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937">
    <w:name w:val="Table Grid"/>
    <w:basedOn w:val="72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8">
    <w:name w:val="Balloon Text"/>
    <w:basedOn w:val="709"/>
    <w:link w:val="939"/>
    <w:uiPriority w:val="99"/>
    <w:semiHidden/>
    <w:unhideWhenUsed/>
    <w:rPr>
      <w:rFonts w:ascii="Tahoma" w:hAnsi="Tahoma" w:cs="Tahoma"/>
      <w:sz w:val="16"/>
      <w:szCs w:val="16"/>
    </w:rPr>
  </w:style>
  <w:style w:type="character" w:styleId="939" w:customStyle="1">
    <w:name w:val="Текст выноски Знак"/>
    <w:basedOn w:val="719"/>
    <w:link w:val="93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940">
    <w:name w:val="Hyperlink"/>
    <w:basedOn w:val="719"/>
    <w:uiPriority w:val="99"/>
    <w:unhideWhenUsed/>
    <w:rPr>
      <w:color w:val="0000ff" w:themeColor="hyperlink"/>
      <w:u w:val="single"/>
    </w:rPr>
  </w:style>
  <w:style w:type="paragraph" w:styleId="941">
    <w:name w:val="List Paragraph"/>
    <w:basedOn w:val="709"/>
    <w:uiPriority w:val="34"/>
    <w:qFormat/>
    <w:pPr>
      <w:contextualSpacing/>
      <w:ind w:left="720"/>
    </w:pPr>
  </w:style>
  <w:style w:type="paragraph" w:styleId="942">
    <w:name w:val="endnote text"/>
    <w:basedOn w:val="709"/>
    <w:link w:val="943"/>
    <w:uiPriority w:val="99"/>
    <w:semiHidden/>
    <w:unhideWhenUsed/>
  </w:style>
  <w:style w:type="character" w:styleId="943" w:customStyle="1">
    <w:name w:val="Текст концевой сноски Знак"/>
    <w:basedOn w:val="719"/>
    <w:link w:val="942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44">
    <w:name w:val="endnote reference"/>
    <w:basedOn w:val="719"/>
    <w:uiPriority w:val="99"/>
    <w:semiHidden/>
    <w:unhideWhenUsed/>
    <w:rPr>
      <w:vertAlign w:val="superscript"/>
    </w:rPr>
  </w:style>
  <w:style w:type="paragraph" w:styleId="945">
    <w:name w:val="footnote text"/>
    <w:basedOn w:val="709"/>
    <w:link w:val="946"/>
    <w:uiPriority w:val="99"/>
    <w:semiHidden/>
    <w:unhideWhenUsed/>
  </w:style>
  <w:style w:type="character" w:styleId="946" w:customStyle="1">
    <w:name w:val="Текст сноски Знак"/>
    <w:basedOn w:val="719"/>
    <w:link w:val="945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47">
    <w:name w:val="footnote reference"/>
    <w:basedOn w:val="719"/>
    <w:uiPriority w:val="99"/>
    <w:semiHidden/>
    <w:unhideWhenUsed/>
    <w:rPr>
      <w:vertAlign w:val="superscript"/>
    </w:rPr>
  </w:style>
  <w:style w:type="table" w:styleId="948" w:customStyle="1">
    <w:name w:val="Сетка таблицы1"/>
    <w:basedOn w:val="720"/>
    <w:next w:val="93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9" w:customStyle="1">
    <w:name w:val="Сетка таблицы2"/>
    <w:basedOn w:val="720"/>
    <w:next w:val="93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0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51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table" w:styleId="952" w:customStyle="1">
    <w:name w:val="Сетка таблицы3"/>
    <w:basedOn w:val="720"/>
    <w:next w:val="93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54" w:customStyle="1">
    <w:name w:val="ConsPlusCell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55" w:customStyle="1">
    <w:name w:val="Обычный + 12 пт"/>
    <w:basedOn w:val="709"/>
    <w:pPr>
      <w:ind w:right="94" w:firstLine="709"/>
      <w:jc w:val="both"/>
      <w:shd w:val="clear" w:color="auto" w:fill="ffffff"/>
    </w:pPr>
    <w:rPr>
      <w:rFonts w:eastAsia="Calibri"/>
      <w:color w:val="auto"/>
      <w:spacing w:val="-6"/>
      <w:sz w:val="24"/>
      <w:szCs w:val="24"/>
    </w:rPr>
  </w:style>
  <w:style w:type="paragraph" w:styleId="956">
    <w:name w:val="Body Text 3"/>
    <w:basedOn w:val="709"/>
    <w:link w:val="957"/>
    <w:pPr>
      <w:spacing w:after="120"/>
    </w:pPr>
    <w:rPr>
      <w:color w:val="auto"/>
      <w:sz w:val="16"/>
      <w:szCs w:val="16"/>
    </w:rPr>
  </w:style>
  <w:style w:type="character" w:styleId="957" w:customStyle="1">
    <w:name w:val="Основной текст 3 Знак"/>
    <w:basedOn w:val="719"/>
    <w:link w:val="956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58">
    <w:name w:val="Normal (Web)"/>
    <w:basedOn w:val="709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FAFE2-387E-4717-AF04-8E7D7AE90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2026-07-23T08:17:00Z</dcterms:created>
  <dcterms:modified xsi:type="dcterms:W3CDTF">2026-07-27T07:20:39Z</dcterms:modified>
</cp:coreProperties>
</file>