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bCs/>
          <w:sz w:val="28"/>
          <w:szCs w:val="28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b/>
          <w:bCs/>
          <w:sz w:val="28"/>
          <w:szCs w:val="28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22.07.2026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          № </w:t>
      </w:r>
      <w:r>
        <w:rPr>
          <w:b/>
          <w:sz w:val="24"/>
        </w:rPr>
        <w:t xml:space="preserve">1401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</w:pPr>
      <w:r/>
      <w:bookmarkStart w:id="0" w:name="_Hlk112832471"/>
      <w:r>
        <w:rPr>
          <w:b/>
          <w:bCs/>
          <w:iCs/>
        </w:rPr>
        <w:t xml:space="preserve">Об установлении целевых уровней </w:t>
      </w:r>
      <w:bookmarkStart w:id="1" w:name="_Hlk112832517"/>
      <w:r>
        <w:rPr>
          <w:b/>
          <w:bCs/>
          <w:iCs/>
        </w:rPr>
        <w:t xml:space="preserve">снижения</w:t>
      </w:r>
      <w:r>
        <w:rPr>
          <w:b/>
          <w:bCs/>
          <w:iCs/>
        </w:rPr>
        <w:t xml:space="preserve"> в сопоставимых условиях </w:t>
      </w:r>
      <w:r>
        <w:rPr>
          <w:b/>
          <w:bCs/>
          <w:iCs/>
        </w:rPr>
        <w:t xml:space="preserve">суммарного </w:t>
      </w:r>
      <w:r>
        <w:rPr>
          <w:b/>
          <w:bCs/>
          <w:iCs/>
        </w:rPr>
        <w:t xml:space="preserve">объема потребл</w:t>
      </w:r>
      <w:r>
        <w:rPr>
          <w:b/>
          <w:bCs/>
          <w:iCs/>
        </w:rPr>
        <w:t xml:space="preserve">яемых </w:t>
      </w:r>
      <w:r>
        <w:rPr>
          <w:b/>
          <w:bCs/>
          <w:iCs/>
        </w:rPr>
        <w:t xml:space="preserve">энергетических ресурсов</w:t>
      </w:r>
      <w:r>
        <w:rPr>
          <w:b/>
          <w:bCs/>
          <w:iCs/>
        </w:rPr>
        <w:t xml:space="preserve"> и объема потребляемой воды на 202</w:t>
      </w:r>
      <w:r>
        <w:rPr>
          <w:b/>
          <w:bCs/>
          <w:iCs/>
        </w:rPr>
        <w:t xml:space="preserve">7</w:t>
      </w:r>
      <w:r>
        <w:rPr>
          <w:b/>
          <w:bCs/>
          <w:iCs/>
        </w:rPr>
        <w:t xml:space="preserve"> - 202</w:t>
      </w:r>
      <w:r>
        <w:rPr>
          <w:b/>
          <w:bCs/>
          <w:iCs/>
        </w:rPr>
        <w:t xml:space="preserve">9</w:t>
      </w:r>
      <w:r>
        <w:rPr>
          <w:b/>
          <w:bCs/>
          <w:iCs/>
        </w:rPr>
        <w:t xml:space="preserve"> годы</w:t>
      </w:r>
      <w:bookmarkEnd w:id="0"/>
      <w:r/>
      <w:bookmarkEnd w:id="1"/>
      <w:r/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 законом от </w:t>
      </w:r>
      <w:r>
        <w:rPr>
          <w:sz w:val="24"/>
          <w:szCs w:val="24"/>
        </w:rPr>
        <w:t xml:space="preserve">06.10.2003 № 131-ФЗ «Об общих принципах организации местного самоуправления в Российской Федерации», Федеральным законом от 23.11.2009 № 261-ФЗ «Об энергосбережении и о повышении энергетической эффективности и о внесении изменений в отдельные законодательн</w:t>
      </w:r>
      <w:r>
        <w:rPr>
          <w:sz w:val="24"/>
          <w:szCs w:val="24"/>
        </w:rPr>
        <w:t xml:space="preserve">ые акты Российской Федерации», П</w:t>
      </w:r>
      <w:r>
        <w:rPr>
          <w:sz w:val="24"/>
          <w:szCs w:val="24"/>
        </w:rPr>
        <w:t xml:space="preserve">остановлением Правительства Российской Федерации </w:t>
        <w:br/>
        <w:t xml:space="preserve">от 07.10.2019 № 1289 «О требованиях к снижению государственными (муниципальными) учреждениями в сопоставимых условиях суммарного объема потребляемых ими</w:t>
      </w:r>
      <w:r>
        <w:rPr>
          <w:sz w:val="24"/>
          <w:szCs w:val="24"/>
        </w:rPr>
        <w:t xml:space="preserve"> дизельного и иного топлива, мазута, природного газа, тепловой энергии, электрической энергии, угля, а также объема потребляемой ими воды», в целях повышения уровня </w:t>
      </w:r>
      <w:r>
        <w:rPr>
          <w:sz w:val="24"/>
          <w:szCs w:val="24"/>
        </w:rPr>
        <w:t xml:space="preserve">энергоэффективности</w:t>
      </w:r>
      <w:r>
        <w:rPr>
          <w:sz w:val="24"/>
          <w:szCs w:val="24"/>
        </w:rPr>
        <w:t xml:space="preserve"> муниципальных учреждений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</w:t>
      </w:r>
      <w:r>
        <w:rPr>
          <w:b/>
          <w:sz w:val="24"/>
          <w:szCs w:val="24"/>
        </w:rPr>
        <w:t xml:space="preserve">Ю</w:t>
      </w:r>
      <w:r>
        <w:rPr>
          <w:b/>
          <w:sz w:val="24"/>
          <w:szCs w:val="24"/>
        </w:rPr>
        <w:t xml:space="preserve">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numPr>
          <w:ilvl w:val="0"/>
          <w:numId w:val="46"/>
        </w:numPr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>
        <w:rPr>
          <w:sz w:val="24"/>
          <w:szCs w:val="24"/>
        </w:rPr>
        <w:t xml:space="preserve">целевые уровни снижения в сопоставимых условиях суммарного объема потребляемых энергетических ресурсов и объема потребляемой воды </w:t>
        <w:br/>
        <w:t xml:space="preserve">на 202</w:t>
      </w:r>
      <w:r>
        <w:rPr>
          <w:sz w:val="24"/>
          <w:szCs w:val="24"/>
        </w:rPr>
        <w:t xml:space="preserve">7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муниципальных учреждений, главным распорядителем бюджетных средств которых является администрация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- целевые уровни снижения </w:t>
      </w:r>
      <w:r>
        <w:rPr>
          <w:sz w:val="24"/>
          <w:szCs w:val="24"/>
        </w:rPr>
        <w:t xml:space="preserve">потребления энергетических ресурсов и потребления </w:t>
      </w:r>
      <w:r>
        <w:rPr>
          <w:sz w:val="24"/>
          <w:szCs w:val="24"/>
        </w:rPr>
        <w:t xml:space="preserve">воды) </w:t>
      </w:r>
      <w:r>
        <w:rPr>
          <w:sz w:val="24"/>
          <w:szCs w:val="24"/>
        </w:rPr>
        <w:t xml:space="preserve">согласно приложениям</w:t>
      </w:r>
      <w:r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для зданий</w:t>
      </w:r>
      <w:r>
        <w:rPr>
          <w:sz w:val="24"/>
          <w:szCs w:val="24"/>
        </w:rPr>
        <w:t xml:space="preserve"> муниципального бюджетного учреждения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Централизованная</w:t>
      </w:r>
      <w:r>
        <w:rPr>
          <w:sz w:val="24"/>
          <w:szCs w:val="24"/>
        </w:rPr>
        <w:t xml:space="preserve"> бухгалтерия по обслуживанию муниципальных учреждений муниципального образования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муниципальный округ </w:t>
      </w:r>
      <w:r>
        <w:rPr>
          <w:sz w:val="24"/>
          <w:szCs w:val="24"/>
        </w:rPr>
        <w:t xml:space="preserve">Мурманской области»</w:t>
      </w:r>
      <w:r>
        <w:rPr>
          <w:sz w:val="24"/>
          <w:szCs w:val="24"/>
        </w:rPr>
        <w:t xml:space="preserve"> (приложение № 1);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 для зданий</w:t>
      </w:r>
      <w:r>
        <w:rPr>
          <w:sz w:val="24"/>
          <w:szCs w:val="24"/>
        </w:rPr>
        <w:t xml:space="preserve"> муниципального бюджетного учреждения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Никельская</w:t>
      </w:r>
      <w:r>
        <w:rPr>
          <w:sz w:val="24"/>
          <w:szCs w:val="24"/>
        </w:rPr>
        <w:t xml:space="preserve"> дорожная служба» </w:t>
      </w:r>
      <w:r>
        <w:rPr>
          <w:sz w:val="24"/>
          <w:szCs w:val="24"/>
        </w:rPr>
        <w:t xml:space="preserve">(приложение 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для зданий</w:t>
      </w:r>
      <w:r>
        <w:rPr>
          <w:sz w:val="24"/>
          <w:szCs w:val="24"/>
        </w:rPr>
        <w:t xml:space="preserve"> муниципального бюджетного учреждения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«Ремонтно-эксплуатационная служба» </w:t>
      </w:r>
      <w:r>
        <w:rPr>
          <w:sz w:val="24"/>
          <w:szCs w:val="24"/>
        </w:rPr>
        <w:t xml:space="preserve">(приложение №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);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для зданий</w:t>
      </w:r>
      <w:r>
        <w:rPr>
          <w:sz w:val="24"/>
          <w:szCs w:val="24"/>
        </w:rPr>
        <w:t xml:space="preserve"> муниципального казенного учреждения</w:t>
      </w:r>
      <w:r>
        <w:rPr>
          <w:sz w:val="24"/>
          <w:szCs w:val="24"/>
        </w:rPr>
        <w:t xml:space="preserve"> «Управление по обеспечению деятельности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(приложение №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для зданий муниципального казенного учреждения «Единая дежурно-диспетчерская служба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области» (приложение №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29"/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929"/>
        <w:numPr>
          <w:ilvl w:val="0"/>
          <w:numId w:val="46"/>
        </w:numPr>
        <w:contextualSpacing w:val="0"/>
        <w:ind w:left="0" w:firstLine="709"/>
        <w:jc w:val="both"/>
        <w:widowControl w:val="off"/>
        <w:tabs>
          <w:tab w:val="left" w:pos="142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Руководителям муниципальных учреждений: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142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обеспечить достижение </w:t>
      </w:r>
      <w:r>
        <w:rPr>
          <w:sz w:val="24"/>
          <w:szCs w:val="24"/>
        </w:rPr>
        <w:t xml:space="preserve">целевых уровней снижения </w:t>
      </w:r>
      <w:r>
        <w:rPr>
          <w:sz w:val="24"/>
          <w:szCs w:val="24"/>
        </w:rPr>
        <w:t xml:space="preserve">потребления энергетических ресурсов и потребления </w:t>
      </w:r>
      <w:r>
        <w:rPr>
          <w:sz w:val="24"/>
          <w:szCs w:val="24"/>
        </w:rPr>
        <w:t xml:space="preserve">воды за счет реализации мероприятий программ энергосбережения и повышения энергетической эффективности;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142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разработать или скорректировать ранее утвержденные программы</w:t>
      </w:r>
      <w:r>
        <w:rPr>
          <w:sz w:val="24"/>
          <w:szCs w:val="24"/>
        </w:rPr>
        <w:t xml:space="preserve"> энергосбережения и повышения энергетической эффективности в соответствии с установленными целевыми уровнями снижения потребления </w:t>
      </w:r>
      <w:r>
        <w:rPr>
          <w:sz w:val="24"/>
          <w:szCs w:val="24"/>
        </w:rPr>
        <w:t xml:space="preserve">энергетических ресурсов и потребления </w:t>
      </w:r>
      <w:r>
        <w:rPr>
          <w:sz w:val="24"/>
          <w:szCs w:val="24"/>
        </w:rPr>
        <w:t xml:space="preserve">воды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142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Признать утратившим силу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142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28.06.2023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963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bCs/>
          <w:iCs/>
          <w:sz w:val="24"/>
          <w:szCs w:val="24"/>
        </w:rPr>
        <w:t xml:space="preserve">Об установлении целевых уровней </w:t>
      </w:r>
      <w:r>
        <w:rPr>
          <w:bCs/>
          <w:iCs/>
          <w:sz w:val="24"/>
          <w:szCs w:val="24"/>
        </w:rPr>
        <w:t xml:space="preserve">снижения</w:t>
      </w:r>
      <w:r>
        <w:rPr>
          <w:bCs/>
          <w:iCs/>
          <w:sz w:val="24"/>
          <w:szCs w:val="24"/>
        </w:rPr>
        <w:t xml:space="preserve"> в сопоставимых условиях суммарного объема потребляемых энергетических ресурсов и объема потребляемой воды на 2024 - 2026 годы</w:t>
      </w:r>
      <w:r>
        <w:rPr>
          <w:bCs/>
          <w:iCs/>
          <w:sz w:val="24"/>
          <w:szCs w:val="24"/>
        </w:rPr>
        <w:t xml:space="preserve">»</w:t>
      </w:r>
      <w:r>
        <w:rPr>
          <w:bCs/>
          <w:iCs/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142" w:leader="none"/>
          <w:tab w:val="left" w:pos="709" w:leader="none"/>
        </w:tabs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ab/>
      </w:r>
      <w:r>
        <w:rPr>
          <w:bCs/>
          <w:iCs/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от 30.01.2024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156 «</w:t>
      </w:r>
      <w:r>
        <w:rPr>
          <w:bCs/>
          <w:iCs/>
          <w:sz w:val="24"/>
          <w:szCs w:val="24"/>
        </w:rPr>
        <w:t xml:space="preserve">О внесении изменений в постановление администрации </w:t>
      </w:r>
      <w:r>
        <w:rPr>
          <w:bCs/>
          <w:iCs/>
          <w:sz w:val="24"/>
          <w:szCs w:val="24"/>
        </w:rPr>
        <w:t xml:space="preserve">Печенгского</w:t>
      </w:r>
      <w:r>
        <w:rPr>
          <w:bCs/>
          <w:iCs/>
          <w:sz w:val="24"/>
          <w:szCs w:val="24"/>
        </w:rPr>
        <w:t xml:space="preserve"> муниципального округа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от 28.06.2023 № 963 «Об установлении целевых уровней </w:t>
      </w:r>
      <w:r>
        <w:rPr>
          <w:bCs/>
          <w:iCs/>
          <w:sz w:val="24"/>
          <w:szCs w:val="24"/>
        </w:rPr>
        <w:t xml:space="preserve">снижения</w:t>
      </w:r>
      <w:r>
        <w:rPr>
          <w:bCs/>
          <w:iCs/>
          <w:sz w:val="24"/>
          <w:szCs w:val="24"/>
        </w:rPr>
        <w:t xml:space="preserve"> в сопоставимых условиях суммарного объема потребляемых энергетических ресурсов и объема потребляемой воды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на 2024 - 2026 годы»</w:t>
      </w:r>
      <w:r>
        <w:rPr>
          <w:bCs/>
          <w:iCs/>
          <w:sz w:val="24"/>
          <w:szCs w:val="24"/>
        </w:rPr>
        <w:t xml:space="preserve">.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jc w:val="both"/>
        <w:widowControl w:val="off"/>
        <w:tabs>
          <w:tab w:val="left" w:pos="142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Настоящее постановление вступ</w:t>
      </w:r>
      <w:r>
        <w:rPr>
          <w:sz w:val="24"/>
          <w:szCs w:val="24"/>
        </w:rPr>
        <w:t xml:space="preserve">ае</w:t>
      </w:r>
      <w:r>
        <w:rPr>
          <w:sz w:val="24"/>
          <w:szCs w:val="24"/>
        </w:rPr>
        <w:t xml:space="preserve">т в силу с 01.01.2027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142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1" w:tooltip="https://pechengamr.gov-murman.ru/" w:history="1">
        <w:r>
          <w:rPr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142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возложить на </w:t>
      </w:r>
      <w:r>
        <w:rPr>
          <w:sz w:val="24"/>
          <w:szCs w:val="24"/>
        </w:rPr>
        <w:t xml:space="preserve">заместителя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contextualSpacing w:val="0"/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contextualSpacing w:val="0"/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А.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sz w:val="24"/>
          <w:szCs w:val="24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sz w:val="24"/>
          <w:szCs w:val="24"/>
        </w:rPr>
      </w:r>
    </w:p>
    <w:p>
      <w:pPr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rPr>
          <w:highlight w:val="none"/>
        </w:rPr>
        <w:sectPr>
          <w:footnotePr/>
          <w:endnotePr/>
          <w:type w:val="nextPage"/>
          <w:pgSz w:w="11906" w:h="16838" w:orient="portrait"/>
          <w:pgMar w:top="425" w:right="850" w:bottom="255" w:left="1701" w:header="709" w:footer="709" w:gutter="0"/>
          <w:cols w:num="1" w:sep="0" w:space="708" w:equalWidth="1"/>
          <w:docGrid w:linePitch="360"/>
        </w:sectPr>
      </w:pPr>
      <w:r>
        <w:rPr>
          <w:bCs/>
        </w:rPr>
        <w:t xml:space="preserve">Погребняк</w:t>
      </w:r>
      <w:r>
        <w:rPr>
          <w:bCs/>
        </w:rPr>
        <w:t xml:space="preserve"> Т</w:t>
      </w:r>
      <w:r>
        <w:rPr>
          <w:bCs/>
        </w:rPr>
        <w:t xml:space="preserve">.Г., </w:t>
      </w:r>
      <w:r>
        <w:rPr>
          <w:bCs/>
        </w:rPr>
        <w:t xml:space="preserve">51775</w:t>
      </w:r>
      <w:r>
        <w:rPr>
          <w:highlight w:val="none"/>
        </w:rPr>
      </w:r>
      <w:r>
        <w:rPr>
          <w:highlight w:val="none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 xml:space="preserve">№ 1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22.07.2026 </w:t>
      </w:r>
      <w:r>
        <w:rPr>
          <w:bCs/>
          <w:sz w:val="24"/>
          <w:szCs w:val="24"/>
        </w:rPr>
        <w:t xml:space="preserve">№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1401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Ц</w:t>
      </w:r>
      <w:r>
        <w:rPr>
          <w:b/>
          <w:bCs/>
          <w:sz w:val="24"/>
          <w:szCs w:val="24"/>
        </w:rPr>
        <w:t xml:space="preserve">ЕЛЕВЫЕ УРОВНИ СНИЖЕНИЯ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сопоставимых условиях суммарного объема потребляемых энергетических ресурсов и объема потребляемой воды на 202</w:t>
      </w:r>
      <w:r>
        <w:rPr>
          <w:bCs/>
          <w:sz w:val="24"/>
          <w:szCs w:val="24"/>
        </w:rPr>
        <w:t xml:space="preserve">7 </w:t>
      </w:r>
      <w:r>
        <w:rPr>
          <w:bCs/>
          <w:sz w:val="24"/>
          <w:szCs w:val="24"/>
        </w:rPr>
        <w:t xml:space="preserve">-</w:t>
      </w:r>
      <w:r>
        <w:rPr>
          <w:bCs/>
          <w:sz w:val="24"/>
          <w:szCs w:val="24"/>
        </w:rPr>
        <w:t xml:space="preserve"> 202</w:t>
      </w: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для зданий </w:t>
      </w:r>
      <w:r>
        <w:rPr>
          <w:sz w:val="24"/>
          <w:szCs w:val="24"/>
        </w:rPr>
        <w:t xml:space="preserve">муниципально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бюджетно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учреждени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«Централизованная бухгалтерия по обслуживанию муниципальных учреждений муниципального образования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муниципальный округ Мурманской области»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пгт</w:t>
      </w:r>
      <w:r>
        <w:rPr>
          <w:bCs/>
          <w:sz w:val="24"/>
          <w:szCs w:val="24"/>
          <w:u w:val="single"/>
        </w:rPr>
        <w:t xml:space="preserve">. Никель, </w:t>
      </w:r>
      <w:r>
        <w:rPr>
          <w:bCs/>
          <w:sz w:val="24"/>
          <w:szCs w:val="24"/>
          <w:u w:val="single"/>
        </w:rPr>
        <w:t xml:space="preserve">пр-кт</w:t>
      </w:r>
      <w:r>
        <w:rPr>
          <w:bCs/>
          <w:sz w:val="24"/>
          <w:szCs w:val="24"/>
          <w:u w:val="single"/>
        </w:rPr>
        <w:t xml:space="preserve"> Гвардейский, д. 2 </w:t>
      </w:r>
      <w:r>
        <w:rPr>
          <w:bCs/>
          <w:sz w:val="24"/>
          <w:szCs w:val="24"/>
          <w:u w:val="single"/>
        </w:rPr>
        <w:t xml:space="preserve">- </w:t>
      </w:r>
      <w:r>
        <w:rPr>
          <w:bCs/>
          <w:sz w:val="24"/>
          <w:szCs w:val="24"/>
          <w:u w:val="single"/>
        </w:rPr>
        <w:t xml:space="preserve">офисные помещения </w:t>
      </w:r>
      <w:r>
        <w:rPr>
          <w:bCs/>
          <w:sz w:val="24"/>
          <w:szCs w:val="24"/>
          <w:u w:val="single"/>
        </w:rPr>
        <w:t xml:space="preserve">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tbl>
      <w:tblPr>
        <w:tblW w:w="15594" w:type="dxa"/>
        <w:tblInd w:w="-318" w:type="dxa"/>
        <w:tblLook w:val="04A0" w:firstRow="1" w:lastRow="0" w:firstColumn="1" w:lastColumn="0" w:noHBand="0" w:noVBand="1"/>
      </w:tblPr>
      <w:tblGrid>
        <w:gridCol w:w="3747"/>
        <w:gridCol w:w="1692"/>
        <w:gridCol w:w="1692"/>
        <w:gridCol w:w="1693"/>
        <w:gridCol w:w="1692"/>
        <w:gridCol w:w="1693"/>
        <w:gridCol w:w="1692"/>
        <w:gridCol w:w="1693"/>
      </w:tblGrid>
      <w:tr>
        <w:tblPrEx/>
        <w:trPr>
          <w:trHeight w:val="93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Показатель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Удельное годовое значение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Уровень высокой эффективности (</w:t>
            </w:r>
            <w:r>
              <w:rPr>
                <w:bCs/>
              </w:rPr>
              <w:t xml:space="preserve">справочно</w:t>
            </w:r>
            <w:r>
              <w:rPr>
                <w:bCs/>
              </w:rPr>
              <w:t xml:space="preserve">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Потенциал снижения потребления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экономии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год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и второй год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трехлетний период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7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тепловой энергии на отопление и вентиляцию, </w:t>
            </w:r>
            <w:r>
              <w:rPr>
                <w:bCs/>
              </w:rPr>
              <w:t xml:space="preserve">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/ГСОП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требование по снижению потребления не устанавливается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7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горячей воды, м3/чел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0,45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0,45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</w:t>
            </w:r>
            <w:r>
              <w:rPr>
                <w:bCs/>
              </w:rPr>
              <w:t xml:space="preserve">44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</w:t>
            </w:r>
            <w:r>
              <w:rPr>
                <w:bCs/>
              </w:rPr>
              <w:t xml:space="preserve">43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7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холодной воды, м3/чел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3,</w:t>
            </w:r>
            <w:r>
              <w:rPr>
                <w:bCs/>
              </w:rPr>
              <w:t xml:space="preserve">44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3,</w:t>
            </w:r>
            <w:r>
              <w:rPr>
                <w:bCs/>
              </w:rPr>
              <w:t xml:space="preserve">39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3,</w:t>
            </w:r>
            <w:r>
              <w:rPr>
                <w:bCs/>
              </w:rPr>
              <w:t xml:space="preserve">34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3,24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7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электрической энергии, </w:t>
            </w:r>
            <w:r>
              <w:rPr>
                <w:bCs/>
              </w:rPr>
              <w:t xml:space="preserve">кВтч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38,57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37,99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37,41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36,25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22.07.2026 </w:t>
      </w:r>
      <w:r>
        <w:rPr>
          <w:bCs/>
          <w:sz w:val="24"/>
          <w:szCs w:val="24"/>
        </w:rPr>
        <w:t xml:space="preserve">№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1401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ЦЕЛЕВЫЕ УРОВНИ СНИЖЕНИЯ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сопоставимых условиях суммарного объема потребляемых энергетических ресурсов и объема потребляемой воды на 202</w:t>
      </w:r>
      <w:r>
        <w:rPr>
          <w:bCs/>
          <w:sz w:val="24"/>
          <w:szCs w:val="24"/>
        </w:rPr>
        <w:t xml:space="preserve">7 </w:t>
      </w:r>
      <w:r>
        <w:rPr>
          <w:bCs/>
          <w:sz w:val="24"/>
          <w:szCs w:val="24"/>
        </w:rPr>
        <w:t xml:space="preserve">- 202</w:t>
      </w: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для зданий </w:t>
      </w:r>
      <w:r>
        <w:rPr>
          <w:sz w:val="24"/>
          <w:szCs w:val="24"/>
        </w:rPr>
        <w:t xml:space="preserve">муниципального бюджетного учреждения «</w:t>
      </w:r>
      <w:r>
        <w:rPr>
          <w:sz w:val="24"/>
          <w:szCs w:val="24"/>
        </w:rPr>
        <w:t xml:space="preserve">Никельская</w:t>
      </w:r>
      <w:r>
        <w:rPr>
          <w:sz w:val="24"/>
          <w:szCs w:val="24"/>
        </w:rPr>
        <w:t xml:space="preserve"> дорожная служба»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  <w:highlight w:val="yellow"/>
        </w:rPr>
      </w:pPr>
      <w:r>
        <w:rPr>
          <w:bCs/>
          <w:sz w:val="24"/>
          <w:szCs w:val="24"/>
          <w:highlight w:val="yellow"/>
        </w:rPr>
      </w:r>
      <w:r>
        <w:rPr>
          <w:bCs/>
          <w:sz w:val="24"/>
          <w:szCs w:val="24"/>
          <w:highlight w:val="yellow"/>
        </w:rPr>
      </w:r>
      <w:r>
        <w:rPr>
          <w:bCs/>
          <w:sz w:val="24"/>
          <w:szCs w:val="24"/>
          <w:highlight w:val="yellow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пгт</w:t>
      </w:r>
      <w:r>
        <w:rPr>
          <w:bCs/>
          <w:sz w:val="24"/>
          <w:szCs w:val="24"/>
          <w:u w:val="single"/>
        </w:rPr>
        <w:t xml:space="preserve">. Никель, ул. </w:t>
      </w:r>
      <w:r>
        <w:rPr>
          <w:bCs/>
          <w:sz w:val="24"/>
          <w:szCs w:val="24"/>
          <w:u w:val="single"/>
        </w:rPr>
        <w:t xml:space="preserve">Советская</w:t>
      </w:r>
      <w:r>
        <w:rPr>
          <w:bCs/>
          <w:sz w:val="24"/>
          <w:szCs w:val="24"/>
          <w:u w:val="single"/>
        </w:rPr>
        <w:t xml:space="preserve">, д. 2 – гараж, АБК 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687"/>
        <w:gridCol w:w="1701"/>
        <w:gridCol w:w="1701"/>
        <w:gridCol w:w="1701"/>
        <w:gridCol w:w="1701"/>
        <w:gridCol w:w="1701"/>
        <w:gridCol w:w="1701"/>
        <w:gridCol w:w="1701"/>
      </w:tblGrid>
      <w:tr>
        <w:tblPrEx/>
        <w:trPr>
          <w:trHeight w:val="8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Показатель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Удельное годовое значение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Уровень высокой эффективности (</w:t>
            </w:r>
            <w:r>
              <w:rPr>
                <w:bCs/>
              </w:rPr>
              <w:t xml:space="preserve">справочно</w:t>
            </w:r>
            <w:r>
              <w:rPr>
                <w:bCs/>
              </w:rPr>
              <w:t xml:space="preserve">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Потенциал снижения потребления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экономии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год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и второй год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трехлетний период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4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тепловой энергии на отопление и вентиляцию, </w:t>
            </w:r>
            <w:r>
              <w:rPr>
                <w:bCs/>
              </w:rPr>
              <w:t xml:space="preserve">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/ГСОП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требование по снижению потребления не устанавливается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38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горячей воды, м3/чел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42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холодной воды, м3/чел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45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электрической энергии, </w:t>
            </w:r>
            <w:r>
              <w:rPr>
                <w:bCs/>
              </w:rPr>
              <w:t xml:space="preserve">кВтч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30,10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29,65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29,20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28,30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/>
      <w:bookmarkStart w:id="2" w:name="_GoBack"/>
      <w:r/>
      <w:bookmarkEnd w:id="2"/>
      <w:r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22.07.2026 </w:t>
      </w:r>
      <w:r>
        <w:rPr>
          <w:bCs/>
          <w:sz w:val="24"/>
          <w:szCs w:val="24"/>
        </w:rPr>
        <w:t xml:space="preserve">№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1401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ЦЕЛЕВЫЕ УРОВНИ СНИЖЕНИЯ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сопоставимых условиях суммарного объема потребляемых энергетических ресурсов и объема потребляемой воды на 202</w:t>
      </w:r>
      <w:r>
        <w:rPr>
          <w:bCs/>
          <w:sz w:val="24"/>
          <w:szCs w:val="24"/>
        </w:rPr>
        <w:t xml:space="preserve">7 </w:t>
      </w:r>
      <w:r>
        <w:rPr>
          <w:bCs/>
          <w:sz w:val="24"/>
          <w:szCs w:val="24"/>
        </w:rPr>
        <w:t xml:space="preserve">- 202</w:t>
      </w: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для зданий </w:t>
      </w:r>
      <w:r>
        <w:rPr>
          <w:sz w:val="24"/>
          <w:szCs w:val="24"/>
        </w:rPr>
        <w:t xml:space="preserve">муниципального бюджетного учреждения </w:t>
      </w:r>
      <w:r>
        <w:rPr>
          <w:sz w:val="24"/>
          <w:szCs w:val="24"/>
        </w:rPr>
        <w:t xml:space="preserve">«Ремонтно-эксплуатационная служба»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пгт</w:t>
      </w:r>
      <w:r>
        <w:rPr>
          <w:bCs/>
          <w:sz w:val="24"/>
          <w:szCs w:val="24"/>
          <w:u w:val="single"/>
        </w:rPr>
        <w:t xml:space="preserve">. Никель, </w:t>
      </w:r>
      <w:r>
        <w:rPr>
          <w:bCs/>
          <w:sz w:val="24"/>
          <w:szCs w:val="24"/>
          <w:u w:val="single"/>
        </w:rPr>
        <w:t xml:space="preserve">пр-кт</w:t>
      </w:r>
      <w:r>
        <w:rPr>
          <w:bCs/>
          <w:sz w:val="24"/>
          <w:szCs w:val="24"/>
          <w:u w:val="single"/>
        </w:rPr>
        <w:t xml:space="preserve"> Гвардейский </w:t>
      </w:r>
      <w:r>
        <w:rPr>
          <w:bCs/>
          <w:sz w:val="24"/>
          <w:szCs w:val="24"/>
          <w:u w:val="single"/>
        </w:rPr>
        <w:t xml:space="preserve">- нежилые помещения в 2-этажном нежилом здании теплой стоянки </w:t>
      </w:r>
      <w:r>
        <w:rPr>
          <w:bCs/>
          <w:sz w:val="24"/>
          <w:szCs w:val="24"/>
          <w:u w:val="single"/>
        </w:rPr>
        <w:t xml:space="preserve">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687"/>
        <w:gridCol w:w="1701"/>
        <w:gridCol w:w="1701"/>
        <w:gridCol w:w="1701"/>
        <w:gridCol w:w="1701"/>
        <w:gridCol w:w="1701"/>
        <w:gridCol w:w="1701"/>
        <w:gridCol w:w="1701"/>
      </w:tblGrid>
      <w:tr>
        <w:tblPrEx/>
        <w:trPr>
          <w:trHeight w:val="89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Показатель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Удельное годовое значение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Уровень высокой эффективности (</w:t>
            </w:r>
            <w:r>
              <w:rPr>
                <w:bCs/>
              </w:rPr>
              <w:t xml:space="preserve">справочно</w:t>
            </w:r>
            <w:r>
              <w:rPr>
                <w:bCs/>
              </w:rPr>
              <w:t xml:space="preserve">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Потенциал снижения потребления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экономии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год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и второй год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трехлетний период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4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тепловой энергии на отопление и вентиляцию, </w:t>
            </w:r>
            <w:r>
              <w:rPr>
                <w:bCs/>
              </w:rPr>
              <w:t xml:space="preserve">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/ГСОП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требование по снижению потребления не устанавливается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40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горячей воды, м3/чел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4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холодной воды, м3/чел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6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электрической энергии, </w:t>
            </w:r>
            <w:r>
              <w:rPr>
                <w:bCs/>
              </w:rPr>
              <w:t xml:space="preserve">кВтч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40,63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40,02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39,41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38,20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пгт</w:t>
      </w:r>
      <w:r>
        <w:rPr>
          <w:bCs/>
          <w:sz w:val="24"/>
          <w:szCs w:val="24"/>
          <w:u w:val="single"/>
        </w:rPr>
        <w:t xml:space="preserve">. </w:t>
      </w:r>
      <w:r>
        <w:rPr>
          <w:bCs/>
          <w:sz w:val="24"/>
          <w:szCs w:val="24"/>
          <w:u w:val="single"/>
        </w:rPr>
        <w:t xml:space="preserve">Никель, ул. </w:t>
      </w:r>
      <w:r>
        <w:rPr>
          <w:bCs/>
          <w:sz w:val="24"/>
          <w:szCs w:val="24"/>
          <w:u w:val="single"/>
        </w:rPr>
        <w:t xml:space="preserve">Советская</w:t>
      </w:r>
      <w:r>
        <w:rPr>
          <w:bCs/>
          <w:sz w:val="24"/>
          <w:szCs w:val="24"/>
          <w:u w:val="single"/>
        </w:rPr>
        <w:t xml:space="preserve">, д. 2 – производственное здание </w:t>
      </w:r>
      <w:r>
        <w:rPr>
          <w:bCs/>
          <w:sz w:val="24"/>
          <w:szCs w:val="24"/>
          <w:u w:val="single"/>
        </w:rPr>
        <w:t xml:space="preserve">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687"/>
        <w:gridCol w:w="1701"/>
        <w:gridCol w:w="1701"/>
        <w:gridCol w:w="1701"/>
        <w:gridCol w:w="1701"/>
        <w:gridCol w:w="1701"/>
        <w:gridCol w:w="1701"/>
        <w:gridCol w:w="1701"/>
      </w:tblGrid>
      <w:tr>
        <w:tblPrEx/>
        <w:trPr>
          <w:trHeight w:val="139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Показатель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Удельное годовое значение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Уровень высокой эффективности (</w:t>
            </w:r>
            <w:r>
              <w:rPr>
                <w:bCs/>
              </w:rPr>
              <w:t xml:space="preserve">справочно</w:t>
            </w:r>
            <w:r>
              <w:rPr>
                <w:bCs/>
              </w:rPr>
              <w:t xml:space="preserve">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Потенциал снижения потребления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экономии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год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и второй год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трехлетний период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47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тепловой энергии на отопление и вентиляцию, </w:t>
            </w:r>
            <w:r>
              <w:rPr>
                <w:bCs/>
              </w:rPr>
              <w:t xml:space="preserve">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/ГСОП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требование по снижению потребления не устанавливается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47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горячей воды, м3/чел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47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холодной воды, м3/чел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81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электрической энергии, </w:t>
            </w:r>
            <w:r>
              <w:rPr>
                <w:bCs/>
              </w:rPr>
              <w:t xml:space="preserve">кВтч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33,3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Здание эффективно. Требование не устанавливается.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Здание эффективно. Требование не устанавливается.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Здание эффективно. Требование не устанавливается.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22.07.2026 </w:t>
      </w:r>
      <w:r>
        <w:rPr>
          <w:bCs/>
          <w:sz w:val="24"/>
          <w:szCs w:val="24"/>
        </w:rPr>
        <w:t xml:space="preserve">№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1401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ЦЕЛЕВЫЕ УРОВНИ СНИЖЕНИЯ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сопоставимых условиях суммарного объема потребляемых энергетических ресурсов и объема потребляемой воды на 202</w:t>
      </w:r>
      <w:r>
        <w:rPr>
          <w:bCs/>
          <w:sz w:val="24"/>
          <w:szCs w:val="24"/>
        </w:rPr>
        <w:t xml:space="preserve">7 </w:t>
      </w:r>
      <w:r>
        <w:rPr>
          <w:bCs/>
          <w:sz w:val="24"/>
          <w:szCs w:val="24"/>
        </w:rPr>
        <w:t xml:space="preserve">- 202</w:t>
      </w: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для зданий </w:t>
      </w:r>
      <w:r>
        <w:rPr>
          <w:sz w:val="24"/>
          <w:szCs w:val="24"/>
        </w:rPr>
        <w:t xml:space="preserve">муниципального казенного учреждения «Управление по обеспечению деятельности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</w:t>
      </w:r>
      <w:r>
        <w:rPr>
          <w:sz w:val="24"/>
          <w:szCs w:val="24"/>
        </w:rPr>
        <w:t xml:space="preserve">»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пгт</w:t>
      </w:r>
      <w:r>
        <w:rPr>
          <w:bCs/>
          <w:sz w:val="24"/>
          <w:szCs w:val="24"/>
          <w:u w:val="single"/>
        </w:rPr>
        <w:t xml:space="preserve">. Никель, </w:t>
      </w:r>
      <w:r>
        <w:rPr>
          <w:bCs/>
          <w:sz w:val="24"/>
          <w:szCs w:val="24"/>
          <w:u w:val="single"/>
        </w:rPr>
        <w:t xml:space="preserve">ул. </w:t>
      </w:r>
      <w:r>
        <w:rPr>
          <w:bCs/>
          <w:sz w:val="24"/>
          <w:szCs w:val="24"/>
          <w:u w:val="single"/>
        </w:rPr>
        <w:t xml:space="preserve">Пионерская</w:t>
      </w:r>
      <w:r>
        <w:rPr>
          <w:bCs/>
          <w:sz w:val="24"/>
          <w:szCs w:val="24"/>
          <w:u w:val="single"/>
        </w:rPr>
        <w:t xml:space="preserve">, д. 2 </w:t>
      </w:r>
      <w:r>
        <w:rPr>
          <w:bCs/>
          <w:sz w:val="24"/>
          <w:szCs w:val="24"/>
          <w:u w:val="single"/>
        </w:rPr>
        <w:t xml:space="preserve">(</w:t>
      </w:r>
      <w:r>
        <w:rPr>
          <w:bCs/>
          <w:sz w:val="24"/>
          <w:szCs w:val="24"/>
          <w:u w:val="single"/>
        </w:rPr>
        <w:t xml:space="preserve">административное здание</w:t>
      </w:r>
      <w:r>
        <w:rPr>
          <w:bCs/>
          <w:sz w:val="24"/>
          <w:szCs w:val="24"/>
          <w:u w:val="single"/>
        </w:rPr>
        <w:t xml:space="preserve">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tbl>
      <w:tblPr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687"/>
        <w:gridCol w:w="1701"/>
        <w:gridCol w:w="1701"/>
        <w:gridCol w:w="1701"/>
        <w:gridCol w:w="1701"/>
        <w:gridCol w:w="1701"/>
        <w:gridCol w:w="1701"/>
        <w:gridCol w:w="1701"/>
      </w:tblGrid>
      <w:tr>
        <w:tblPrEx/>
        <w:trPr>
          <w:trHeight w:val="10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Показатель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Удельное годовое значение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Уровень высокой эффективности (</w:t>
            </w:r>
            <w:r>
              <w:t xml:space="preserve">справочно</w:t>
            </w:r>
            <w:r>
              <w:t xml:space="preserve">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Потенциал снижения потребления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экономии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и второй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трехлетний период</w:t>
            </w:r>
            <w:r/>
          </w:p>
        </w:tc>
      </w:tr>
      <w:tr>
        <w:tblPrEx/>
        <w:trPr>
          <w:trHeight w:val="5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тепловой энергии на отопление и вентиляцию, </w:t>
            </w:r>
            <w:r>
              <w:t xml:space="preserve">Втч</w:t>
            </w:r>
            <w:r>
              <w:t xml:space="preserve">/м</w:t>
            </w:r>
            <w:r>
              <w:t xml:space="preserve">2</w:t>
            </w:r>
            <w:r>
              <w:t xml:space="preserve">/ГСОП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43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горячей воды, м3/чел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83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холодной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3,56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5,2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</w:t>
            </w:r>
            <w:r>
              <w:t xml:space="preserve">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</w:t>
            </w:r>
            <w:r>
              <w:t xml:space="preserve">. Требование не устанавливается</w:t>
            </w:r>
            <w:r/>
          </w:p>
        </w:tc>
      </w:tr>
      <w:tr>
        <w:tblPrEx/>
        <w:trPr>
          <w:trHeight w:val="83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электрической энергии, </w:t>
            </w:r>
            <w:r>
              <w:t xml:space="preserve">кВтч</w:t>
            </w:r>
            <w:r>
              <w:t xml:space="preserve">/м</w:t>
            </w: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66,87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33,3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52</w:t>
            </w:r>
            <w:r>
              <w:t xml:space="preserve">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</w:t>
            </w:r>
            <w:r>
              <w:t xml:space="preserve">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64,98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63,08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59,28</w:t>
            </w:r>
            <w:r/>
          </w:p>
        </w:tc>
      </w:tr>
    </w:tbl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г.</w:t>
      </w:r>
      <w:r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 xml:space="preserve">Заполярный</w:t>
      </w:r>
      <w:r>
        <w:rPr>
          <w:bCs/>
          <w:sz w:val="24"/>
          <w:szCs w:val="24"/>
          <w:u w:val="single"/>
        </w:rPr>
        <w:t xml:space="preserve">, ул. Ленина, д. 6 </w:t>
      </w:r>
      <w:r>
        <w:rPr>
          <w:bCs/>
          <w:sz w:val="24"/>
          <w:szCs w:val="24"/>
          <w:u w:val="single"/>
        </w:rPr>
        <w:t xml:space="preserve">(</w:t>
      </w:r>
      <w:r>
        <w:rPr>
          <w:bCs/>
          <w:sz w:val="24"/>
          <w:szCs w:val="24"/>
          <w:u w:val="single"/>
        </w:rPr>
        <w:t xml:space="preserve">административное здание</w:t>
      </w:r>
      <w:r>
        <w:rPr>
          <w:bCs/>
          <w:sz w:val="24"/>
          <w:szCs w:val="24"/>
          <w:u w:val="single"/>
        </w:rPr>
        <w:t xml:space="preserve">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tbl>
      <w:tblPr>
        <w:tblW w:w="15594" w:type="dxa"/>
        <w:tblInd w:w="-318" w:type="dxa"/>
        <w:tblLook w:val="04A0" w:firstRow="1" w:lastRow="0" w:firstColumn="1" w:lastColumn="0" w:noHBand="0" w:noVBand="1"/>
      </w:tblPr>
      <w:tblGrid>
        <w:gridCol w:w="3731"/>
        <w:gridCol w:w="1694"/>
        <w:gridCol w:w="1695"/>
        <w:gridCol w:w="1695"/>
        <w:gridCol w:w="1694"/>
        <w:gridCol w:w="1695"/>
        <w:gridCol w:w="1695"/>
        <w:gridCol w:w="1695"/>
      </w:tblGrid>
      <w:tr>
        <w:tblPrEx/>
        <w:trPr>
          <w:trHeight w:val="98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Показатель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Удельное годовое значение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Уровень высокой эффективности (</w:t>
            </w:r>
            <w:r>
              <w:t xml:space="preserve">справочно</w:t>
            </w:r>
            <w:r>
              <w:t xml:space="preserve">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Потенциал снижения потребления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экономии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и второй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трехлетний период</w:t>
            </w:r>
            <w:r/>
          </w:p>
        </w:tc>
      </w:tr>
      <w:tr>
        <w:tblPrEx/>
        <w:trPr>
          <w:trHeight w:val="56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тепловой энергии на отопление и вентиляцию, </w:t>
            </w:r>
            <w:r>
              <w:t xml:space="preserve">Втч</w:t>
            </w:r>
            <w:r>
              <w:t xml:space="preserve">/м</w:t>
            </w:r>
            <w:r>
              <w:t xml:space="preserve">2</w:t>
            </w:r>
            <w:r>
              <w:t xml:space="preserve">/ГСОП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69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4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горячей воды, м3/чел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9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холодной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5,2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</w:t>
            </w:r>
            <w:r>
              <w:t xml:space="preserve">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</w:t>
            </w:r>
            <w:r>
              <w:t xml:space="preserve">. Требование не устанавливается</w:t>
            </w:r>
            <w:r/>
          </w:p>
        </w:tc>
      </w:tr>
      <w:tr>
        <w:tblPrEx/>
        <w:trPr>
          <w:trHeight w:val="47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электрической энергии, </w:t>
            </w:r>
            <w:r>
              <w:t xml:space="preserve">кВтч</w:t>
            </w:r>
            <w:r>
              <w:t xml:space="preserve">/м</w:t>
            </w: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45,59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33,3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29%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45,</w:t>
            </w:r>
            <w:r>
              <w:t xml:space="preserve">26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44,92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44,</w:t>
            </w:r>
            <w:r>
              <w:t xml:space="preserve">2</w:t>
            </w:r>
            <w:r>
              <w:t xml:space="preserve">5</w:t>
            </w:r>
            <w:r/>
          </w:p>
        </w:tc>
      </w:tr>
    </w:tbl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jc w:val="center"/>
      </w:pPr>
      <w:r/>
      <w:r/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г. З</w:t>
      </w:r>
      <w:r>
        <w:rPr>
          <w:bCs/>
          <w:sz w:val="24"/>
          <w:szCs w:val="24"/>
          <w:u w:val="single"/>
        </w:rPr>
        <w:t xml:space="preserve">аполярный, ул. Юбилейная, д. 14</w:t>
      </w:r>
      <w:r>
        <w:rPr>
          <w:bCs/>
          <w:sz w:val="24"/>
          <w:szCs w:val="24"/>
          <w:u w:val="single"/>
        </w:rPr>
        <w:t xml:space="preserve">А</w:t>
      </w:r>
      <w:r>
        <w:rPr>
          <w:bCs/>
          <w:sz w:val="24"/>
          <w:szCs w:val="24"/>
          <w:u w:val="single"/>
        </w:rPr>
        <w:t xml:space="preserve">–</w:t>
      </w:r>
      <w:r>
        <w:rPr>
          <w:bCs/>
          <w:sz w:val="24"/>
          <w:szCs w:val="24"/>
          <w:u w:val="single"/>
        </w:rPr>
        <w:t xml:space="preserve"> помещения 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jc w:val="center"/>
      </w:pPr>
      <w:r/>
      <w:r/>
    </w:p>
    <w:tbl>
      <w:tblPr>
        <w:tblW w:w="15594" w:type="dxa"/>
        <w:tblInd w:w="-318" w:type="dxa"/>
        <w:tblLook w:val="04A0" w:firstRow="1" w:lastRow="0" w:firstColumn="1" w:lastColumn="0" w:noHBand="0" w:noVBand="1"/>
      </w:tblPr>
      <w:tblGrid>
        <w:gridCol w:w="3687"/>
        <w:gridCol w:w="1762"/>
        <w:gridCol w:w="1681"/>
        <w:gridCol w:w="1624"/>
        <w:gridCol w:w="1618"/>
        <w:gridCol w:w="1621"/>
        <w:gridCol w:w="1621"/>
        <w:gridCol w:w="1980"/>
      </w:tblGrid>
      <w:tr>
        <w:tblPrEx/>
        <w:trPr>
          <w:trHeight w:val="104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Показатель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6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Удельное годовое значение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8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Уровень высокой эффективности (</w:t>
            </w:r>
            <w:r>
              <w:t xml:space="preserve">справочно</w:t>
            </w:r>
            <w:r>
              <w:t xml:space="preserve">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Потенциал снижения потребления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экономии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и второй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трехлетний период</w:t>
            </w:r>
            <w:r/>
          </w:p>
        </w:tc>
      </w:tr>
      <w:tr>
        <w:tblPrEx/>
        <w:trPr>
          <w:trHeight w:val="56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тепловой энергии на отопление и вентиляцию, </w:t>
            </w:r>
            <w:r>
              <w:t xml:space="preserve">Втч</w:t>
            </w:r>
            <w:r>
              <w:t xml:space="preserve">/м</w:t>
            </w:r>
            <w:r>
              <w:t xml:space="preserve">2</w:t>
            </w:r>
            <w:r>
              <w:t xml:space="preserve">/ГСОП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6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8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56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горячей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6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0,48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8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</w:tr>
      <w:tr>
        <w:tblPrEx/>
        <w:trPr>
          <w:trHeight w:val="48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холодной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6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5636,60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8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5,2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97%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38</w:t>
            </w:r>
            <w:r>
              <w:t xml:space="preserve">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5097,82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4559,04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3481,48</w:t>
            </w:r>
            <w:r/>
          </w:p>
        </w:tc>
      </w:tr>
      <w:tr>
        <w:tblPrEx/>
        <w:trPr>
          <w:trHeight w:val="56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электрической энергии, </w:t>
            </w:r>
            <w:r>
              <w:t xml:space="preserve">кВтч</w:t>
            </w:r>
            <w:r>
              <w:t xml:space="preserve">/м</w:t>
            </w: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6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4,30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8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33,3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</w:tr>
    </w:tbl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г. </w:t>
      </w:r>
      <w:r>
        <w:rPr>
          <w:bCs/>
          <w:sz w:val="24"/>
          <w:szCs w:val="24"/>
          <w:u w:val="single"/>
        </w:rPr>
        <w:t xml:space="preserve">Заполярный</w:t>
      </w:r>
      <w:r>
        <w:rPr>
          <w:bCs/>
          <w:sz w:val="24"/>
          <w:szCs w:val="24"/>
          <w:u w:val="single"/>
        </w:rPr>
        <w:t xml:space="preserve">, ул. Крупской, д. 7– помещения 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tbl>
      <w:tblPr>
        <w:tblW w:w="15594" w:type="dxa"/>
        <w:tblInd w:w="-318" w:type="dxa"/>
        <w:tblLook w:val="04A0" w:firstRow="1" w:lastRow="0" w:firstColumn="1" w:lastColumn="0" w:noHBand="0" w:noVBand="1"/>
      </w:tblPr>
      <w:tblGrid>
        <w:gridCol w:w="3664"/>
        <w:gridCol w:w="1704"/>
        <w:gridCol w:w="1704"/>
        <w:gridCol w:w="1704"/>
        <w:gridCol w:w="1705"/>
        <w:gridCol w:w="1704"/>
        <w:gridCol w:w="1704"/>
        <w:gridCol w:w="1705"/>
      </w:tblGrid>
      <w:tr>
        <w:tblPrEx/>
        <w:trPr>
          <w:trHeight w:val="106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6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Показатель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Удельное годовое значение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Уровень высокой эффективности (</w:t>
            </w:r>
            <w:r>
              <w:t xml:space="preserve">справочно</w:t>
            </w:r>
            <w:r>
              <w:t xml:space="preserve">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Потенциал снижения потребления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экономии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и второй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трехлетний период</w:t>
            </w:r>
            <w:r/>
          </w:p>
        </w:tc>
      </w:tr>
      <w:tr>
        <w:tblPrEx/>
        <w:trPr>
          <w:trHeight w:val="85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6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тепловой энергии на отопление и вентиляцию, </w:t>
            </w:r>
            <w:r>
              <w:t xml:space="preserve">Втч</w:t>
            </w:r>
            <w:r>
              <w:t xml:space="preserve">/м</w:t>
            </w:r>
            <w:r>
              <w:t xml:space="preserve">2</w:t>
            </w:r>
            <w:r>
              <w:t xml:space="preserve">/ГСОП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90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6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горячей воды, м3/чел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0,51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0%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0%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</w:tr>
      <w:tr>
        <w:tblPrEx/>
        <w:trPr>
          <w:trHeight w:val="82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6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холодной воды, м3/чел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2,04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5,2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0%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0%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</w:tr>
      <w:tr>
        <w:tblPrEx/>
        <w:trPr>
          <w:trHeight w:val="87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6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электрической энергии, </w:t>
            </w:r>
            <w:r>
              <w:t xml:space="preserve">кВтч</w:t>
            </w:r>
            <w:r>
              <w:t xml:space="preserve">/м</w:t>
            </w: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15,90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33,3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0%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0%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Здание эффективно. Требование не устанавливается</w:t>
            </w:r>
            <w:r/>
          </w:p>
        </w:tc>
      </w:tr>
    </w:tbl>
    <w:p>
      <w:pPr>
        <w:jc w:val="center"/>
      </w:pPr>
      <w:r/>
      <w:r/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пгт</w:t>
      </w:r>
      <w:r>
        <w:rPr>
          <w:bCs/>
          <w:sz w:val="24"/>
          <w:szCs w:val="24"/>
          <w:u w:val="single"/>
        </w:rPr>
        <w:t xml:space="preserve">. Никель, </w:t>
      </w:r>
      <w:r>
        <w:rPr>
          <w:bCs/>
          <w:sz w:val="24"/>
          <w:szCs w:val="24"/>
          <w:u w:val="single"/>
        </w:rPr>
        <w:t xml:space="preserve">пр-кт</w:t>
      </w:r>
      <w:r>
        <w:rPr>
          <w:bCs/>
          <w:sz w:val="24"/>
          <w:szCs w:val="24"/>
          <w:u w:val="single"/>
        </w:rPr>
        <w:t xml:space="preserve"> Гвардейский, д. 11А </w:t>
      </w:r>
      <w:r>
        <w:rPr>
          <w:bCs/>
          <w:sz w:val="24"/>
          <w:szCs w:val="24"/>
          <w:u w:val="single"/>
        </w:rPr>
        <w:t xml:space="preserve">- </w:t>
      </w:r>
      <w:r>
        <w:rPr>
          <w:bCs/>
          <w:sz w:val="24"/>
          <w:szCs w:val="24"/>
          <w:u w:val="single"/>
        </w:rPr>
        <w:t xml:space="preserve">гараж 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r/>
      <w:r/>
    </w:p>
    <w:tbl>
      <w:tblPr>
        <w:tblW w:w="15594" w:type="dxa"/>
        <w:tblInd w:w="-318" w:type="dxa"/>
        <w:tblLook w:val="04A0" w:firstRow="1" w:lastRow="0" w:firstColumn="1" w:lastColumn="0" w:noHBand="0" w:noVBand="1"/>
      </w:tblPr>
      <w:tblGrid>
        <w:gridCol w:w="3685"/>
        <w:gridCol w:w="1619"/>
        <w:gridCol w:w="1715"/>
        <w:gridCol w:w="1715"/>
        <w:gridCol w:w="1715"/>
        <w:gridCol w:w="1715"/>
        <w:gridCol w:w="1715"/>
        <w:gridCol w:w="1715"/>
      </w:tblGrid>
      <w:tr>
        <w:tblPrEx/>
        <w:trPr>
          <w:trHeight w:val="104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Показатель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Удельное годовое значение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Уровень высокой эффективности (</w:t>
            </w:r>
            <w:r>
              <w:t xml:space="preserve">справочно</w:t>
            </w:r>
            <w:r>
              <w:t xml:space="preserve">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Потенциал снижения потребления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экономии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и второй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трехлетний период</w:t>
            </w:r>
            <w:r/>
          </w:p>
        </w:tc>
      </w:tr>
      <w:tr>
        <w:tblPrEx/>
        <w:trPr>
          <w:trHeight w:val="104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тепловой энергии на отопление и вентиляцию, </w:t>
            </w:r>
            <w:r>
              <w:t xml:space="preserve">Втч</w:t>
            </w:r>
            <w:r>
              <w:t xml:space="preserve">/м</w:t>
            </w:r>
            <w:r>
              <w:t xml:space="preserve">2</w:t>
            </w:r>
            <w:r>
              <w:t xml:space="preserve">/ГСОП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5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горячей воды, м3/чел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26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холодной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4,89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4,81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4,74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4,59</w:t>
            </w:r>
            <w:r/>
          </w:p>
        </w:tc>
      </w:tr>
      <w:tr>
        <w:tblPrEx/>
        <w:trPr>
          <w:trHeight w:val="42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электрической энергии, </w:t>
            </w:r>
            <w:r>
              <w:t xml:space="preserve">кВтч</w:t>
            </w:r>
            <w:r>
              <w:t xml:space="preserve">/м</w:t>
            </w: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13,77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13,56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13,35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12,94</w:t>
            </w:r>
            <w:r/>
          </w:p>
        </w:tc>
      </w:tr>
    </w:tbl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пгт</w:t>
      </w:r>
      <w:r>
        <w:rPr>
          <w:bCs/>
          <w:sz w:val="24"/>
          <w:szCs w:val="24"/>
          <w:u w:val="single"/>
        </w:rPr>
        <w:t xml:space="preserve">. Никель, </w:t>
      </w:r>
      <w:r>
        <w:rPr>
          <w:bCs/>
          <w:sz w:val="24"/>
          <w:szCs w:val="24"/>
          <w:u w:val="single"/>
        </w:rPr>
        <w:t xml:space="preserve">пр-кт</w:t>
      </w:r>
      <w:r>
        <w:rPr>
          <w:bCs/>
          <w:sz w:val="24"/>
          <w:szCs w:val="24"/>
          <w:u w:val="single"/>
        </w:rPr>
        <w:t xml:space="preserve"> Гвардейский, д. 13 </w:t>
      </w:r>
      <w:r>
        <w:rPr>
          <w:bCs/>
          <w:sz w:val="24"/>
          <w:szCs w:val="24"/>
          <w:u w:val="single"/>
        </w:rPr>
        <w:t xml:space="preserve">- </w:t>
      </w:r>
      <w:r>
        <w:rPr>
          <w:bCs/>
          <w:sz w:val="24"/>
          <w:szCs w:val="24"/>
          <w:u w:val="single"/>
        </w:rPr>
        <w:t xml:space="preserve">офисные помещения 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jc w:val="center"/>
      </w:pPr>
      <w:r/>
      <w:r/>
    </w:p>
    <w:tbl>
      <w:tblPr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687"/>
        <w:gridCol w:w="1701"/>
        <w:gridCol w:w="1701"/>
        <w:gridCol w:w="1701"/>
        <w:gridCol w:w="1701"/>
        <w:gridCol w:w="1701"/>
        <w:gridCol w:w="1701"/>
        <w:gridCol w:w="1701"/>
      </w:tblGrid>
      <w:tr>
        <w:tblPrEx/>
        <w:trPr>
          <w:trHeight w:val="109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Показатель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Удельное годовое значение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Уровень высокой эффективности (</w:t>
            </w:r>
            <w:r>
              <w:t xml:space="preserve">справочно</w:t>
            </w:r>
            <w:r>
              <w:t xml:space="preserve">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Потенциал снижения потребления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экономии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и второй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трехлетний период</w:t>
            </w:r>
            <w:r/>
          </w:p>
        </w:tc>
      </w:tr>
      <w:tr>
        <w:tblPrEx/>
        <w:trPr>
          <w:trHeight w:val="76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тепловой энергии на отопление и вентиляцию, </w:t>
            </w:r>
            <w:r>
              <w:t xml:space="preserve">Втч</w:t>
            </w:r>
            <w:r>
              <w:t xml:space="preserve">/м</w:t>
            </w:r>
            <w:r>
              <w:t xml:space="preserve">2</w:t>
            </w:r>
            <w:r>
              <w:t xml:space="preserve">/ГСОП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42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горячей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</w:t>
            </w:r>
            <w:r>
              <w:t xml:space="preserve">78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</w:t>
            </w:r>
            <w:r>
              <w:t xml:space="preserve">77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</w:t>
            </w:r>
            <w:r>
              <w:t xml:space="preserve">76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</w:t>
            </w:r>
            <w:r>
              <w:t xml:space="preserve">7</w:t>
            </w:r>
            <w:r>
              <w:t xml:space="preserve">4</w:t>
            </w:r>
            <w:r/>
          </w:p>
        </w:tc>
      </w:tr>
      <w:tr>
        <w:tblPrEx/>
        <w:trPr>
          <w:trHeight w:val="4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холодной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2,91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2,87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2,82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2,73</w:t>
            </w:r>
            <w:r/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электрической энергии, </w:t>
            </w:r>
            <w:r>
              <w:t xml:space="preserve">кВтч</w:t>
            </w:r>
            <w:r>
              <w:t xml:space="preserve">/м</w:t>
            </w: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32,05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31,57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31,08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30,12</w:t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пгт</w:t>
      </w:r>
      <w:r>
        <w:rPr>
          <w:bCs/>
          <w:sz w:val="24"/>
          <w:szCs w:val="24"/>
          <w:u w:val="single"/>
        </w:rPr>
        <w:t xml:space="preserve">. Никель, </w:t>
      </w:r>
      <w:r>
        <w:rPr>
          <w:bCs/>
          <w:sz w:val="24"/>
          <w:szCs w:val="24"/>
          <w:u w:val="single"/>
        </w:rPr>
        <w:t xml:space="preserve">пр-кт</w:t>
      </w:r>
      <w:r>
        <w:rPr>
          <w:bCs/>
          <w:sz w:val="24"/>
          <w:szCs w:val="24"/>
          <w:u w:val="single"/>
        </w:rPr>
        <w:t xml:space="preserve"> Гвардейский, д. 26а </w:t>
      </w:r>
      <w:r>
        <w:rPr>
          <w:bCs/>
          <w:sz w:val="24"/>
          <w:szCs w:val="24"/>
          <w:u w:val="single"/>
        </w:rPr>
        <w:t xml:space="preserve">- </w:t>
      </w:r>
      <w:r>
        <w:rPr>
          <w:bCs/>
          <w:sz w:val="24"/>
          <w:szCs w:val="24"/>
          <w:u w:val="single"/>
        </w:rPr>
        <w:t xml:space="preserve">архивный отдел 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jc w:val="center"/>
      </w:pPr>
      <w:r/>
      <w:r/>
    </w:p>
    <w:tbl>
      <w:tblPr>
        <w:tblW w:w="15594" w:type="dxa"/>
        <w:tblInd w:w="-318" w:type="dxa"/>
        <w:tblLook w:val="04A0" w:firstRow="1" w:lastRow="0" w:firstColumn="1" w:lastColumn="0" w:noHBand="0" w:noVBand="1"/>
      </w:tblPr>
      <w:tblGrid>
        <w:gridCol w:w="3694"/>
        <w:gridCol w:w="1700"/>
        <w:gridCol w:w="1700"/>
        <w:gridCol w:w="1700"/>
        <w:gridCol w:w="1700"/>
        <w:gridCol w:w="1700"/>
        <w:gridCol w:w="1700"/>
        <w:gridCol w:w="1700"/>
      </w:tblGrid>
      <w:tr>
        <w:tblPrEx/>
        <w:trPr>
          <w:trHeight w:val="109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Показатель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Удельное годовое значение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Уровень высокой эффективности (</w:t>
            </w:r>
            <w:r>
              <w:t xml:space="preserve">справочно</w:t>
            </w:r>
            <w:r>
              <w:t xml:space="preserve">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Потенциал снижения потребления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экономии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и второй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трехлетний период</w:t>
            </w:r>
            <w:r/>
          </w:p>
        </w:tc>
      </w:tr>
      <w:tr>
        <w:tblPrEx/>
        <w:trPr>
          <w:trHeight w:val="80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тепловой энергии на отопление и вентиляцию, </w:t>
            </w:r>
            <w:r>
              <w:t xml:space="preserve">Втч</w:t>
            </w:r>
            <w:r>
              <w:t xml:space="preserve">/м</w:t>
            </w:r>
            <w:r>
              <w:t xml:space="preserve">2</w:t>
            </w:r>
            <w:r>
              <w:t xml:space="preserve">/ГСОП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5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горячей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40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холодной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3,54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3,49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3,44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3,33</w:t>
            </w:r>
            <w:r/>
          </w:p>
        </w:tc>
      </w:tr>
      <w:tr>
        <w:tblPrEx/>
        <w:trPr>
          <w:trHeight w:val="26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электрической энергии, </w:t>
            </w:r>
            <w:r>
              <w:t xml:space="preserve">кВтч</w:t>
            </w:r>
            <w:r>
              <w:t xml:space="preserve">/м</w:t>
            </w: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11,42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11,25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11,08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10,73</w:t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пгт</w:t>
      </w:r>
      <w:r>
        <w:rPr>
          <w:bCs/>
          <w:sz w:val="24"/>
          <w:szCs w:val="24"/>
          <w:u w:val="single"/>
        </w:rPr>
        <w:t xml:space="preserve">. Никель, ул. Мира, д. 7 </w:t>
      </w:r>
      <w:r>
        <w:rPr>
          <w:bCs/>
          <w:sz w:val="24"/>
          <w:szCs w:val="24"/>
          <w:u w:val="single"/>
        </w:rPr>
        <w:t xml:space="preserve">- </w:t>
      </w:r>
      <w:r>
        <w:rPr>
          <w:bCs/>
          <w:sz w:val="24"/>
          <w:szCs w:val="24"/>
          <w:u w:val="single"/>
        </w:rPr>
        <w:t xml:space="preserve">гараж 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jc w:val="center"/>
      </w:pPr>
      <w:r/>
      <w:r/>
    </w:p>
    <w:tbl>
      <w:tblPr>
        <w:tblW w:w="15594" w:type="dxa"/>
        <w:tblInd w:w="-318" w:type="dxa"/>
        <w:tblLook w:val="04A0" w:firstRow="1" w:lastRow="0" w:firstColumn="1" w:lastColumn="0" w:noHBand="0" w:noVBand="1"/>
      </w:tblPr>
      <w:tblGrid>
        <w:gridCol w:w="3654"/>
        <w:gridCol w:w="1804"/>
        <w:gridCol w:w="1681"/>
        <w:gridCol w:w="1605"/>
        <w:gridCol w:w="1605"/>
        <w:gridCol w:w="1605"/>
        <w:gridCol w:w="1605"/>
        <w:gridCol w:w="2035"/>
      </w:tblGrid>
      <w:tr>
        <w:tblPrEx/>
        <w:trPr>
          <w:trHeight w:val="96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Показатель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Удельное годовое значение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8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Уровень высокой эффективности (</w:t>
            </w:r>
            <w:r>
              <w:t xml:space="preserve">справочно</w:t>
            </w:r>
            <w:r>
              <w:t xml:space="preserve">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Потенциал снижения потребления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экономии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и второй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трехлетний период</w:t>
            </w:r>
            <w:r/>
          </w:p>
        </w:tc>
      </w:tr>
      <w:tr>
        <w:tblPrEx/>
        <w:trPr>
          <w:trHeight w:val="96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тепловой энергии на отопление и вентиляцию, </w:t>
            </w:r>
            <w:r>
              <w:t xml:space="preserve">Втч</w:t>
            </w:r>
            <w:r>
              <w:t xml:space="preserve">/м</w:t>
            </w:r>
            <w:r>
              <w:t xml:space="preserve">2</w:t>
            </w:r>
            <w:r>
              <w:t xml:space="preserve">/ГСОП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8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4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горячей воды, м3/чел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2,63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8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2,59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2,55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2,47</w:t>
            </w:r>
            <w:r/>
          </w:p>
        </w:tc>
      </w:tr>
      <w:tr>
        <w:tblPrEx/>
        <w:trPr>
          <w:trHeight w:val="48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холодной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0,68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8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</w:t>
            </w:r>
            <w:r>
              <w:t xml:space="preserve">67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</w:t>
            </w:r>
            <w:r>
              <w:t xml:space="preserve">66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</w:t>
            </w:r>
            <w:r>
              <w:t xml:space="preserve">64</w:t>
            </w:r>
            <w:r/>
          </w:p>
        </w:tc>
      </w:tr>
      <w:tr>
        <w:tblPrEx/>
        <w:trPr>
          <w:trHeight w:val="35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электрической энергии, </w:t>
            </w:r>
            <w:r>
              <w:t xml:space="preserve">кВтч</w:t>
            </w:r>
            <w:r>
              <w:t xml:space="preserve">/м</w:t>
            </w: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14,83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8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14,61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14,39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13,94</w:t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пгт</w:t>
      </w:r>
      <w:r>
        <w:rPr>
          <w:bCs/>
          <w:sz w:val="24"/>
          <w:szCs w:val="24"/>
          <w:u w:val="single"/>
        </w:rPr>
        <w:t xml:space="preserve">. Никель, ул. </w:t>
      </w:r>
      <w:r>
        <w:rPr>
          <w:bCs/>
          <w:sz w:val="24"/>
          <w:szCs w:val="24"/>
          <w:u w:val="single"/>
        </w:rPr>
        <w:t xml:space="preserve">Пионерская</w:t>
      </w:r>
      <w:r>
        <w:rPr>
          <w:bCs/>
          <w:sz w:val="24"/>
          <w:szCs w:val="24"/>
          <w:u w:val="single"/>
        </w:rPr>
        <w:t xml:space="preserve">, д. 2а - гараж 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jc w:val="center"/>
      </w:pPr>
      <w:r/>
      <w:r/>
    </w:p>
    <w:tbl>
      <w:tblPr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687"/>
        <w:gridCol w:w="1701"/>
        <w:gridCol w:w="1701"/>
        <w:gridCol w:w="1701"/>
        <w:gridCol w:w="1701"/>
        <w:gridCol w:w="1701"/>
        <w:gridCol w:w="1701"/>
        <w:gridCol w:w="1701"/>
      </w:tblGrid>
      <w:tr>
        <w:tblPrEx/>
        <w:trPr>
          <w:trHeight w:val="104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Показатель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Удельное годовое значение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Уровень высокой эффективности (</w:t>
            </w:r>
            <w:r>
              <w:t xml:space="preserve">справочно</w:t>
            </w:r>
            <w:r>
              <w:t xml:space="preserve">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Потенциал снижения потребления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экономии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и второй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трехлетний период</w:t>
            </w:r>
            <w:r/>
          </w:p>
        </w:tc>
      </w:tr>
      <w:tr>
        <w:tblPrEx/>
        <w:trPr>
          <w:trHeight w:val="55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тепловой энергии на отопление и вентиляцию, </w:t>
            </w:r>
            <w:r>
              <w:t xml:space="preserve">Втч</w:t>
            </w:r>
            <w:r>
              <w:t xml:space="preserve">/м</w:t>
            </w:r>
            <w:r>
              <w:t xml:space="preserve">2</w:t>
            </w:r>
            <w:r>
              <w:t xml:space="preserve">/ГСОП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40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горячей воды, м3/чел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41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холодной воды, м3/чел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40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электрической энергии, </w:t>
            </w:r>
            <w:r>
              <w:t xml:space="preserve">кВтч</w:t>
            </w:r>
            <w:r>
              <w:t xml:space="preserve">/м</w:t>
            </w: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7,94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7,82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7,7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7,46</w:t>
            </w:r>
            <w:r/>
          </w:p>
        </w:tc>
      </w:tr>
    </w:tbl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пгт</w:t>
      </w:r>
      <w:r>
        <w:rPr>
          <w:bCs/>
          <w:sz w:val="24"/>
          <w:szCs w:val="24"/>
          <w:u w:val="single"/>
        </w:rPr>
        <w:t xml:space="preserve">. Никель, ул. П</w:t>
      </w:r>
      <w:r>
        <w:rPr>
          <w:bCs/>
          <w:sz w:val="24"/>
          <w:szCs w:val="24"/>
          <w:u w:val="single"/>
        </w:rPr>
        <w:t xml:space="preserve">обеды, д. 1</w:t>
      </w:r>
      <w:r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 xml:space="preserve">–</w:t>
      </w:r>
      <w:r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 xml:space="preserve">офисные помещения </w:t>
      </w:r>
      <w:r>
        <w:rPr>
          <w:bCs/>
          <w:sz w:val="24"/>
          <w:szCs w:val="24"/>
          <w:u w:val="single"/>
        </w:rPr>
        <w:t xml:space="preserve">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jc w:val="center"/>
      </w:pPr>
      <w:r/>
      <w:r/>
    </w:p>
    <w:tbl>
      <w:tblPr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687"/>
        <w:gridCol w:w="1701"/>
        <w:gridCol w:w="1701"/>
        <w:gridCol w:w="1701"/>
        <w:gridCol w:w="1701"/>
        <w:gridCol w:w="1701"/>
        <w:gridCol w:w="1701"/>
        <w:gridCol w:w="1701"/>
      </w:tblGrid>
      <w:tr>
        <w:tblPrEx/>
        <w:trPr>
          <w:trHeight w:val="108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Показатель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Удельное годовое значение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Уровень высокой эффективности (</w:t>
            </w:r>
            <w:r>
              <w:t xml:space="preserve">справочно</w:t>
            </w:r>
            <w:r>
              <w:t xml:space="preserve">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Потенциал снижения потребления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экономии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первый и второй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Целевой уровень снижения </w:t>
            </w:r>
            <w:r>
              <w:br/>
              <w:t xml:space="preserve">за трехлетний период</w:t>
            </w:r>
            <w:r/>
          </w:p>
        </w:tc>
      </w:tr>
      <w:tr>
        <w:tblPrEx/>
        <w:trPr>
          <w:trHeight w:val="59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тепловой энергии на отопление и вентиляцию, </w:t>
            </w:r>
            <w:r>
              <w:t xml:space="preserve">Втч</w:t>
            </w:r>
            <w:r>
              <w:t xml:space="preserve">/м</w:t>
            </w:r>
            <w:r>
              <w:t xml:space="preserve">2</w:t>
            </w:r>
            <w:r>
              <w:t xml:space="preserve">/ГСОП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требование по снижению потребления не устанавливается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</w:tr>
      <w:tr>
        <w:tblPrEx/>
        <w:trPr>
          <w:trHeight w:val="48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горячей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0,59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0,58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0,58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0,56</w:t>
            </w:r>
            <w:r/>
          </w:p>
        </w:tc>
      </w:tr>
      <w:tr>
        <w:tblPrEx/>
        <w:trPr>
          <w:trHeight w:val="41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холодной воды, м3/чел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3,51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3,46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3,40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3,30</w:t>
            </w:r>
            <w:r/>
          </w:p>
        </w:tc>
      </w:tr>
      <w:tr>
        <w:tblPrEx/>
        <w:trPr>
          <w:trHeight w:val="41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Потребление электрической энергии, </w:t>
            </w:r>
            <w:r>
              <w:t xml:space="preserve">кВтч</w:t>
            </w:r>
            <w:r>
              <w:t xml:space="preserve">/м</w:t>
            </w: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35,20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неприменимо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6%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34,67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34,14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33,09</w:t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№ 5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22.07.2026 </w:t>
      </w:r>
      <w:r>
        <w:rPr>
          <w:bCs/>
          <w:sz w:val="24"/>
          <w:szCs w:val="24"/>
        </w:rPr>
        <w:t xml:space="preserve">№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1401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912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ЦЕЛЕВЫЕ УРОВНИ СНИЖЕНИЯ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сопоставимых условиях суммарного объема потребляемых энергетических ресурсов и объема потребляемой воды на 202</w:t>
      </w: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 - 202</w:t>
      </w: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для зданий </w:t>
      </w:r>
      <w:r>
        <w:rPr>
          <w:sz w:val="24"/>
          <w:szCs w:val="24"/>
        </w:rPr>
        <w:t xml:space="preserve">муниципального казенного учреждения «Единая дежурно-диспетчерская служба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области»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г. </w:t>
      </w:r>
      <w:r>
        <w:rPr>
          <w:bCs/>
          <w:sz w:val="24"/>
          <w:szCs w:val="24"/>
          <w:u w:val="single"/>
        </w:rPr>
        <w:t xml:space="preserve">Заполярный</w:t>
      </w:r>
      <w:r>
        <w:rPr>
          <w:bCs/>
          <w:sz w:val="24"/>
          <w:szCs w:val="24"/>
          <w:u w:val="single"/>
        </w:rPr>
        <w:t xml:space="preserve">, ул. Юбилейная, д. 14 - офисные помещения (нетиповое учреждение)</w:t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p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  <w:r>
        <w:rPr>
          <w:bCs/>
          <w:sz w:val="24"/>
          <w:szCs w:val="24"/>
          <w:u w:val="single"/>
        </w:rPr>
      </w:r>
    </w:p>
    <w:tbl>
      <w:tblPr>
        <w:tblW w:w="15594" w:type="dxa"/>
        <w:tblInd w:w="-318" w:type="dxa"/>
        <w:tblLook w:val="04A0" w:firstRow="1" w:lastRow="0" w:firstColumn="1" w:lastColumn="0" w:noHBand="0" w:noVBand="1"/>
      </w:tblPr>
      <w:tblGrid>
        <w:gridCol w:w="3747"/>
        <w:gridCol w:w="1692"/>
        <w:gridCol w:w="1692"/>
        <w:gridCol w:w="1693"/>
        <w:gridCol w:w="1692"/>
        <w:gridCol w:w="1693"/>
        <w:gridCol w:w="1692"/>
        <w:gridCol w:w="1693"/>
      </w:tblGrid>
      <w:tr>
        <w:tblPrEx/>
        <w:trPr>
          <w:trHeight w:val="93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Показатель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Удельное годовое значение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Уровень высокой эффективности (</w:t>
            </w:r>
            <w:r>
              <w:rPr>
                <w:bCs/>
              </w:rPr>
              <w:t xml:space="preserve">справочно</w:t>
            </w:r>
            <w:r>
              <w:rPr>
                <w:bCs/>
              </w:rPr>
              <w:t xml:space="preserve">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Потенциал снижения потребления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экономии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год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первый и второй год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Целевой уровень снижения </w:t>
            </w:r>
            <w:r>
              <w:rPr>
                <w:bCs/>
              </w:rPr>
              <w:br/>
              <w:t xml:space="preserve">за трехлетний период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7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тепловой энергии на отопление и вентиляцию, </w:t>
            </w:r>
            <w:r>
              <w:rPr>
                <w:bCs/>
              </w:rPr>
              <w:t xml:space="preserve">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/ГСОП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требование по снижению потребления не устанавливается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47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горячей воды, м3/чел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18,04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17,77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17,50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16,96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6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холодной воды, м3/чел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0,46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0,46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0,45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0,44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4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Потребление электрической энергии, </w:t>
            </w:r>
            <w:r>
              <w:rPr>
                <w:bCs/>
              </w:rPr>
              <w:t xml:space="preserve">кВтч</w:t>
            </w:r>
            <w:r>
              <w:rPr>
                <w:bCs/>
              </w:rPr>
              <w:t xml:space="preserve">/м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77,08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неприменимо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75,92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74,76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72,45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sectPr>
          <w:footnotePr/>
          <w:endnotePr/>
          <w:type w:val="nextPage"/>
          <w:pgSz w:w="16838" w:h="11906" w:orient="landscape"/>
          <w:pgMar w:top="1135" w:right="1134" w:bottom="567" w:left="1134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851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Georgia">
    <w:panose1 w:val="02040502050405020303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8" w:hanging="408"/>
      </w:pPr>
      <w:rPr>
        <w:rFonts w:hint="default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7.%2."/>
      <w:lvlJc w:val="left"/>
      <w:pPr>
        <w:ind w:left="1425" w:hanging="432"/>
      </w:pPr>
      <w:rPr>
        <w:rFonts w:hint="default"/>
      </w:rPr>
    </w:lvl>
    <w:lvl w:ilvl="2">
      <w:start w:val="1"/>
      <w:numFmt w:val="bullet"/>
      <w:isLgl w:val="false"/>
      <w:suff w:val="tab"/>
      <w:lvlText w:val=""/>
      <w:lvlJc w:val="left"/>
      <w:pPr>
        <w:ind w:left="1224" w:hanging="504"/>
      </w:pPr>
      <w:rPr>
        <w:rFonts w:hint="default" w:ascii="Symbol" w:hAnsi="Symbol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294" w:hanging="585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8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43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0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7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4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1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9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6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349" w:hanging="180"/>
      </w:p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0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8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7">
    <w:multiLevelType w:val="hybridMultilevel"/>
    <w:lvl w:ilvl="0">
      <w:start w:val="1"/>
      <w:numFmt w:val="decimal"/>
      <w:isLgl w:val="false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2"/>
  </w:num>
  <w:num w:numId="3">
    <w:abstractNumId w:val="34"/>
  </w:num>
  <w:num w:numId="4">
    <w:abstractNumId w:val="27"/>
  </w:num>
  <w:num w:numId="5">
    <w:abstractNumId w:val="41"/>
  </w:num>
  <w:num w:numId="6">
    <w:abstractNumId w:val="32"/>
  </w:num>
  <w:num w:numId="7">
    <w:abstractNumId w:val="35"/>
  </w:num>
  <w:num w:numId="8">
    <w:abstractNumId w:val="29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17"/>
  </w:num>
  <w:num w:numId="12">
    <w:abstractNumId w:val="4"/>
  </w:num>
  <w:num w:numId="13">
    <w:abstractNumId w:val="8"/>
  </w:num>
  <w:num w:numId="14">
    <w:abstractNumId w:val="37"/>
  </w:num>
  <w:num w:numId="15">
    <w:abstractNumId w:val="3"/>
  </w:num>
  <w:num w:numId="16">
    <w:abstractNumId w:val="42"/>
  </w:num>
  <w:num w:numId="17">
    <w:abstractNumId w:val="5"/>
  </w:num>
  <w:num w:numId="18">
    <w:abstractNumId w:val="36"/>
  </w:num>
  <w:num w:numId="19">
    <w:abstractNumId w:val="45"/>
  </w:num>
  <w:num w:numId="20">
    <w:abstractNumId w:val="31"/>
  </w:num>
  <w:num w:numId="21">
    <w:abstractNumId w:val="30"/>
  </w:num>
  <w:num w:numId="22">
    <w:abstractNumId w:val="14"/>
  </w:num>
  <w:num w:numId="23">
    <w:abstractNumId w:val="2"/>
  </w:num>
  <w:num w:numId="24">
    <w:abstractNumId w:val="25"/>
  </w:num>
  <w:num w:numId="25">
    <w:abstractNumId w:val="44"/>
  </w:num>
  <w:num w:numId="26">
    <w:abstractNumId w:val="23"/>
  </w:num>
  <w:num w:numId="27">
    <w:abstractNumId w:val="39"/>
  </w:num>
  <w:num w:numId="28">
    <w:abstractNumId w:val="33"/>
  </w:num>
  <w:num w:numId="29">
    <w:abstractNumId w:val="21"/>
  </w:num>
  <w:num w:numId="30">
    <w:abstractNumId w:val="38"/>
  </w:num>
  <w:num w:numId="31">
    <w:abstractNumId w:val="10"/>
  </w:num>
  <w:num w:numId="32">
    <w:abstractNumId w:val="0"/>
  </w:num>
  <w:num w:numId="33">
    <w:abstractNumId w:val="19"/>
  </w:num>
  <w:num w:numId="34">
    <w:abstractNumId w:val="13"/>
  </w:num>
  <w:num w:numId="35">
    <w:abstractNumId w:val="46"/>
  </w:num>
  <w:num w:numId="36">
    <w:abstractNumId w:val="7"/>
  </w:num>
  <w:num w:numId="37">
    <w:abstractNumId w:val="40"/>
  </w:num>
  <w:num w:numId="38">
    <w:abstractNumId w:val="24"/>
  </w:num>
  <w:num w:numId="39">
    <w:abstractNumId w:val="43"/>
  </w:num>
  <w:num w:numId="40">
    <w:abstractNumId w:val="15"/>
  </w:num>
  <w:num w:numId="41">
    <w:abstractNumId w:val="1"/>
  </w:num>
  <w:num w:numId="42">
    <w:abstractNumId w:val="47"/>
  </w:num>
  <w:num w:numId="43">
    <w:abstractNumId w:val="12"/>
  </w:num>
  <w:num w:numId="44">
    <w:abstractNumId w:val="16"/>
  </w:num>
  <w:num w:numId="45">
    <w:abstractNumId w:val="20"/>
  </w:num>
  <w:num w:numId="46">
    <w:abstractNumId w:val="18"/>
  </w:num>
  <w:num w:numId="47">
    <w:abstractNumId w:val="11"/>
  </w:num>
  <w:num w:numId="48">
    <w:abstractNumId w:val="6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1">
    <w:name w:val="Heading 1 Char"/>
    <w:basedOn w:val="921"/>
    <w:link w:val="916"/>
    <w:uiPriority w:val="9"/>
    <w:rPr>
      <w:rFonts w:ascii="Arial" w:hAnsi="Arial" w:eastAsia="Arial" w:cs="Arial"/>
      <w:sz w:val="40"/>
      <w:szCs w:val="40"/>
    </w:rPr>
  </w:style>
  <w:style w:type="character" w:styleId="752">
    <w:name w:val="Heading 2 Char"/>
    <w:basedOn w:val="921"/>
    <w:link w:val="917"/>
    <w:uiPriority w:val="9"/>
    <w:rPr>
      <w:rFonts w:ascii="Arial" w:hAnsi="Arial" w:eastAsia="Arial" w:cs="Arial"/>
      <w:sz w:val="34"/>
    </w:rPr>
  </w:style>
  <w:style w:type="character" w:styleId="753">
    <w:name w:val="Heading 3 Char"/>
    <w:basedOn w:val="921"/>
    <w:link w:val="918"/>
    <w:uiPriority w:val="9"/>
    <w:rPr>
      <w:rFonts w:ascii="Arial" w:hAnsi="Arial" w:eastAsia="Arial" w:cs="Arial"/>
      <w:sz w:val="30"/>
      <w:szCs w:val="30"/>
    </w:rPr>
  </w:style>
  <w:style w:type="character" w:styleId="754">
    <w:name w:val="Heading 4 Char"/>
    <w:basedOn w:val="921"/>
    <w:link w:val="919"/>
    <w:uiPriority w:val="9"/>
    <w:rPr>
      <w:rFonts w:ascii="Arial" w:hAnsi="Arial" w:eastAsia="Arial" w:cs="Arial"/>
      <w:b/>
      <w:bCs/>
      <w:sz w:val="26"/>
      <w:szCs w:val="26"/>
    </w:rPr>
  </w:style>
  <w:style w:type="paragraph" w:styleId="755">
    <w:name w:val="Heading 5"/>
    <w:basedOn w:val="915"/>
    <w:next w:val="915"/>
    <w:link w:val="75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6">
    <w:name w:val="Heading 5 Char"/>
    <w:basedOn w:val="921"/>
    <w:link w:val="755"/>
    <w:uiPriority w:val="9"/>
    <w:rPr>
      <w:rFonts w:ascii="Arial" w:hAnsi="Arial" w:eastAsia="Arial" w:cs="Arial"/>
      <w:b/>
      <w:bCs/>
      <w:sz w:val="24"/>
      <w:szCs w:val="24"/>
    </w:rPr>
  </w:style>
  <w:style w:type="character" w:styleId="757">
    <w:name w:val="Heading 6 Char"/>
    <w:basedOn w:val="921"/>
    <w:link w:val="920"/>
    <w:uiPriority w:val="9"/>
    <w:rPr>
      <w:rFonts w:ascii="Arial" w:hAnsi="Arial" w:eastAsia="Arial" w:cs="Arial"/>
      <w:b/>
      <w:bCs/>
      <w:sz w:val="22"/>
      <w:szCs w:val="22"/>
    </w:rPr>
  </w:style>
  <w:style w:type="paragraph" w:styleId="758">
    <w:name w:val="Heading 7"/>
    <w:basedOn w:val="915"/>
    <w:next w:val="915"/>
    <w:link w:val="7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9">
    <w:name w:val="Heading 7 Char"/>
    <w:basedOn w:val="921"/>
    <w:link w:val="7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0">
    <w:name w:val="Heading 8"/>
    <w:basedOn w:val="915"/>
    <w:next w:val="915"/>
    <w:link w:val="76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1">
    <w:name w:val="Heading 8 Char"/>
    <w:basedOn w:val="921"/>
    <w:link w:val="760"/>
    <w:uiPriority w:val="9"/>
    <w:rPr>
      <w:rFonts w:ascii="Arial" w:hAnsi="Arial" w:eastAsia="Arial" w:cs="Arial"/>
      <w:i/>
      <w:iCs/>
      <w:sz w:val="22"/>
      <w:szCs w:val="22"/>
    </w:rPr>
  </w:style>
  <w:style w:type="paragraph" w:styleId="762">
    <w:name w:val="Heading 9"/>
    <w:basedOn w:val="915"/>
    <w:next w:val="915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3">
    <w:name w:val="Heading 9 Char"/>
    <w:basedOn w:val="921"/>
    <w:link w:val="762"/>
    <w:uiPriority w:val="9"/>
    <w:rPr>
      <w:rFonts w:ascii="Arial" w:hAnsi="Arial" w:eastAsia="Arial" w:cs="Arial"/>
      <w:i/>
      <w:iCs/>
      <w:sz w:val="21"/>
      <w:szCs w:val="21"/>
    </w:rPr>
  </w:style>
  <w:style w:type="character" w:styleId="764">
    <w:name w:val="Title Char"/>
    <w:basedOn w:val="921"/>
    <w:link w:val="973"/>
    <w:uiPriority w:val="10"/>
    <w:rPr>
      <w:sz w:val="48"/>
      <w:szCs w:val="48"/>
    </w:rPr>
  </w:style>
  <w:style w:type="paragraph" w:styleId="765">
    <w:name w:val="Subtitle"/>
    <w:basedOn w:val="915"/>
    <w:next w:val="915"/>
    <w:link w:val="766"/>
    <w:uiPriority w:val="11"/>
    <w:qFormat/>
    <w:pPr>
      <w:spacing w:before="200" w:after="200"/>
    </w:pPr>
    <w:rPr>
      <w:sz w:val="24"/>
      <w:szCs w:val="24"/>
    </w:rPr>
  </w:style>
  <w:style w:type="character" w:styleId="766">
    <w:name w:val="Subtitle Char"/>
    <w:basedOn w:val="921"/>
    <w:link w:val="765"/>
    <w:uiPriority w:val="11"/>
    <w:rPr>
      <w:sz w:val="24"/>
      <w:szCs w:val="24"/>
    </w:rPr>
  </w:style>
  <w:style w:type="paragraph" w:styleId="767">
    <w:name w:val="Quote"/>
    <w:basedOn w:val="915"/>
    <w:next w:val="915"/>
    <w:link w:val="768"/>
    <w:uiPriority w:val="29"/>
    <w:qFormat/>
    <w:pPr>
      <w:ind w:left="720" w:right="720"/>
    </w:pPr>
    <w:rPr>
      <w:i/>
    </w:rPr>
  </w:style>
  <w:style w:type="character" w:styleId="768">
    <w:name w:val="Quote Char"/>
    <w:link w:val="767"/>
    <w:uiPriority w:val="29"/>
    <w:rPr>
      <w:i/>
    </w:rPr>
  </w:style>
  <w:style w:type="paragraph" w:styleId="769">
    <w:name w:val="Intense Quote"/>
    <w:basedOn w:val="915"/>
    <w:next w:val="915"/>
    <w:link w:val="7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0">
    <w:name w:val="Intense Quote Char"/>
    <w:link w:val="769"/>
    <w:uiPriority w:val="30"/>
    <w:rPr>
      <w:i/>
    </w:rPr>
  </w:style>
  <w:style w:type="character" w:styleId="771">
    <w:name w:val="Header Char"/>
    <w:basedOn w:val="921"/>
    <w:link w:val="948"/>
    <w:uiPriority w:val="99"/>
  </w:style>
  <w:style w:type="character" w:styleId="772">
    <w:name w:val="Footer Char"/>
    <w:basedOn w:val="921"/>
    <w:link w:val="950"/>
    <w:uiPriority w:val="99"/>
  </w:style>
  <w:style w:type="paragraph" w:styleId="773">
    <w:name w:val="Caption"/>
    <w:basedOn w:val="915"/>
    <w:next w:val="91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4">
    <w:name w:val="Caption Char"/>
    <w:basedOn w:val="773"/>
    <w:link w:val="950"/>
    <w:uiPriority w:val="99"/>
  </w:style>
  <w:style w:type="table" w:styleId="775">
    <w:name w:val="Table Grid Light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6">
    <w:name w:val="Plain Table 1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>
    <w:name w:val="Plain Table 2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>
    <w:name w:val="Plain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9">
    <w:name w:val="Plain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Plain Table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1">
    <w:name w:val="Grid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3">
    <w:name w:val="Grid Table 4 - Accent 1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4">
    <w:name w:val="Grid Table 4 - Accent 2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5">
    <w:name w:val="Grid Table 4 - Accent 3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6">
    <w:name w:val="Grid Table 4 - Accent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7">
    <w:name w:val="Grid Table 4 - Accent 5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8">
    <w:name w:val="Grid Table 4 - Accent 6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9">
    <w:name w:val="Grid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3">
    <w:name w:val="Grid Table 5 Dark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4">
    <w:name w:val="Grid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6">
    <w:name w:val="Grid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7">
    <w:name w:val="Grid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8">
    <w:name w:val="Grid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9">
    <w:name w:val="Grid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0">
    <w:name w:val="Grid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1">
    <w:name w:val="Grid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2">
    <w:name w:val="Grid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3">
    <w:name w:val="Grid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8">
    <w:name w:val="List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9">
    <w:name w:val="List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0">
    <w:name w:val="List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1">
    <w:name w:val="List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2">
    <w:name w:val="List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3">
    <w:name w:val="List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4">
    <w:name w:val="List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6">
    <w:name w:val="List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7">
    <w:name w:val="List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8">
    <w:name w:val="List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9">
    <w:name w:val="List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0">
    <w:name w:val="List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1">
    <w:name w:val="List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2">
    <w:name w:val="List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3">
    <w:name w:val="List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4">
    <w:name w:val="List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5">
    <w:name w:val="List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6">
    <w:name w:val="List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7">
    <w:name w:val="List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8">
    <w:name w:val="List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9">
    <w:name w:val="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 &amp; 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7">
    <w:name w:val="Bordered &amp; 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8">
    <w:name w:val="Bordered &amp; 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9">
    <w:name w:val="Bordered &amp; 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0">
    <w:name w:val="Bordered &amp; 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1">
    <w:name w:val="Bordered &amp; 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2">
    <w:name w:val="Bordered &amp; 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3">
    <w:name w:val="Bordered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4">
    <w:name w:val="Bordered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5">
    <w:name w:val="Bordered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6">
    <w:name w:val="Bordered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7">
    <w:name w:val="Bordered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8">
    <w:name w:val="Bordered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9">
    <w:name w:val="Bordered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0">
    <w:name w:val="footnote text"/>
    <w:basedOn w:val="915"/>
    <w:link w:val="901"/>
    <w:uiPriority w:val="99"/>
    <w:semiHidden/>
    <w:unhideWhenUsed/>
    <w:pPr>
      <w:spacing w:after="40" w:line="240" w:lineRule="auto"/>
    </w:pPr>
    <w:rPr>
      <w:sz w:val="18"/>
    </w:rPr>
  </w:style>
  <w:style w:type="character" w:styleId="901">
    <w:name w:val="Footnote Text Char"/>
    <w:link w:val="900"/>
    <w:uiPriority w:val="99"/>
    <w:rPr>
      <w:sz w:val="18"/>
    </w:rPr>
  </w:style>
  <w:style w:type="character" w:styleId="902">
    <w:name w:val="footnote reference"/>
    <w:basedOn w:val="921"/>
    <w:uiPriority w:val="99"/>
    <w:unhideWhenUsed/>
    <w:rPr>
      <w:vertAlign w:val="superscript"/>
    </w:rPr>
  </w:style>
  <w:style w:type="character" w:styleId="903">
    <w:name w:val="Endnote Text Char"/>
    <w:link w:val="932"/>
    <w:uiPriority w:val="99"/>
    <w:rPr>
      <w:sz w:val="20"/>
    </w:rPr>
  </w:style>
  <w:style w:type="paragraph" w:styleId="904">
    <w:name w:val="toc 1"/>
    <w:basedOn w:val="915"/>
    <w:next w:val="915"/>
    <w:uiPriority w:val="39"/>
    <w:unhideWhenUsed/>
    <w:pPr>
      <w:ind w:left="0" w:right="0" w:firstLine="0"/>
      <w:spacing w:after="57"/>
    </w:pPr>
  </w:style>
  <w:style w:type="paragraph" w:styleId="905">
    <w:name w:val="toc 2"/>
    <w:basedOn w:val="915"/>
    <w:next w:val="915"/>
    <w:uiPriority w:val="39"/>
    <w:unhideWhenUsed/>
    <w:pPr>
      <w:ind w:left="283" w:right="0" w:firstLine="0"/>
      <w:spacing w:after="57"/>
    </w:pPr>
  </w:style>
  <w:style w:type="paragraph" w:styleId="906">
    <w:name w:val="toc 3"/>
    <w:basedOn w:val="915"/>
    <w:next w:val="915"/>
    <w:uiPriority w:val="39"/>
    <w:unhideWhenUsed/>
    <w:pPr>
      <w:ind w:left="567" w:right="0" w:firstLine="0"/>
      <w:spacing w:after="57"/>
    </w:pPr>
  </w:style>
  <w:style w:type="paragraph" w:styleId="907">
    <w:name w:val="toc 4"/>
    <w:basedOn w:val="915"/>
    <w:next w:val="915"/>
    <w:uiPriority w:val="39"/>
    <w:unhideWhenUsed/>
    <w:pPr>
      <w:ind w:left="850" w:right="0" w:firstLine="0"/>
      <w:spacing w:after="57"/>
    </w:pPr>
  </w:style>
  <w:style w:type="paragraph" w:styleId="908">
    <w:name w:val="toc 5"/>
    <w:basedOn w:val="915"/>
    <w:next w:val="915"/>
    <w:uiPriority w:val="39"/>
    <w:unhideWhenUsed/>
    <w:pPr>
      <w:ind w:left="1134" w:right="0" w:firstLine="0"/>
      <w:spacing w:after="57"/>
    </w:pPr>
  </w:style>
  <w:style w:type="paragraph" w:styleId="909">
    <w:name w:val="toc 6"/>
    <w:basedOn w:val="915"/>
    <w:next w:val="915"/>
    <w:uiPriority w:val="39"/>
    <w:unhideWhenUsed/>
    <w:pPr>
      <w:ind w:left="1417" w:right="0" w:firstLine="0"/>
      <w:spacing w:after="57"/>
    </w:pPr>
  </w:style>
  <w:style w:type="paragraph" w:styleId="910">
    <w:name w:val="toc 7"/>
    <w:basedOn w:val="915"/>
    <w:next w:val="915"/>
    <w:uiPriority w:val="39"/>
    <w:unhideWhenUsed/>
    <w:pPr>
      <w:ind w:left="1701" w:right="0" w:firstLine="0"/>
      <w:spacing w:after="57"/>
    </w:pPr>
  </w:style>
  <w:style w:type="paragraph" w:styleId="911">
    <w:name w:val="toc 8"/>
    <w:basedOn w:val="915"/>
    <w:next w:val="915"/>
    <w:uiPriority w:val="39"/>
    <w:unhideWhenUsed/>
    <w:pPr>
      <w:ind w:left="1984" w:right="0" w:firstLine="0"/>
      <w:spacing w:after="57"/>
    </w:pPr>
  </w:style>
  <w:style w:type="paragraph" w:styleId="912">
    <w:name w:val="toc 9"/>
    <w:basedOn w:val="915"/>
    <w:next w:val="915"/>
    <w:uiPriority w:val="39"/>
    <w:unhideWhenUsed/>
    <w:pPr>
      <w:ind w:left="2268" w:right="0" w:firstLine="0"/>
      <w:spacing w:after="57"/>
    </w:pPr>
  </w:style>
  <w:style w:type="paragraph" w:styleId="913">
    <w:name w:val="TOC Heading"/>
    <w:uiPriority w:val="39"/>
    <w:unhideWhenUsed/>
  </w:style>
  <w:style w:type="paragraph" w:styleId="914">
    <w:name w:val="table of figures"/>
    <w:basedOn w:val="915"/>
    <w:next w:val="915"/>
    <w:uiPriority w:val="99"/>
    <w:unhideWhenUsed/>
    <w:pPr>
      <w:spacing w:after="0" w:afterAutospacing="0"/>
    </w:pPr>
  </w:style>
  <w:style w:type="paragraph" w:styleId="915" w:default="1">
    <w:name w:val="Normal"/>
    <w:qFormat/>
    <w:rPr>
      <w:rFonts w:ascii="Times New Roman" w:hAnsi="Times New Roman" w:eastAsia="Times New Roman"/>
    </w:rPr>
  </w:style>
  <w:style w:type="paragraph" w:styleId="916">
    <w:name w:val="Heading 1"/>
    <w:basedOn w:val="915"/>
    <w:next w:val="915"/>
    <w:link w:val="943"/>
    <w:qFormat/>
    <w:pPr>
      <w:ind w:firstLine="7655"/>
      <w:keepNext/>
      <w:outlineLvl w:val="0"/>
    </w:pPr>
    <w:rPr>
      <w:b/>
      <w:sz w:val="28"/>
    </w:rPr>
  </w:style>
  <w:style w:type="paragraph" w:styleId="917">
    <w:name w:val="Heading 2"/>
    <w:basedOn w:val="915"/>
    <w:next w:val="915"/>
    <w:link w:val="944"/>
    <w:unhideWhenUsed/>
    <w:qFormat/>
    <w:pPr>
      <w:jc w:val="both"/>
      <w:keepLines/>
      <w:keepNext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918">
    <w:name w:val="Heading 3"/>
    <w:basedOn w:val="915"/>
    <w:link w:val="945"/>
    <w:qFormat/>
    <w:pPr>
      <w:jc w:val="both"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919">
    <w:name w:val="Heading 4"/>
    <w:basedOn w:val="915"/>
    <w:next w:val="915"/>
    <w:link w:val="925"/>
    <w:qFormat/>
    <w:pPr>
      <w:ind w:firstLine="709"/>
      <w:keepNext/>
      <w:outlineLvl w:val="3"/>
    </w:pPr>
    <w:rPr>
      <w:sz w:val="28"/>
    </w:rPr>
  </w:style>
  <w:style w:type="paragraph" w:styleId="920">
    <w:name w:val="Heading 6"/>
    <w:basedOn w:val="915"/>
    <w:next w:val="915"/>
    <w:link w:val="946"/>
    <w:semiHidden/>
    <w:unhideWhenUsed/>
    <w:qFormat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character" w:styleId="921" w:default="1">
    <w:name w:val="Default Paragraph Font"/>
    <w:uiPriority w:val="1"/>
    <w:semiHidden/>
    <w:unhideWhenUsed/>
  </w:style>
  <w:style w:type="table" w:styleId="9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3" w:default="1">
    <w:name w:val="No List"/>
    <w:uiPriority w:val="99"/>
    <w:semiHidden/>
    <w:unhideWhenUsed/>
  </w:style>
  <w:style w:type="paragraph" w:styleId="924" w:customStyle="1">
    <w:name w:val="Стиль1"/>
    <w:basedOn w:val="915"/>
    <w:qFormat/>
    <w:rPr>
      <w:sz w:val="24"/>
    </w:rPr>
  </w:style>
  <w:style w:type="character" w:styleId="925" w:customStyle="1">
    <w:name w:val="Заголовок 4 Знак"/>
    <w:link w:val="919"/>
    <w:rPr>
      <w:rFonts w:ascii="Times New Roman" w:hAnsi="Times New Roman" w:eastAsia="Times New Roman"/>
      <w:szCs w:val="20"/>
      <w:lang w:eastAsia="ru-RU"/>
    </w:rPr>
  </w:style>
  <w:style w:type="paragraph" w:styleId="926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27">
    <w:name w:val="Balloon Text"/>
    <w:basedOn w:val="915"/>
    <w:link w:val="928"/>
    <w:unhideWhenUsed/>
    <w:rPr>
      <w:rFonts w:ascii="Tahoma" w:hAnsi="Tahoma" w:cs="Tahoma"/>
      <w:sz w:val="16"/>
      <w:szCs w:val="16"/>
    </w:rPr>
  </w:style>
  <w:style w:type="character" w:styleId="928" w:customStyle="1">
    <w:name w:val="Текст выноски Знак"/>
    <w:link w:val="927"/>
    <w:rPr>
      <w:rFonts w:ascii="Tahoma" w:hAnsi="Tahoma" w:eastAsia="Times New Roman" w:cs="Tahoma"/>
      <w:sz w:val="16"/>
      <w:szCs w:val="16"/>
      <w:lang w:eastAsia="ru-RU"/>
    </w:rPr>
  </w:style>
  <w:style w:type="paragraph" w:styleId="929">
    <w:name w:val="List Paragraph"/>
    <w:basedOn w:val="915"/>
    <w:uiPriority w:val="34"/>
    <w:qFormat/>
    <w:pPr>
      <w:contextualSpacing/>
      <w:ind w:left="720"/>
    </w:pPr>
  </w:style>
  <w:style w:type="paragraph" w:styleId="930" w:customStyle="1">
    <w:name w:val="Знак Знак Знак Знак Знак Знак Знак Знак Знак Знак"/>
    <w:basedOn w:val="9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1" w:customStyle="1">
    <w:name w:val="Знак Знак Знак Знак"/>
    <w:basedOn w:val="9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2">
    <w:name w:val="endnote text"/>
    <w:basedOn w:val="915"/>
    <w:link w:val="933"/>
    <w:uiPriority w:val="99"/>
    <w:semiHidden/>
    <w:unhideWhenUsed/>
  </w:style>
  <w:style w:type="character" w:styleId="933" w:customStyle="1">
    <w:name w:val="Текст концевой сноски Знак"/>
    <w:link w:val="932"/>
    <w:uiPriority w:val="99"/>
    <w:semiHidden/>
    <w:rPr>
      <w:rFonts w:ascii="Times New Roman" w:hAnsi="Times New Roman" w:eastAsia="Times New Roman"/>
    </w:rPr>
  </w:style>
  <w:style w:type="character" w:styleId="934">
    <w:name w:val="endnote reference"/>
    <w:uiPriority w:val="99"/>
    <w:semiHidden/>
    <w:unhideWhenUsed/>
    <w:rPr>
      <w:vertAlign w:val="superscript"/>
    </w:rPr>
  </w:style>
  <w:style w:type="paragraph" w:styleId="935" w:customStyle="1">
    <w:name w:val="Знак Знак1 Знак Знак Знак Знак"/>
    <w:basedOn w:val="91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6">
    <w:name w:val="annotation reference"/>
    <w:basedOn w:val="921"/>
    <w:uiPriority w:val="99"/>
    <w:semiHidden/>
    <w:unhideWhenUsed/>
    <w:rPr>
      <w:sz w:val="16"/>
      <w:szCs w:val="16"/>
    </w:rPr>
  </w:style>
  <w:style w:type="paragraph" w:styleId="937">
    <w:name w:val="annotation text"/>
    <w:basedOn w:val="915"/>
    <w:link w:val="938"/>
    <w:uiPriority w:val="99"/>
    <w:semiHidden/>
    <w:unhideWhenUsed/>
  </w:style>
  <w:style w:type="character" w:styleId="938" w:customStyle="1">
    <w:name w:val="Текст примечания Знак"/>
    <w:basedOn w:val="921"/>
    <w:link w:val="937"/>
    <w:uiPriority w:val="99"/>
    <w:semiHidden/>
    <w:rPr>
      <w:rFonts w:ascii="Times New Roman" w:hAnsi="Times New Roman" w:eastAsia="Times New Roman"/>
    </w:rPr>
  </w:style>
  <w:style w:type="paragraph" w:styleId="939">
    <w:name w:val="annotation subject"/>
    <w:basedOn w:val="937"/>
    <w:next w:val="937"/>
    <w:link w:val="940"/>
    <w:uiPriority w:val="99"/>
    <w:semiHidden/>
    <w:unhideWhenUsed/>
    <w:rPr>
      <w:b/>
      <w:bCs/>
    </w:rPr>
  </w:style>
  <w:style w:type="character" w:styleId="940" w:customStyle="1">
    <w:name w:val="Тема примечания Знак"/>
    <w:basedOn w:val="938"/>
    <w:link w:val="939"/>
    <w:uiPriority w:val="99"/>
    <w:semiHidden/>
    <w:rPr>
      <w:rFonts w:ascii="Times New Roman" w:hAnsi="Times New Roman" w:eastAsia="Times New Roman"/>
      <w:b/>
      <w:bCs/>
    </w:rPr>
  </w:style>
  <w:style w:type="character" w:styleId="941">
    <w:name w:val="Hyperlink"/>
    <w:basedOn w:val="921"/>
    <w:uiPriority w:val="99"/>
    <w:unhideWhenUsed/>
    <w:rPr>
      <w:color w:val="0000ff" w:themeColor="hyperlink"/>
      <w:u w:val="single"/>
    </w:rPr>
  </w:style>
  <w:style w:type="paragraph" w:styleId="942">
    <w:name w:val="No Spacing"/>
    <w:uiPriority w:val="1"/>
    <w:qFormat/>
    <w:rPr>
      <w:rFonts w:eastAsia="Times New Roman"/>
      <w:sz w:val="22"/>
      <w:szCs w:val="22"/>
    </w:rPr>
  </w:style>
  <w:style w:type="character" w:styleId="943" w:customStyle="1">
    <w:name w:val="Заголовок 1 Знак"/>
    <w:basedOn w:val="921"/>
    <w:link w:val="916"/>
    <w:rPr>
      <w:rFonts w:ascii="Times New Roman" w:hAnsi="Times New Roman" w:eastAsia="Times New Roman"/>
      <w:b/>
      <w:sz w:val="28"/>
    </w:rPr>
  </w:style>
  <w:style w:type="character" w:styleId="944" w:customStyle="1">
    <w:name w:val="Заголовок 2 Знак"/>
    <w:basedOn w:val="921"/>
    <w:link w:val="917"/>
    <w:rPr>
      <w:rFonts w:ascii="Cambria" w:hAnsi="Cambria" w:eastAsia="Times New Roman"/>
      <w:b/>
      <w:bCs/>
      <w:color w:val="4f81bd"/>
      <w:sz w:val="26"/>
      <w:szCs w:val="26"/>
    </w:rPr>
  </w:style>
  <w:style w:type="character" w:styleId="945" w:customStyle="1">
    <w:name w:val="Заголовок 3 Знак"/>
    <w:basedOn w:val="921"/>
    <w:link w:val="918"/>
    <w:rPr>
      <w:rFonts w:ascii="Times New Roman" w:hAnsi="Times New Roman" w:eastAsia="Times New Roman"/>
      <w:b/>
      <w:bCs/>
      <w:sz w:val="27"/>
      <w:szCs w:val="27"/>
    </w:rPr>
  </w:style>
  <w:style w:type="character" w:styleId="946" w:customStyle="1">
    <w:name w:val="Заголовок 6 Знак"/>
    <w:basedOn w:val="921"/>
    <w:link w:val="920"/>
    <w:semiHidden/>
    <w:rPr>
      <w:rFonts w:eastAsia="Times New Roman"/>
      <w:b/>
      <w:bCs/>
      <w:sz w:val="22"/>
      <w:szCs w:val="22"/>
    </w:rPr>
  </w:style>
  <w:style w:type="paragraph" w:styleId="94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48">
    <w:name w:val="Header"/>
    <w:basedOn w:val="915"/>
    <w:link w:val="949"/>
    <w:unhideWhenUsed/>
    <w:pPr>
      <w:tabs>
        <w:tab w:val="center" w:pos="4677" w:leader="none"/>
        <w:tab w:val="right" w:pos="9355" w:leader="none"/>
      </w:tabs>
    </w:pPr>
    <w:rPr>
      <w:rFonts w:ascii="Calibri" w:hAnsi="Calibri"/>
      <w:sz w:val="22"/>
      <w:szCs w:val="22"/>
    </w:rPr>
  </w:style>
  <w:style w:type="character" w:styleId="949" w:customStyle="1">
    <w:name w:val="Верхний колонтитул Знак"/>
    <w:basedOn w:val="921"/>
    <w:link w:val="948"/>
    <w:rPr>
      <w:rFonts w:eastAsia="Times New Roman"/>
      <w:sz w:val="22"/>
      <w:szCs w:val="22"/>
    </w:rPr>
  </w:style>
  <w:style w:type="paragraph" w:styleId="950">
    <w:name w:val="Footer"/>
    <w:basedOn w:val="915"/>
    <w:link w:val="951"/>
    <w:uiPriority w:val="99"/>
    <w:unhideWhenUsed/>
    <w:pPr>
      <w:tabs>
        <w:tab w:val="center" w:pos="4677" w:leader="none"/>
        <w:tab w:val="right" w:pos="9355" w:leader="none"/>
      </w:tabs>
    </w:pPr>
    <w:rPr>
      <w:rFonts w:ascii="Calibri" w:hAnsi="Calibri"/>
      <w:sz w:val="22"/>
      <w:szCs w:val="22"/>
    </w:rPr>
  </w:style>
  <w:style w:type="character" w:styleId="951" w:customStyle="1">
    <w:name w:val="Нижний колонтитул Знак"/>
    <w:basedOn w:val="921"/>
    <w:link w:val="950"/>
    <w:uiPriority w:val="99"/>
    <w:rPr>
      <w:rFonts w:eastAsia="Times New Roman"/>
      <w:sz w:val="22"/>
      <w:szCs w:val="22"/>
    </w:rPr>
  </w:style>
  <w:style w:type="paragraph" w:styleId="952" w:customStyle="1">
    <w:name w:val="western"/>
    <w:basedOn w:val="915"/>
    <w:pPr>
      <w:spacing w:before="100" w:beforeAutospacing="1" w:after="100" w:afterAutospacing="1"/>
    </w:pPr>
    <w:rPr>
      <w:sz w:val="24"/>
      <w:szCs w:val="24"/>
    </w:rPr>
  </w:style>
  <w:style w:type="table" w:styleId="953">
    <w:name w:val="Table Grid"/>
    <w:basedOn w:val="922"/>
    <w:uiPriority w:val="59"/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4">
    <w:name w:val="Normal (Web)"/>
    <w:basedOn w:val="915"/>
    <w:uiPriority w:val="99"/>
    <w:pPr>
      <w:spacing w:before="100" w:beforeAutospacing="1" w:after="100" w:afterAutospacing="1"/>
    </w:pPr>
    <w:rPr>
      <w:rFonts w:ascii="Verdana" w:hAnsi="Verdana"/>
      <w:color w:val="333366"/>
      <w:sz w:val="18"/>
      <w:szCs w:val="18"/>
    </w:rPr>
  </w:style>
  <w:style w:type="paragraph" w:styleId="955">
    <w:name w:val="Body Text Indent 2"/>
    <w:basedOn w:val="915"/>
    <w:link w:val="956"/>
    <w:pPr>
      <w:ind w:left="283"/>
      <w:spacing w:after="120" w:line="480" w:lineRule="auto"/>
    </w:pPr>
    <w:rPr>
      <w:rFonts w:ascii="Calibri" w:hAnsi="Calibri"/>
      <w:sz w:val="22"/>
      <w:szCs w:val="22"/>
    </w:rPr>
  </w:style>
  <w:style w:type="character" w:styleId="956" w:customStyle="1">
    <w:name w:val="Основной текст с отступом 2 Знак"/>
    <w:basedOn w:val="921"/>
    <w:link w:val="955"/>
    <w:rPr>
      <w:rFonts w:eastAsia="Times New Roman"/>
      <w:sz w:val="22"/>
      <w:szCs w:val="22"/>
    </w:rPr>
  </w:style>
  <w:style w:type="character" w:styleId="957">
    <w:name w:val="Strong"/>
    <w:uiPriority w:val="22"/>
    <w:qFormat/>
    <w:rPr>
      <w:b/>
      <w:bCs/>
    </w:rPr>
  </w:style>
  <w:style w:type="paragraph" w:styleId="958" w:customStyle="1">
    <w:name w:val="headertext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59" w:customStyle="1">
    <w:name w:val="formattext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0" w:customStyle="1">
    <w:name w:val="s_3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1" w:customStyle="1">
    <w:name w:val="s_52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2" w:customStyle="1">
    <w:name w:val="s_1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3" w:customStyle="1">
    <w:name w:val="s_16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4" w:customStyle="1">
    <w:name w:val="s_9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5" w:customStyle="1">
    <w:name w:val="s_22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character" w:styleId="966" w:customStyle="1">
    <w:name w:val="s_10"/>
  </w:style>
  <w:style w:type="paragraph" w:styleId="967">
    <w:name w:val="Body Text 3"/>
    <w:basedOn w:val="915"/>
    <w:link w:val="968"/>
    <w:uiPriority w:val="99"/>
    <w:semiHidden/>
    <w:unhideWhenUsed/>
    <w:pPr>
      <w:jc w:val="both"/>
      <w:spacing w:after="120" w:line="276" w:lineRule="auto"/>
    </w:pPr>
    <w:rPr>
      <w:sz w:val="16"/>
      <w:szCs w:val="16"/>
    </w:rPr>
  </w:style>
  <w:style w:type="character" w:styleId="968" w:customStyle="1">
    <w:name w:val="Основной текст 3 Знак"/>
    <w:basedOn w:val="921"/>
    <w:link w:val="967"/>
    <w:uiPriority w:val="99"/>
    <w:semiHidden/>
    <w:rPr>
      <w:rFonts w:ascii="Times New Roman" w:hAnsi="Times New Roman" w:eastAsia="Times New Roman"/>
      <w:sz w:val="16"/>
      <w:szCs w:val="16"/>
    </w:rPr>
  </w:style>
  <w:style w:type="character" w:styleId="969" w:customStyle="1">
    <w:name w:val="Основной текст (4)_"/>
    <w:link w:val="970"/>
    <w:rPr>
      <w:b/>
      <w:bCs/>
      <w:sz w:val="23"/>
      <w:szCs w:val="23"/>
      <w:shd w:val="clear" w:color="auto" w:fill="ffffff"/>
    </w:rPr>
  </w:style>
  <w:style w:type="paragraph" w:styleId="970" w:customStyle="1">
    <w:name w:val="Основной текст (4)"/>
    <w:basedOn w:val="915"/>
    <w:link w:val="969"/>
    <w:pPr>
      <w:ind w:hanging="760"/>
      <w:jc w:val="center"/>
      <w:spacing w:before="780" w:after="300" w:line="0" w:lineRule="atLeast"/>
      <w:shd w:val="clear" w:color="auto" w:fill="ffffff"/>
      <w:widowControl w:val="off"/>
    </w:pPr>
    <w:rPr>
      <w:rFonts w:ascii="Calibri" w:hAnsi="Calibri" w:eastAsia="Calibri"/>
      <w:b/>
      <w:bCs/>
      <w:sz w:val="23"/>
      <w:szCs w:val="23"/>
    </w:rPr>
  </w:style>
  <w:style w:type="paragraph" w:styleId="971" w:customStyle="1">
    <w:name w:val="ConsPlusNormal"/>
    <w:uiPriority w:val="99"/>
    <w:pPr>
      <w:ind w:firstLine="720"/>
      <w:widowControl w:val="off"/>
    </w:pPr>
    <w:rPr>
      <w:rFonts w:ascii="Arial" w:hAnsi="Arial" w:eastAsia="Times New Roman" w:cs="Arial"/>
    </w:rPr>
  </w:style>
  <w:style w:type="character" w:styleId="972">
    <w:name w:val="page number"/>
  </w:style>
  <w:style w:type="paragraph" w:styleId="973">
    <w:name w:val="Title"/>
    <w:basedOn w:val="915"/>
    <w:link w:val="974"/>
    <w:qFormat/>
    <w:pPr>
      <w:jc w:val="center"/>
    </w:pPr>
    <w:rPr>
      <w:sz w:val="36"/>
      <w:szCs w:val="24"/>
    </w:rPr>
  </w:style>
  <w:style w:type="character" w:styleId="974" w:customStyle="1">
    <w:name w:val="Название Знак"/>
    <w:basedOn w:val="921"/>
    <w:link w:val="973"/>
    <w:rPr>
      <w:rFonts w:ascii="Times New Roman" w:hAnsi="Times New Roman" w:eastAsia="Times New Roman"/>
      <w:sz w:val="36"/>
      <w:szCs w:val="24"/>
    </w:rPr>
  </w:style>
  <w:style w:type="paragraph" w:styleId="975" w:customStyle="1">
    <w:name w:val="Pro-Gramma Знак"/>
    <w:basedOn w:val="915"/>
    <w:link w:val="976"/>
    <w:pPr>
      <w:ind w:left="1134"/>
      <w:jc w:val="both"/>
      <w:spacing w:before="120" w:line="288" w:lineRule="auto"/>
    </w:pPr>
    <w:rPr>
      <w:rFonts w:ascii="Georgia" w:hAnsi="Georgia"/>
      <w:sz w:val="24"/>
      <w:szCs w:val="24"/>
    </w:rPr>
  </w:style>
  <w:style w:type="character" w:styleId="976" w:customStyle="1">
    <w:name w:val="Pro-Gramma Знак Знак"/>
    <w:link w:val="975"/>
    <w:rPr>
      <w:rFonts w:ascii="Georgia" w:hAnsi="Georgia" w:eastAsia="Times New Roman"/>
      <w:sz w:val="24"/>
      <w:szCs w:val="24"/>
    </w:rPr>
  </w:style>
  <w:style w:type="paragraph" w:styleId="977" w:customStyle="1">
    <w:name w:val="Pro-List #1"/>
    <w:basedOn w:val="975"/>
    <w:link w:val="978"/>
    <w:pPr>
      <w:ind w:hanging="534"/>
      <w:spacing w:before="180"/>
      <w:tabs>
        <w:tab w:val="left" w:pos="1134" w:leader="none"/>
      </w:tabs>
    </w:pPr>
  </w:style>
  <w:style w:type="character" w:styleId="978" w:customStyle="1">
    <w:name w:val="Pro-List #1 Знак Знак"/>
    <w:link w:val="977"/>
    <w:rPr>
      <w:rFonts w:ascii="Georgia" w:hAnsi="Georgia" w:eastAsia="Times New Roman"/>
      <w:sz w:val="24"/>
      <w:szCs w:val="24"/>
    </w:rPr>
  </w:style>
  <w:style w:type="character" w:styleId="979" w:customStyle="1">
    <w:name w:val="Text NPA"/>
    <w:rPr>
      <w:rFonts w:ascii="Courier New" w:hAnsi="Courier New"/>
    </w:rPr>
  </w:style>
  <w:style w:type="paragraph" w:styleId="980" w:customStyle="1">
    <w:name w:val="Pro-Gramma"/>
    <w:basedOn w:val="915"/>
    <w:pPr>
      <w:ind w:left="1134"/>
      <w:jc w:val="both"/>
      <w:spacing w:before="120" w:line="288" w:lineRule="auto"/>
    </w:pPr>
    <w:rPr>
      <w:rFonts w:ascii="Georgia" w:hAnsi="Georgia"/>
      <w:sz w:val="24"/>
      <w:szCs w:val="24"/>
    </w:rPr>
  </w:style>
  <w:style w:type="paragraph" w:styleId="981">
    <w:name w:val="Body Text Indent 3"/>
    <w:basedOn w:val="915"/>
    <w:link w:val="982"/>
    <w:pPr>
      <w:ind w:firstLine="567"/>
      <w:jc w:val="both"/>
      <w:outlineLvl w:val="2"/>
    </w:pPr>
    <w:rPr>
      <w:sz w:val="28"/>
      <w:szCs w:val="28"/>
    </w:rPr>
  </w:style>
  <w:style w:type="character" w:styleId="982" w:customStyle="1">
    <w:name w:val="Основной текст с отступом 3 Знак"/>
    <w:basedOn w:val="921"/>
    <w:link w:val="981"/>
    <w:rPr>
      <w:rFonts w:ascii="Times New Roman" w:hAnsi="Times New Roman" w:eastAsia="Times New Roman"/>
      <w:sz w:val="28"/>
      <w:szCs w:val="28"/>
    </w:rPr>
  </w:style>
  <w:style w:type="paragraph" w:styleId="983">
    <w:name w:val="Body Text"/>
    <w:basedOn w:val="915"/>
    <w:link w:val="984"/>
    <w:pPr>
      <w:spacing w:after="120"/>
    </w:pPr>
    <w:rPr>
      <w:sz w:val="24"/>
      <w:szCs w:val="24"/>
    </w:rPr>
  </w:style>
  <w:style w:type="character" w:styleId="984" w:customStyle="1">
    <w:name w:val="Основной текст Знак"/>
    <w:basedOn w:val="921"/>
    <w:link w:val="983"/>
    <w:rPr>
      <w:rFonts w:ascii="Times New Roman" w:hAnsi="Times New Roman" w:eastAsia="Times New Roman"/>
      <w:sz w:val="24"/>
      <w:szCs w:val="24"/>
    </w:rPr>
  </w:style>
  <w:style w:type="character" w:styleId="985" w:customStyle="1">
    <w:name w:val="Pro-List #1 Знак Знак Знак"/>
    <w:rPr>
      <w:rFonts w:ascii="Georgia" w:hAnsi="Georgia"/>
      <w:sz w:val="24"/>
      <w:szCs w:val="24"/>
    </w:rPr>
  </w:style>
  <w:style w:type="paragraph" w:styleId="986" w:customStyle="1">
    <w:name w:val="Pro-List #2 Знак"/>
    <w:link w:val="987"/>
    <w:pPr>
      <w:ind w:left="2040" w:hanging="480"/>
      <w:jc w:val="both"/>
      <w:spacing w:before="180" w:line="288" w:lineRule="auto"/>
      <w:tabs>
        <w:tab w:val="left" w:pos="2040" w:leader="none"/>
      </w:tabs>
    </w:pPr>
    <w:rPr>
      <w:rFonts w:ascii="Georgia" w:hAnsi="Georgia" w:eastAsia="Times New Roman"/>
      <w:sz w:val="24"/>
      <w:szCs w:val="24"/>
    </w:rPr>
  </w:style>
  <w:style w:type="character" w:styleId="987" w:customStyle="1">
    <w:name w:val="Pro-List #2 Знак Знак"/>
    <w:link w:val="986"/>
    <w:rPr>
      <w:rFonts w:ascii="Georgia" w:hAnsi="Georgia" w:eastAsia="Times New Roman"/>
      <w:sz w:val="24"/>
      <w:szCs w:val="24"/>
    </w:rPr>
  </w:style>
  <w:style w:type="paragraph" w:styleId="988" w:customStyle="1">
    <w:name w:val="Pro-List #3"/>
    <w:basedOn w:val="986"/>
    <w:pPr>
      <w:ind w:left="2640" w:hanging="600"/>
      <w:tabs>
        <w:tab w:val="left" w:pos="2640" w:leader="none"/>
      </w:tabs>
    </w:pPr>
    <w:rPr>
      <w:lang w:val="en-US"/>
    </w:rPr>
  </w:style>
  <w:style w:type="paragraph" w:styleId="989" w:customStyle="1">
    <w:name w:val="Pro-List #2"/>
    <w:basedOn w:val="977"/>
    <w:pPr>
      <w:ind w:left="2040" w:hanging="480"/>
      <w:tabs>
        <w:tab w:val="clear" w:pos="1134" w:leader="none"/>
        <w:tab w:val="left" w:pos="2040" w:leader="none"/>
      </w:tabs>
    </w:pPr>
  </w:style>
  <w:style w:type="paragraph" w:styleId="990">
    <w:name w:val="Body Text 2"/>
    <w:basedOn w:val="915"/>
    <w:link w:val="991"/>
    <w:pPr>
      <w:spacing w:after="120" w:line="480" w:lineRule="auto"/>
    </w:pPr>
    <w:rPr>
      <w:sz w:val="24"/>
      <w:szCs w:val="24"/>
    </w:rPr>
  </w:style>
  <w:style w:type="character" w:styleId="991" w:customStyle="1">
    <w:name w:val="Основной текст 2 Знак"/>
    <w:basedOn w:val="921"/>
    <w:link w:val="990"/>
    <w:rPr>
      <w:rFonts w:ascii="Times New Roman" w:hAnsi="Times New Roman" w:eastAsia="Times New Roman"/>
      <w:sz w:val="24"/>
      <w:szCs w:val="24"/>
    </w:rPr>
  </w:style>
  <w:style w:type="paragraph" w:styleId="992" w:customStyle="1">
    <w:name w:val="ConsNormal"/>
    <w:pPr>
      <w:ind w:firstLine="720"/>
      <w:widowControl w:val="off"/>
    </w:pPr>
    <w:rPr>
      <w:rFonts w:ascii="Arial" w:hAnsi="Arial" w:eastAsia="Times New Roman" w:cs="Arial"/>
      <w:sz w:val="22"/>
      <w:szCs w:val="22"/>
    </w:rPr>
  </w:style>
  <w:style w:type="character" w:styleId="993" w:customStyle="1">
    <w:name w:val="Основной текст (2)_"/>
    <w:link w:val="994"/>
    <w:rPr>
      <w:b/>
      <w:bCs/>
      <w:sz w:val="26"/>
      <w:szCs w:val="26"/>
      <w:shd w:val="clear" w:color="auto" w:fill="ffffff"/>
    </w:rPr>
  </w:style>
  <w:style w:type="paragraph" w:styleId="994" w:customStyle="1">
    <w:name w:val="Основной текст (2)"/>
    <w:basedOn w:val="915"/>
    <w:link w:val="993"/>
    <w:pPr>
      <w:jc w:val="center"/>
      <w:spacing w:after="600" w:line="322" w:lineRule="exact"/>
      <w:shd w:val="clear" w:color="auto" w:fill="ffffff"/>
    </w:pPr>
    <w:rPr>
      <w:rFonts w:ascii="Calibri" w:hAnsi="Calibri" w:eastAsia="Calibri"/>
      <w:b/>
      <w:bCs/>
      <w:sz w:val="26"/>
      <w:szCs w:val="26"/>
    </w:rPr>
  </w:style>
  <w:style w:type="character" w:styleId="995" w:customStyle="1">
    <w:name w:val="Заголовок №1_"/>
    <w:link w:val="996"/>
    <w:rPr>
      <w:b/>
      <w:bCs/>
      <w:sz w:val="26"/>
      <w:szCs w:val="26"/>
      <w:shd w:val="clear" w:color="auto" w:fill="ffffff"/>
    </w:rPr>
  </w:style>
  <w:style w:type="paragraph" w:styleId="996" w:customStyle="1">
    <w:name w:val="Заголовок №1"/>
    <w:basedOn w:val="915"/>
    <w:link w:val="995"/>
    <w:pPr>
      <w:spacing w:after="60" w:line="240" w:lineRule="atLeast"/>
      <w:shd w:val="clear" w:color="auto" w:fill="ffffff"/>
      <w:outlineLvl w:val="0"/>
    </w:pPr>
    <w:rPr>
      <w:rFonts w:ascii="Calibri" w:hAnsi="Calibri" w:eastAsia="Calibri"/>
      <w:b/>
      <w:bCs/>
      <w:sz w:val="26"/>
      <w:szCs w:val="26"/>
    </w:rPr>
  </w:style>
  <w:style w:type="character" w:styleId="997" w:customStyle="1">
    <w:name w:val="Основной текст + Полужирный"/>
    <w:rPr>
      <w:rFonts w:ascii="Times New Roman" w:hAnsi="Times New Roman" w:cs="Times New Roman"/>
      <w:b/>
      <w:bCs/>
      <w:spacing w:val="0"/>
      <w:sz w:val="26"/>
      <w:szCs w:val="26"/>
    </w:rPr>
  </w:style>
  <w:style w:type="character" w:styleId="998" w:customStyle="1">
    <w:name w:val="Заголовок №1 + Не полужирный"/>
    <w:rPr>
      <w:b w:val="0"/>
      <w:bCs w:val="0"/>
      <w:sz w:val="26"/>
      <w:szCs w:val="26"/>
      <w:shd w:val="clear" w:color="auto" w:fill="ffffff"/>
    </w:rPr>
  </w:style>
  <w:style w:type="character" w:styleId="999" w:customStyle="1">
    <w:name w:val="Подпись к таблице_"/>
    <w:link w:val="1000"/>
    <w:rPr>
      <w:b/>
      <w:bCs/>
      <w:sz w:val="26"/>
      <w:szCs w:val="26"/>
      <w:shd w:val="clear" w:color="auto" w:fill="ffffff"/>
    </w:rPr>
  </w:style>
  <w:style w:type="paragraph" w:styleId="1000" w:customStyle="1">
    <w:name w:val="Подпись к таблице"/>
    <w:basedOn w:val="915"/>
    <w:link w:val="999"/>
    <w:pPr>
      <w:spacing w:line="240" w:lineRule="atLeast"/>
      <w:shd w:val="clear" w:color="auto" w:fill="ffffff"/>
    </w:pPr>
    <w:rPr>
      <w:rFonts w:ascii="Calibri" w:hAnsi="Calibri" w:eastAsia="Calibri"/>
      <w:b/>
      <w:bCs/>
      <w:sz w:val="26"/>
      <w:szCs w:val="26"/>
    </w:rPr>
  </w:style>
  <w:style w:type="character" w:styleId="1001" w:customStyle="1">
    <w:name w:val="Основной текст + Полужирный1"/>
    <w:rPr>
      <w:rFonts w:ascii="Times New Roman" w:hAnsi="Times New Roman" w:cs="Times New Roman"/>
      <w:b/>
      <w:bCs/>
      <w:spacing w:val="0"/>
      <w:sz w:val="26"/>
      <w:szCs w:val="26"/>
    </w:rPr>
  </w:style>
  <w:style w:type="character" w:styleId="1002" w:customStyle="1">
    <w:name w:val="Font Style60"/>
    <w:rPr>
      <w:rFonts w:ascii="Times New Roman" w:hAnsi="Times New Roman" w:cs="Times New Roman"/>
      <w:sz w:val="22"/>
      <w:szCs w:val="22"/>
    </w:rPr>
  </w:style>
  <w:style w:type="paragraph" w:styleId="1003" w:customStyle="1">
    <w:name w:val="Style3"/>
    <w:basedOn w:val="915"/>
    <w:pPr>
      <w:jc w:val="both"/>
      <w:widowControl w:val="off"/>
    </w:pPr>
    <w:rPr>
      <w:sz w:val="24"/>
      <w:szCs w:val="24"/>
    </w:rPr>
  </w:style>
  <w:style w:type="paragraph" w:styleId="1004" w:customStyle="1">
    <w:name w:val="Style36"/>
    <w:basedOn w:val="915"/>
    <w:pPr>
      <w:spacing w:line="317" w:lineRule="exact"/>
      <w:widowControl w:val="off"/>
    </w:pPr>
    <w:rPr>
      <w:sz w:val="24"/>
      <w:szCs w:val="24"/>
    </w:rPr>
  </w:style>
  <w:style w:type="character" w:styleId="1005" w:customStyle="1">
    <w:name w:val="Font Style65"/>
    <w:rPr>
      <w:rFonts w:ascii="Times New Roman" w:hAnsi="Times New Roman" w:cs="Times New Roman"/>
      <w:b/>
      <w:bCs/>
      <w:sz w:val="22"/>
      <w:szCs w:val="22"/>
    </w:rPr>
  </w:style>
  <w:style w:type="paragraph" w:styleId="1006" w:customStyle="1">
    <w:name w:val="Style16"/>
    <w:basedOn w:val="915"/>
    <w:pPr>
      <w:jc w:val="both"/>
      <w:spacing w:line="278" w:lineRule="exact"/>
      <w:widowControl w:val="off"/>
    </w:pPr>
    <w:rPr>
      <w:sz w:val="24"/>
      <w:szCs w:val="24"/>
    </w:rPr>
  </w:style>
  <w:style w:type="character" w:styleId="1007">
    <w:name w:val="FollowedHyperlink"/>
    <w:basedOn w:val="921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931C-F7B3-4913-A5BD-997BA2350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41</cp:revision>
  <dcterms:created xsi:type="dcterms:W3CDTF">2023-07-03T07:20:00Z</dcterms:created>
  <dcterms:modified xsi:type="dcterms:W3CDTF">2026-07-29T08:02:08Z</dcterms:modified>
</cp:coreProperties>
</file>