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05.08.2026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           № 1497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план реализации муниципальной программы Печенгского муниципального округа «Экономический потенциал» на 2026 - 2028 годы</w:t>
      </w:r>
      <w:r>
        <w:rPr>
          <w:b/>
          <w:bCs/>
          <w:sz w:val="20"/>
          <w:szCs w:val="20"/>
        </w:rPr>
        <w:t xml:space="preserve">, утвержденный постановлением администрации Печенгского муниципального округа от 18.11.2025 № 1889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br/>
        <w:t xml:space="preserve">от 18.09.2025 № 1488, в соответствии с муниципальной программой Печенг</w:t>
      </w:r>
      <w:r>
        <w:t xml:space="preserve">с</w:t>
      </w:r>
      <w:r>
        <w:t xml:space="preserve">кого муниципального округа «Экономический потенциал» на 2026 - 2028 годы», утвержденной постановлением администрации Печенгского муниципального округа от 12.11.2025 </w:t>
        <w:br/>
        <w:t xml:space="preserve">№ 1841,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П</w:t>
      </w:r>
      <w:r>
        <w:t xml:space="preserve">ла</w:t>
      </w:r>
      <w:r>
        <w:t xml:space="preserve">н реализации муниципальной программы Печенгского муниципального округа «Экономический потенциал» на 2026 - 2028 годы, утвержденный постановлением администрации Печенгского муниципального округа от 18.11.2025 № 1889, изложить в редакции 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после его подписания.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Ковалёва О.В., 61921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>
        <w:t xml:space="preserve"> </w:t>
      </w:r>
      <w:r/>
    </w:p>
    <w:p>
      <w:pPr>
        <w:ind w:firstLine="709"/>
        <w:jc w:val="both"/>
        <w:tabs>
          <w:tab w:val="left" w:pos="993" w:leader="none"/>
        </w:tabs>
        <w:sectPr>
          <w:footnotePr/>
          <w:endnotePr/>
          <w:type w:val="nextPage"/>
          <w:pgSz w:w="11906" w:h="16838" w:orient="portrait"/>
          <w:pgMar w:top="1134" w:right="707" w:bottom="397" w:left="1701" w:header="708" w:footer="708" w:gutter="0"/>
          <w:cols w:num="1" w:sep="0" w:space="708" w:equalWidth="1"/>
          <w:docGrid w:linePitch="360"/>
        </w:sectPr>
      </w:pPr>
      <w:r/>
      <w:bookmarkStart w:id="0" w:name="P439"/>
      <w:r/>
      <w:bookmarkEnd w:id="0"/>
      <w:r/>
      <w:r/>
    </w:p>
    <w:p>
      <w:pPr>
        <w:ind w:left="10913"/>
      </w:pP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</w:t>
      </w:r>
      <w:r>
        <w:t xml:space="preserve">05.08.2026 № 1497</w:t>
      </w:r>
      <w:r/>
    </w:p>
    <w:p>
      <w:pPr>
        <w:ind w:left="10913"/>
      </w:pPr>
      <w:r/>
      <w:r/>
    </w:p>
    <w:p>
      <w:pPr>
        <w:ind w:left="10913"/>
      </w:pPr>
      <w:r>
        <w:t xml:space="preserve">«Приложение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18.11.2025 № 1889</w:t>
      </w:r>
      <w:r/>
    </w:p>
    <w:p>
      <w:pPr>
        <w:ind w:left="10913"/>
      </w:pPr>
      <w:r/>
      <w:r/>
    </w:p>
    <w:p>
      <w:pPr>
        <w:jc w:val="center"/>
        <w:rPr>
          <w:b/>
          <w:sz w:val="26"/>
          <w:szCs w:val="26"/>
        </w:rPr>
      </w:pPr>
      <w:r/>
      <w:bookmarkStart w:id="1" w:name="p129"/>
      <w:r/>
      <w:bookmarkEnd w:id="1"/>
      <w:r>
        <w:rPr>
          <w:b/>
          <w:sz w:val="26"/>
          <w:szCs w:val="26"/>
        </w:rPr>
        <w:t xml:space="preserve">ПЛАН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реализации муниципальной программы Печенгского муниципального округа «Экономический потенциал»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на 2026 - 2028 годы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850"/>
        <w:gridCol w:w="709"/>
        <w:gridCol w:w="992"/>
        <w:gridCol w:w="851"/>
        <w:gridCol w:w="850"/>
        <w:gridCol w:w="851"/>
        <w:gridCol w:w="5953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п/п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ния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Объемы и источники финансирования (рублей)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  <w:vertAlign w:val="superscript"/>
              </w:rPr>
            </w:r>
            <w:r>
              <w:rPr>
                <w:sz w:val="18"/>
                <w:szCs w:val="18"/>
                <w:vertAlign w:val="superscript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годам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2028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«Экономический потенциал»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2026-2028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1 7</w:t>
            </w:r>
            <w:r>
              <w:rPr>
                <w:b/>
                <w:sz w:val="16"/>
                <w:szCs w:val="16"/>
              </w:rPr>
              <w:t xml:space="preserve">86</w:t>
            </w:r>
            <w:r>
              <w:rPr>
                <w:b/>
                <w:sz w:val="16"/>
                <w:szCs w:val="16"/>
              </w:rPr>
              <w:t xml:space="preserve"> 8</w:t>
            </w:r>
            <w:r>
              <w:rPr>
                <w:b/>
                <w:sz w:val="16"/>
                <w:szCs w:val="16"/>
              </w:rPr>
              <w:t xml:space="preserve">05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639 063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573 817,00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573 925,00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Консультант по приграничному сотрудничеству;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подведомственные Отделу образования учреждения;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АНО «Центр социальных проектов «Вторая школа»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</w:rPr>
              <w:t xml:space="preserve">75 968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601 968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110 837,00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37 095,00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36 817,00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36 925,00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«Повышение инвестиционной привлекательности Печенгского муниципального округа»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475 805,00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202 063,0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136 817,00 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136 925,00 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110 837,00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37 095,00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36 817,00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53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«Развитие </w:t>
            </w:r>
            <w:r>
              <w:rPr>
                <w:sz w:val="18"/>
                <w:szCs w:val="18"/>
              </w:rPr>
              <w:t xml:space="preserve">малого и среднего предпринимательства на территории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475 805,00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202 063,0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136 817,00 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136 925,00 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0.1. Число субъектов МСП.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 Количество объектов недвижимости нежилого фонда, находящегося в </w:t>
            </w:r>
            <w:r>
              <w:rPr>
                <w:sz w:val="18"/>
                <w:szCs w:val="18"/>
              </w:rPr>
              <w:t xml:space="preserve">собственности Печенгского муниципального округа, подлежащих к сдаче в аренду субъектам МСП.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 Увеличение доли объектов, включенных в перечни муниципального имущества и предоставляемого субъектам МСП и самозанятым гражданам в рамках оказания имущественной поддержки.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1.3. Количество муниципальных объектов, переданных субъектам МСП и самозанятым гражданам в качестве имущественной поддержки.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1.4. Размещение общедоступной информации, необходимой для развития субъектов МСП на официальном сайте Печенгского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1.5. Количество проведенных мероприятий по вопросам субъектов МСП.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110 837,00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37 095,00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36 817,00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«Оказание имущественной поддержки субъектам МСП и самозанятым гражданам»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предоставление в аренду муниципального имущества Печенгского муниципального округа субъектам МС</w:t>
            </w:r>
            <w:r>
              <w:rPr>
                <w:sz w:val="18"/>
                <w:szCs w:val="18"/>
              </w:rPr>
              <w:t xml:space="preserve">П и самозанятым гражданам для осуществления социально-значимых, а также приоритетных видов деятельности без проведения торгов в качестве муниципальной преференции, в соответствии с главой 5 Федерального закона от 26.07.2006 № 135-ФЗ «О защите конкуренции».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«Сбор сведений для формирования и ведения торгового реестра»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110 837,00 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37 095,00 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36 817,00 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36 925,00 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осуществление отдельных государственных полномочий по сбору сведений для формирования и ведения торгового реестра.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110 837,00 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37 095,00 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36 817,00 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«Создание благоприятных условий для развития малого и среднего предпринимательства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364 968,00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164 968,00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организацию и проведение не менее </w:t>
            </w: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  <w:t xml:space="preserve"> мероприятий по вопросам субъектов МСП в год, а также размещение общедоступной информации, необходимой для развития субъектов МСП на официальном сайте Печенгского муниципального округа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7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1.2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«Создание благоприятный условий для привлечения инвестиций в экономику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0.2. Объем инвестиций в основной капитал (без субъектов МСП).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1.6. Количество приемов инвесторов и предпринимателей инвестиционным уполномоченным в Печенгском муниципальном округе.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1.7. Количество заседаний Совета по улучшению инвестиционного климата и развитию предпринимательства.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1.8. Наличие актуализированного инвестиционного профиля Печенгского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1.9. Размещение актуализированного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«Стимулирование и активизация инвестиционной и предпринимательской деятельности на территории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проведение приемов инвесторов и предпринимателей инвестиционным уполномоченным в Печенгском муниципальном округе, функционирование Совета по улучшению инвес</w:t>
            </w:r>
            <w:r>
              <w:rPr>
                <w:sz w:val="18"/>
                <w:szCs w:val="18"/>
              </w:rPr>
              <w:t xml:space="preserve">тиционного климата   и развитию предпринимательства при Главе Печенгского муниципального округа, ежегодную актализацию инвестиционного профиля Печенгского муниципального округа, а также его размещение на официальном сайте Печенгского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инвестиционной деятельности;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«</w:t>
            </w:r>
            <w:r>
              <w:rPr>
                <w:sz w:val="18"/>
                <w:szCs w:val="18"/>
              </w:rPr>
              <w:t xml:space="preserve">Развитие туризма в Печенгском муниципальном округе»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1 311 000,00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Консультант по приграничному сотрудничеству;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образования;  подведомственные Отделу образования учреждения;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АНО «Центр социальных проектов «Вторая школа»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1 311 000,00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2.3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sz w:val="18"/>
                <w:szCs w:val="18"/>
              </w:rPr>
              <w:t xml:space="preserve"> «Создание условий для развития туризма в Печенгском муниципальном округе»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1 311 000,00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437 000,00 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0.3. Количество функционирующих КСР.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0.4. Рост туристического потока (количество лиц, размещенных в КСР) в Печенгском муниципальном округе, ежегодно к уровню предыдущего года.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 Количество разработанной проектной документации по проекту «Туристический кластер Печенгского муниципального округа – «Кольская сверхглубокая», «Плавильный цех», «Шахта Каула-Котсельваара».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 Количество проведенных конкурсов цифрового контента.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Консультант по приграничному сотрудничеству;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1 311 000,00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437 000,00 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«Продвижение туристского потенциала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разработку проектной документации по проекту «Туристич</w:t>
            </w:r>
            <w:r>
              <w:rPr>
                <w:sz w:val="18"/>
                <w:szCs w:val="18"/>
              </w:rPr>
              <w:t xml:space="preserve">еский кластер Печенгского муниципального округа – «Кольская сверхглубокая», «Плавильный цех», «Шахта Каула-Котсельваара», размещение публикаций на информационных и тематических площадках (сайты, мессенджеры, социальные сети), официальном сайте Печенгского </w:t>
            </w:r>
            <w:r>
              <w:rPr>
                <w:sz w:val="18"/>
                <w:szCs w:val="18"/>
              </w:rPr>
              <w:t xml:space="preserve">муниципального округа; проведение конкурса цифрового контента (фото, видео), направление предложений о включении мероприятий в региональный реестр «51 событие», содействие в организации и проведении событийных мероприятий в Печенгском муниципальном округе.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Консультант по приграничному сотрудничеству,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АНО "Центр социальных проектов "Вторая школа"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180 000,00 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«Развитие школьного образовательного туризма»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1 131 000,00 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377 000,00 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377 000,00 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377 000,00 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участие общеобразовательных организаций в развитии школьного туризма.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образования; подведомственные Отделу образования учреждения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1 131 000,00 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377 000,00 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377 000,00 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377 000,00 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«Взаимодействие с СО НКО»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sz w:val="18"/>
                <w:szCs w:val="18"/>
              </w:rPr>
              <w:t xml:space="preserve"> «Создание благоприятных условий для развития СО НКО»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0.5. Количество СО НКО, осуществляющих деятельность на территории Печенгского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3.1. Количество муниципальных объектов, переданных СО НКО в качестве имущественной поддержки.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3.2. Размещение общедоступной информации, необходимой для развития СО НКО на официальном сайте Печенгского муниципального округа.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1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«Взаимодействие с СО НКО, осуществляющими свою деятельность на территории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2026-2028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0,00 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оказание имущественной и информационной поддержки СО НКО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ОЭР;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0,00 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spacing w:line="276" w:lineRule="auto"/>
        <w:rPr>
          <w:sz w:val="18"/>
          <w:szCs w:val="18"/>
          <w:u w:val="single"/>
          <w:vertAlign w:val="superscript"/>
        </w:rPr>
      </w:pP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  </w:t>
      </w:r>
      <w:r>
        <w:rPr>
          <w:sz w:val="18"/>
          <w:szCs w:val="18"/>
          <w:u w:val="single"/>
        </w:rPr>
        <w:t xml:space="preserve">Соисполнители, участники: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ОЭР - Администрация Печенгского муниципального округа (Отдел экономического развития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Сектор инвестиционной деятельности - Администрация Печенгского муниципального округа (Сектор инвестиционной деятельности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Консультант по приграничному сотрудничеству - Администрация Печенгского муниципального округа (Консультант по приграничному сотрудничеству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КУИ - Комитет по управлению имуществом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образования - 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подведомствен</w:t>
      </w:r>
      <w:r>
        <w:rPr>
          <w:sz w:val="18"/>
          <w:szCs w:val="18"/>
        </w:rPr>
        <w:t xml:space="preserve">ные Отделу образования учреждения – Муниципальное бюджетное общеобразовательное учреждение «Средняя общеобразовательная школа № 3»; Муниципальное бюджетное общеобразовательное учреждение «Средняя общеобразовательная школа № 5 имени Героя Российской Федерац</w:t>
      </w:r>
      <w:r>
        <w:rPr>
          <w:sz w:val="18"/>
          <w:szCs w:val="18"/>
        </w:rPr>
        <w:t xml:space="preserve">ии М.С. Попова»; Муниципальное бюджетное общеобразовательное учреждение «Средняя общеобразовательная школа № 7 имени Ю.А. Гагарина»; Муниципальное бюджетное общеобразовательное учреждение «Средняя общеобразовательная школа № 9»; Муниципальное бюджетное общ</w:t>
      </w:r>
      <w:r>
        <w:rPr>
          <w:sz w:val="18"/>
          <w:szCs w:val="18"/>
        </w:rPr>
        <w:t xml:space="preserve">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Янкова»; Муниципальное бюджетное общеобразовательное учреждение «Основная общеобра</w:t>
      </w:r>
      <w:r>
        <w:rPr>
          <w:sz w:val="18"/>
          <w:szCs w:val="18"/>
        </w:rPr>
        <w:t xml:space="preserve">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Муниципальное бюджетное общеобразовательное учреждение «Средняя общеобразовательная школа № 23»;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АНО «Центр социальных проектов «Вторая школа» - Автономная некоммерческая организация «Центр социальных проектов Печенгского района «Вторая школа».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spacing w:line="276" w:lineRule="auto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Используемые сокращения: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sz w:val="18"/>
          <w:szCs w:val="18"/>
        </w:rPr>
        <w:t xml:space="preserve">».</w:t>
      </w:r>
      <w:bookmarkStart w:id="2" w:name="_GoBack"/>
      <w:r/>
      <w:bookmarkEnd w:id="2"/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99"/>
        <w:ind w:firstLine="540"/>
        <w:jc w:val="both"/>
        <w:spacing w:before="168" w:beforeAutospacing="0" w:after="0" w:afterAutospacing="0"/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1135" w:right="962" w:bottom="851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num w:numId="1">
    <w:abstractNumId w:val="19"/>
  </w:num>
  <w:num w:numId="2">
    <w:abstractNumId w:val="0"/>
  </w:num>
  <w:num w:numId="3">
    <w:abstractNumId w:val="5"/>
  </w:num>
  <w:num w:numId="4">
    <w:abstractNumId w:val="11"/>
  </w:num>
  <w:num w:numId="5">
    <w:abstractNumId w:val="1"/>
  </w:num>
  <w:num w:numId="6">
    <w:abstractNumId w:val="6"/>
  </w:num>
  <w:num w:numId="7">
    <w:abstractNumId w:val="20"/>
  </w:num>
  <w:num w:numId="8">
    <w:abstractNumId w:val="21"/>
  </w:num>
  <w:num w:numId="9">
    <w:abstractNumId w:val="9"/>
  </w:num>
  <w:num w:numId="10">
    <w:abstractNumId w:val="16"/>
  </w:num>
  <w:num w:numId="11">
    <w:abstractNumId w:val="2"/>
  </w:num>
  <w:num w:numId="12">
    <w:abstractNumId w:val="17"/>
  </w:num>
  <w:num w:numId="13">
    <w:abstractNumId w:val="12"/>
  </w:num>
  <w:num w:numId="14">
    <w:abstractNumId w:val="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4"/>
  </w:num>
  <w:num w:numId="18">
    <w:abstractNumId w:val="10"/>
  </w:num>
  <w:num w:numId="19">
    <w:abstractNumId w:val="15"/>
  </w:num>
  <w:num w:numId="20">
    <w:abstractNumId w:val="18"/>
  </w:num>
  <w:num w:numId="21">
    <w:abstractNumId w:val="1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99">
    <w:name w:val="Heading 1"/>
    <w:basedOn w:val="698"/>
    <w:next w:val="698"/>
    <w:link w:val="72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0">
    <w:name w:val="Heading 2"/>
    <w:basedOn w:val="698"/>
    <w:next w:val="698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4">
    <w:name w:val="Heading 6"/>
    <w:basedOn w:val="698"/>
    <w:next w:val="698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904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07">
    <w:name w:val="Heading 9"/>
    <w:basedOn w:val="698"/>
    <w:next w:val="698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Heading 1 Char"/>
    <w:basedOn w:val="708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Heading 2 Char"/>
    <w:basedOn w:val="708"/>
    <w:uiPriority w:val="9"/>
    <w:rPr>
      <w:rFonts w:ascii="Arial" w:hAnsi="Arial" w:eastAsia="Arial" w:cs="Arial"/>
      <w:sz w:val="34"/>
    </w:rPr>
  </w:style>
  <w:style w:type="character" w:styleId="713" w:customStyle="1">
    <w:name w:val="Heading 3 Char"/>
    <w:basedOn w:val="708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Heading 4 Char"/>
    <w:basedOn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Heading 5 Char"/>
    <w:basedOn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Heading 6 Char"/>
    <w:basedOn w:val="70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Heading 7 Char"/>
    <w:basedOn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Heading 9 Char"/>
    <w:basedOn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8"/>
    <w:uiPriority w:val="10"/>
    <w:rPr>
      <w:sz w:val="48"/>
      <w:szCs w:val="48"/>
    </w:rPr>
  </w:style>
  <w:style w:type="character" w:styleId="720" w:customStyle="1">
    <w:name w:val="Subtitle Char"/>
    <w:basedOn w:val="708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Caption Char"/>
    <w:uiPriority w:val="99"/>
  </w:style>
  <w:style w:type="character" w:styleId="724" w:customStyle="1">
    <w:name w:val="Footnote Text Char"/>
    <w:uiPriority w:val="99"/>
    <w:rPr>
      <w:sz w:val="18"/>
    </w:rPr>
  </w:style>
  <w:style w:type="character" w:styleId="725" w:customStyle="1">
    <w:name w:val="Endnote Text Char"/>
    <w:uiPriority w:val="99"/>
    <w:rPr>
      <w:sz w:val="20"/>
    </w:rPr>
  </w:style>
  <w:style w:type="character" w:styleId="726" w:customStyle="1">
    <w:name w:val="Заголовок 1 Знак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727" w:customStyle="1">
    <w:name w:val="Заголовок 2 Знак"/>
    <w:basedOn w:val="708"/>
    <w:link w:val="700"/>
    <w:uiPriority w:val="9"/>
    <w:rPr>
      <w:rFonts w:ascii="Arial" w:hAnsi="Arial" w:eastAsia="Arial" w:cs="Arial"/>
      <w:sz w:val="34"/>
    </w:rPr>
  </w:style>
  <w:style w:type="character" w:styleId="728" w:customStyle="1">
    <w:name w:val="Заголовок 3 Знак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729" w:customStyle="1">
    <w:name w:val="Заголовок 4 Знак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Заголовок 5 Знак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Заголовок 6 Знак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Заголовок 7 Знак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08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Заголовок 9 Знак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698"/>
    <w:next w:val="698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Заголовок Знак"/>
    <w:basedOn w:val="708"/>
    <w:link w:val="736"/>
    <w:uiPriority w:val="10"/>
    <w:rPr>
      <w:sz w:val="48"/>
      <w:szCs w:val="48"/>
    </w:rPr>
  </w:style>
  <w:style w:type="paragraph" w:styleId="738">
    <w:name w:val="Subtitle"/>
    <w:basedOn w:val="698"/>
    <w:next w:val="698"/>
    <w:link w:val="739"/>
    <w:uiPriority w:val="11"/>
    <w:qFormat/>
    <w:pPr>
      <w:spacing w:before="200" w:after="200"/>
    </w:pPr>
  </w:style>
  <w:style w:type="character" w:styleId="739" w:customStyle="1">
    <w:name w:val="Подзаголовок Знак"/>
    <w:basedOn w:val="708"/>
    <w:link w:val="738"/>
    <w:uiPriority w:val="11"/>
    <w:rPr>
      <w:sz w:val="24"/>
      <w:szCs w:val="24"/>
    </w:rPr>
  </w:style>
  <w:style w:type="paragraph" w:styleId="740">
    <w:name w:val="Quote"/>
    <w:basedOn w:val="698"/>
    <w:next w:val="698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98"/>
    <w:next w:val="698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08"/>
    <w:uiPriority w:val="99"/>
  </w:style>
  <w:style w:type="paragraph" w:styleId="745">
    <w:name w:val="Footer"/>
    <w:basedOn w:val="698"/>
    <w:link w:val="74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6" w:customStyle="1">
    <w:name w:val="Footer Char"/>
    <w:basedOn w:val="708"/>
    <w:uiPriority w:val="99"/>
  </w:style>
  <w:style w:type="paragraph" w:styleId="747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Нижний колонтитул Знак"/>
    <w:link w:val="745"/>
    <w:uiPriority w:val="99"/>
  </w:style>
  <w:style w:type="table" w:styleId="749">
    <w:name w:val="Table Grid"/>
    <w:basedOn w:val="70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0" w:customStyle="1">
    <w:name w:val="Table Grid Light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1">
    <w:name w:val="Plain Table 1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2"/>
    <w:basedOn w:val="70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 w:customStyle="1">
    <w:name w:val="Grid Table 4 - Accent 1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9" w:customStyle="1">
    <w:name w:val="Grid Table 4 - Accent 2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0" w:customStyle="1">
    <w:name w:val="Grid Table 4 - Accent 3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1" w:customStyle="1">
    <w:name w:val="Grid Table 4 - Accent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2" w:customStyle="1">
    <w:name w:val="Grid Table 4 - Accent 5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3" w:customStyle="1">
    <w:name w:val="Grid Table 4 - Accent 6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4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1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 w:customStyle="1">
    <w:name w:val="Grid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3" w:customStyle="1">
    <w:name w:val="Grid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4" w:customStyle="1">
    <w:name w:val="Grid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5" w:customStyle="1">
    <w:name w:val="Grid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6" w:customStyle="1">
    <w:name w:val="Grid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2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6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9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1" w:customStyle="1">
    <w:name w:val="List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2" w:customStyle="1">
    <w:name w:val="List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List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4" w:customStyle="1">
    <w:name w:val="List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List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6" w:customStyle="1">
    <w:name w:val="List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7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5" w:customStyle="1">
    <w:name w:val="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6" w:customStyle="1">
    <w:name w:val="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7" w:customStyle="1">
    <w:name w:val="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8" w:customStyle="1">
    <w:name w:val="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9" w:customStyle="1">
    <w:name w:val="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0" w:customStyle="1">
    <w:name w:val="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1" w:customStyle="1">
    <w:name w:val="Bordered &amp; 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Bordered &amp; 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Bordered &amp; 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Bordered &amp; 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Bordered &amp; 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Bordered &amp; 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Bordered &amp; 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9" w:customStyle="1">
    <w:name w:val="Bordered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0" w:customStyle="1">
    <w:name w:val="Bordered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1" w:customStyle="1">
    <w:name w:val="Bordered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2" w:customStyle="1">
    <w:name w:val="Bordered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3" w:customStyle="1">
    <w:name w:val="Bordered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4" w:customStyle="1">
    <w:name w:val="Bordered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5">
    <w:name w:val="footnote text"/>
    <w:basedOn w:val="698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Текст сноски Знак"/>
    <w:link w:val="875"/>
    <w:uiPriority w:val="99"/>
    <w:rPr>
      <w:sz w:val="18"/>
    </w:rPr>
  </w:style>
  <w:style w:type="character" w:styleId="877">
    <w:name w:val="footnote reference"/>
    <w:basedOn w:val="708"/>
    <w:uiPriority w:val="99"/>
    <w:unhideWhenUsed/>
    <w:rPr>
      <w:vertAlign w:val="superscript"/>
    </w:rPr>
  </w:style>
  <w:style w:type="paragraph" w:styleId="878">
    <w:name w:val="endnote text"/>
    <w:basedOn w:val="698"/>
    <w:link w:val="879"/>
    <w:uiPriority w:val="99"/>
    <w:semiHidden/>
    <w:unhideWhenUsed/>
    <w:rPr>
      <w:sz w:val="20"/>
    </w:rPr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708"/>
    <w:uiPriority w:val="99"/>
    <w:semiHidden/>
    <w:unhideWhenUsed/>
    <w:rPr>
      <w:vertAlign w:val="superscript"/>
    </w:rPr>
  </w:style>
  <w:style w:type="paragraph" w:styleId="881">
    <w:name w:val="toc 1"/>
    <w:basedOn w:val="698"/>
    <w:next w:val="698"/>
    <w:uiPriority w:val="39"/>
    <w:unhideWhenUsed/>
    <w:pPr>
      <w:spacing w:after="57"/>
    </w:pPr>
  </w:style>
  <w:style w:type="paragraph" w:styleId="882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83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84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85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86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87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88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89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698"/>
    <w:next w:val="698"/>
    <w:uiPriority w:val="99"/>
    <w:unhideWhenUsed/>
  </w:style>
  <w:style w:type="paragraph" w:styleId="89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3">
    <w:name w:val="Body Text"/>
    <w:basedOn w:val="698"/>
    <w:link w:val="894"/>
    <w:pPr>
      <w:spacing w:after="120"/>
      <w:widowControl w:val="off"/>
    </w:pPr>
    <w:rPr>
      <w:sz w:val="20"/>
      <w:szCs w:val="20"/>
    </w:rPr>
  </w:style>
  <w:style w:type="character" w:styleId="894" w:customStyle="1">
    <w:name w:val="Основной текст Знак"/>
    <w:basedOn w:val="708"/>
    <w:link w:val="89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Header"/>
    <w:basedOn w:val="698"/>
    <w:link w:val="89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6" w:customStyle="1">
    <w:name w:val="Верхний колонтитул Знак"/>
    <w:basedOn w:val="708"/>
    <w:link w:val="89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7">
    <w:name w:val="Hyperlink"/>
    <w:basedOn w:val="708"/>
    <w:uiPriority w:val="99"/>
    <w:unhideWhenUsed/>
    <w:rPr>
      <w:color w:val="0000ff" w:themeColor="hyperlink"/>
      <w:u w:val="single"/>
    </w:rPr>
  </w:style>
  <w:style w:type="paragraph" w:styleId="89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9">
    <w:name w:val="Normal (Web)"/>
    <w:basedOn w:val="698"/>
    <w:unhideWhenUsed/>
    <w:pPr>
      <w:spacing w:before="100" w:beforeAutospacing="1" w:after="100" w:afterAutospacing="1"/>
    </w:pPr>
  </w:style>
  <w:style w:type="paragraph" w:styleId="900">
    <w:name w:val="Balloon Text"/>
    <w:basedOn w:val="698"/>
    <w:link w:val="901"/>
    <w:uiPriority w:val="99"/>
    <w:semiHidden/>
    <w:unhideWhenUsed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basedOn w:val="708"/>
    <w:link w:val="90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2">
    <w:name w:val="Placeholder Text"/>
    <w:basedOn w:val="708"/>
    <w:uiPriority w:val="99"/>
    <w:semiHidden/>
    <w:rPr>
      <w:color w:val="808080"/>
    </w:rPr>
  </w:style>
  <w:style w:type="paragraph" w:styleId="903">
    <w:name w:val="List Paragraph"/>
    <w:basedOn w:val="698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4" w:customStyle="1">
    <w:name w:val="Заголовок 8 Знак"/>
    <w:basedOn w:val="708"/>
    <w:link w:val="706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8FDDE-2544-4FF1-BB31-7AEBB971C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95</cp:revision>
  <dcterms:created xsi:type="dcterms:W3CDTF">2025-11-13T06:05:00Z</dcterms:created>
  <dcterms:modified xsi:type="dcterms:W3CDTF">2026-08-06T11:12:22Z</dcterms:modified>
</cp:coreProperties>
</file>