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06.08.2026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1509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23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Положение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102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102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округа, утвержденное постановлением администрации Печенгского муниципального округа от 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709"/>
        <w:jc w:val="both"/>
      </w:pPr>
      <w:r/>
      <w:r/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связи с </w:t>
      </w:r>
      <w:r>
        <w:rPr>
          <w:bCs/>
          <w:sz w:val="24"/>
          <w:szCs w:val="24"/>
        </w:rPr>
        <w:t xml:space="preserve">выявленной </w:t>
      </w:r>
      <w:r>
        <w:rPr>
          <w:bCs/>
          <w:sz w:val="24"/>
          <w:szCs w:val="24"/>
        </w:rPr>
        <w:t xml:space="preserve">технической ошибкой,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23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1023"/>
        <w:ind w:firstLine="709"/>
        <w:jc w:val="both"/>
        <w:rPr>
          <w:bCs/>
        </w:rPr>
      </w:pPr>
      <w:r>
        <w:t xml:space="preserve">1. Внести в положение по оплате труда руководителей </w:t>
      </w:r>
      <w:r>
        <w:rPr>
          <w:bCs/>
        </w:rPr>
        <w:t xml:space="preserve">муниципальных бюджетных учреждений, подв</w:t>
      </w:r>
      <w:r>
        <w:rPr>
          <w:bCs/>
        </w:rPr>
        <w:t xml:space="preserve">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10.07.2024 № 1129 (в редакции постановления администрации Печенгского муниципального округа от 2</w:t>
      </w:r>
      <w:r>
        <w:rPr>
          <w:bCs/>
        </w:rPr>
        <w:t xml:space="preserve">9</w:t>
      </w:r>
      <w:r>
        <w:rPr>
          <w:bCs/>
        </w:rPr>
        <w:t xml:space="preserve">.0</w:t>
      </w:r>
      <w:r>
        <w:rPr>
          <w:bCs/>
        </w:rPr>
        <w:t xml:space="preserve">4</w:t>
      </w:r>
      <w:r>
        <w:rPr>
          <w:bCs/>
        </w:rPr>
        <w:t xml:space="preserve">.2026 № </w:t>
      </w:r>
      <w:r>
        <w:rPr>
          <w:bCs/>
        </w:rPr>
        <w:t xml:space="preserve">662</w:t>
      </w:r>
      <w:r>
        <w:t xml:space="preserve">)</w:t>
      </w:r>
      <w:r>
        <w:rPr>
          <w:bCs/>
        </w:rPr>
        <w:t xml:space="preserve"> (далее – Положение) следующие изменения:</w:t>
      </w:r>
      <w:r>
        <w:rPr>
          <w:bCs/>
        </w:rPr>
      </w:r>
      <w:r>
        <w:rPr>
          <w:bCs/>
        </w:rPr>
      </w:r>
    </w:p>
    <w:p>
      <w:pPr>
        <w:pStyle w:val="1023"/>
        <w:ind w:firstLine="709"/>
        <w:jc w:val="both"/>
      </w:pPr>
      <w:r>
        <w:rPr>
          <w:bCs/>
        </w:rPr>
        <w:t xml:space="preserve">- </w:t>
      </w:r>
      <w:r>
        <w:t xml:space="preserve">Приложение № 1 к Положению изложить в следующей редакции, согласно Приложению № 1 к настоящему постановлению;</w:t>
      </w:r>
      <w:r/>
    </w:p>
    <w:p>
      <w:pPr>
        <w:pStyle w:val="1023"/>
        <w:ind w:firstLine="709"/>
        <w:jc w:val="both"/>
      </w:pPr>
      <w:r>
        <w:t xml:space="preserve">- Приложение № 2 Положению изложить в следующей редакции, согласно Приложению</w:t>
      </w:r>
      <w:r>
        <w:t xml:space="preserve"> № 2 к настоящему постановлению.</w:t>
      </w:r>
      <w:bookmarkStart w:id="5" w:name="_GoBack"/>
      <w:r/>
      <w:bookmarkEnd w:id="5"/>
      <w:r/>
      <w:r/>
    </w:p>
    <w:p>
      <w:pPr>
        <w:ind w:firstLine="709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rFonts w:eastAsiaTheme="minorHAnsi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sz w:val="24"/>
          <w:szCs w:val="24"/>
          <w:lang w:eastAsia="en-US"/>
        </w:rPr>
        <w:t xml:space="preserve">и распространяется на правоотношения, возникшие с 01.03.2026.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3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color w:val="000000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  <w:highlight w:val="none"/>
        </w:rPr>
      </w:r>
      <w:r>
        <w:rPr>
          <w:bCs/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jc w:val="both"/>
        <w:rPr>
          <w:color w:val="000000"/>
          <w:highlight w:val="none"/>
        </w:rPr>
      </w:pPr>
      <w:r>
        <w:rPr>
          <w:bCs/>
          <w:color w:val="000000"/>
        </w:rPr>
        <w:t xml:space="preserve">Морозова М.Е., 51917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06.08.2026 № 1509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shd w:val="clear" w:color="auto" w:fill="ffffff"/>
        <w:tabs>
          <w:tab w:val="left" w:pos="11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shd w:val="clear" w:color="auto" w:fill="ffffff"/>
        <w:tabs>
          <w:tab w:val="left" w:pos="11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shd w:val="clear" w:color="auto" w:fill="ffffff"/>
        <w:tabs>
          <w:tab w:val="left" w:pos="11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Положению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26"/>
        <w:ind w:left="5528"/>
        <w:jc w:val="left"/>
        <w:rPr>
          <w:rFonts w:ascii="Times New Roman" w:hAnsi="Times New Roman" w:cs="Times New Roman"/>
          <w:b/>
          <w:bCs/>
        </w:rPr>
        <w:suppressLineNumbers w:val="0"/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1026"/>
        <w:ind w:left="5528"/>
        <w:jc w:val="left"/>
        <w:rPr>
          <w:rFonts w:ascii="Times New Roman" w:hAnsi="Times New Roman" w:cs="Times New Roman"/>
          <w:b/>
          <w:bCs/>
        </w:rPr>
        <w:suppressLineNumbers w:val="0"/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10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дошкольных образовательных учреждений, подведомственных отделу образования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10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pPr w:horzAnchor="margin" w:tblpXSpec="center" w:vertAnchor="page" w:tblpY="4559" w:leftFromText="180" w:topFromText="0" w:rightFromText="180" w:bottomFromText="0"/>
        <w:tblW w:w="102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2122"/>
        <w:gridCol w:w="4394"/>
        <w:gridCol w:w="1060"/>
        <w:gridCol w:w="1894"/>
      </w:tblGrid>
      <w:tr>
        <w:tblPrEx/>
        <w:trPr>
          <w:trHeight w:val="561"/>
        </w:trPr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 п/п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целевого показателя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баллов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Примечание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сотрудников, имеющих задолженность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доли сотрудников-должников, имеющих совокупную задолженность перед  бюджетами всех уровней по налогам, сборам, пеням штрафам к общей численности сотрудников организаций с численностью более 100 человек (на 5 процентов)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Детализация показателей рейтинга муниципальных образований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Соответствие деятельности  общеобразовательных учреждений (далее-ОУ) требованиям законодательства в сфере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Итоговые документы проверок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Информационная открытость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и обновление информации об ОУ на сайте bus.gov.ru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своевременное заполнение, внесение изменений и дополнений в АИС «Электронный детский сад»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Функционирование системы государственно-общественного 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протоколов заседаний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5.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Реализация программ по сохранению и укреплению здоровья детей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осуществление мероприятий, направленных на формирование здорового образа жизни у воспитанников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Отчётные данные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снижение заболеваемости воспитанников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обеспечение безопасности жизнедеятельности участников образовательного процесса (отсутствие травматизма, иных несчастных случаев в учреждении, происшедших по причине нарушений  требований СанПиН, охраны </w:t>
            </w:r>
            <w:r>
              <w:rPr>
                <w:color w:val="000000" w:themeColor="text1"/>
                <w:sz w:val="22"/>
                <w:szCs w:val="22"/>
              </w:rPr>
              <w:t xml:space="preserve">труда, халатного отношения работников учреждения к своим обязанностям)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Кадровое обеспечение образовательного процесса и реализация мероприятий по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повышению профессионального мастерства педагогических работников ОУ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укомплектованность ОУ кадрами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Штатное расписание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Штатное расписание, приказы по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педагогических работников ОУ, принимающих участие в конкурсах, проектах различных уровней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Приказы, сертификаты и т.д.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40"/>
        </w:trPr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педагогов, имеющих первую и высшую категорию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в ОУ наставничества для молодых и малоопытных специалистов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участие ОУ в инновационной, экспериментальной деятельности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 муниципального задания на оказание (выполнение) муниципальных услуг (работ)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своевременность заключения договоров, контрактов, соблюдение финансовой дисциплины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доля воспитанников, принявших участие в  конкурсах, фестивалях, концертах и т.д. различных уровней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893"/>
        </w:trPr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охват воспитанников дополнительными образовательными услугами в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26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».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r/>
      <w:r/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06.08.2026 № 1509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shd w:val="clear" w:color="auto" w:fill="ffffff"/>
        <w:tabs>
          <w:tab w:val="left" w:pos="11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«Приложение № 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left"/>
        <w:widowControl w:val="off"/>
        <w:rPr>
          <w:b/>
          <w:bCs/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Положению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общеобразовательных учреждений, подведомственных отделу образования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0104" w:type="dxa"/>
        <w:tblInd w:w="-5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2126"/>
        <w:gridCol w:w="4536"/>
        <w:gridCol w:w="1134"/>
        <w:gridCol w:w="1666"/>
      </w:tblGrid>
      <w:tr>
        <w:tblPrEx/>
        <w:trPr>
          <w:trHeight w:val="561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 п/п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целевого показателя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критерия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Количество баллов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Примечание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1.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сотрудников, имеющих задолженность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доли сотрудников-должников, имеющих совокупную задолженность перед  бюджетами всех уровней по налогам, сборам, пеням штрафам к общей численности сотрудников организаций с численностью более 100 человек (на 5 процентов)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Детализация показателей рейтинга муниципальных образований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Соответствие деятельности ОУ требованиям законодательства в сфере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отсутствие предписаний надзорных органов в отношении организации образовательного процесса, своевременное исполнение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Итоговые документы проверок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  <w:p>
            <w:pPr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Информационная открытость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размещение и обновление информации об ОУ на сайте bus.gov.ru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Результаты мониторинга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Функционирование системы государственно-общественного 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Наличие протоколов заседаний  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Реализация мероприятий по профилактике правонарушений у несовершеннолетних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реализация комплексов мер (программа, разделы в плане воспитательной работы и т.п.) по профилактике правонарушений и размещение на сайте результатов реализации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обучающихся общеобразоват</w:t>
            </w:r>
            <w:r>
              <w:rPr>
                <w:rFonts w:eastAsia="Times New Roman"/>
                <w:sz w:val="22"/>
                <w:szCs w:val="22"/>
              </w:rPr>
              <w:t xml:space="preserve">ельных организаций, принявших участие в социально-психологическом тестировании, направленном на выявление рисков употребления наркотических средств и психотропных веществ, в общей численности обучающихся указанных организаций, подлежащих тестированию – 95%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общеобразовательных организаций, обучающиеся которых приняли участие в соц</w:t>
            </w:r>
            <w:r>
              <w:rPr>
                <w:sz w:val="22"/>
                <w:szCs w:val="22"/>
              </w:rPr>
              <w:t xml:space="preserve">иально-психологи</w:t>
            </w:r>
            <w:r>
              <w:rPr>
                <w:rFonts w:eastAsia="Times New Roman"/>
                <w:sz w:val="22"/>
                <w:szCs w:val="22"/>
              </w:rPr>
              <w:t xml:space="preserve">ческом тестировании, направленном на выявление рисков употребления наркотических средств и психотропных веществ, в общем числе общеобразовательных организаций, подлежащих тестированию – 100%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по сохранению и укреплению здоровья детей, организация физкультурно-оздоровительной и спортивной работы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обеспечение безопа</w:t>
            </w:r>
            <w:r>
              <w:rPr>
                <w:rFonts w:eastAsia="Times New Roman"/>
                <w:sz w:val="22"/>
                <w:szCs w:val="22"/>
              </w:rPr>
              <w:t xml:space="preserve">сности жизнедеятельности участников образовательного процесса (отсутствие травматизма, иных несчастных случаев в учреждении, происшедших по причине нарушений требований СанПиН, охраны труда, халатного отношения работников учреждения к своим обязанностям)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Отчетные данные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Кадровое обеспечение образовательного процесса и реализация мероприятий по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повышению профессионального мастерства педагогических работников ОУ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укомплектованность ОУ кадрами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100 %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Штатное расписание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Штатное расписание, приказы по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педагогов, имеющих первую и высшую категорию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участие ОУ в инновационной, экспериментальной деятельности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 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2027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исполнение муниципального задания на оказание (выполнение) муниципальных услуг (работ)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Отчетные данные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наличие достижений в конкурсах, олимпиадах, соревнованиях, общественно значимых мероприятиях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 и т.п.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охват обучающихся дополнительными образовательными услугами в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социокультурных проектов (школьный театр, музей, научное общество обучающихся и др.)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 и более проектов Отчётные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качества общего образования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результативность освоения обучающимися государственных образовательных стандартов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Показатель качества знаний выше среднего по району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положительная динамика результатов государственной итоговой аттестации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создание условий для реализации обучающимися индивидуальных учебных планов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2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Отчётные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393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26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26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».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26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r>
          </w:p>
        </w:tc>
      </w:tr>
    </w:tbl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sectPr>
      <w:footnotePr/>
      <w:endnotePr/>
      <w:type w:val="nextPage"/>
      <w:pgSz w:w="11909" w:h="16834" w:orient="portrait"/>
      <w:pgMar w:top="426" w:right="850" w:bottom="676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num w:numId="1">
    <w:abstractNumId w:val="30"/>
  </w:num>
  <w:num w:numId="2">
    <w:abstractNumId w:val="1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17"/>
  </w:num>
  <w:num w:numId="4">
    <w:abstractNumId w:val="16"/>
  </w:num>
  <w:num w:numId="5">
    <w:abstractNumId w:val="6"/>
  </w:num>
  <w:num w:numId="6">
    <w:abstractNumId w:val="33"/>
  </w:num>
  <w:num w:numId="7">
    <w:abstractNumId w:val="9"/>
  </w:num>
  <w:num w:numId="8">
    <w:abstractNumId w:val="5"/>
  </w:num>
  <w:num w:numId="9">
    <w:abstractNumId w:val="12"/>
  </w:num>
  <w:num w:numId="10">
    <w:abstractNumId w:val="14"/>
  </w:num>
  <w:num w:numId="11">
    <w:abstractNumId w:val="11"/>
  </w:num>
  <w:num w:numId="12">
    <w:abstractNumId w:val="31"/>
  </w:num>
  <w:num w:numId="13">
    <w:abstractNumId w:val="32"/>
  </w:num>
  <w:num w:numId="14">
    <w:abstractNumId w:val="25"/>
  </w:num>
  <w:num w:numId="15">
    <w:abstractNumId w:val="3"/>
  </w:num>
  <w:num w:numId="16">
    <w:abstractNumId w:val="28"/>
  </w:num>
  <w:num w:numId="17">
    <w:abstractNumId w:val="8"/>
  </w:num>
  <w:num w:numId="18">
    <w:abstractNumId w:val="4"/>
  </w:num>
  <w:num w:numId="19">
    <w:abstractNumId w:val="10"/>
  </w:num>
  <w:num w:numId="20">
    <w:abstractNumId w:val="22"/>
  </w:num>
  <w:num w:numId="21">
    <w:abstractNumId w:val="27"/>
  </w:num>
  <w:num w:numId="22">
    <w:abstractNumId w:val="23"/>
  </w:num>
  <w:num w:numId="23">
    <w:abstractNumId w:val="15"/>
  </w:num>
  <w:num w:numId="24">
    <w:abstractNumId w:val="18"/>
  </w:num>
  <w:num w:numId="25">
    <w:abstractNumId w:val="20"/>
  </w:num>
  <w:num w:numId="26">
    <w:abstractNumId w:val="0"/>
  </w:num>
  <w:num w:numId="27">
    <w:abstractNumId w:val="34"/>
  </w:num>
  <w:num w:numId="28">
    <w:abstractNumId w:val="2"/>
  </w:num>
  <w:num w:numId="29">
    <w:abstractNumId w:val="19"/>
  </w:num>
  <w:num w:numId="30">
    <w:abstractNumId w:val="26"/>
  </w:num>
  <w:num w:numId="31">
    <w:abstractNumId w:val="29"/>
  </w:num>
  <w:num w:numId="32">
    <w:abstractNumId w:val="13"/>
  </w:num>
  <w:num w:numId="33">
    <w:abstractNumId w:val="21"/>
  </w:num>
  <w:num w:numId="34">
    <w:abstractNumId w:val="7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>
    <w:name w:val="Plain Table 1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3">
    <w:name w:val="List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4" w:default="1">
    <w:name w:val="Normal"/>
    <w:qFormat/>
    <w:rPr>
      <w:rFonts w:eastAsia="Calibri"/>
    </w:rPr>
  </w:style>
  <w:style w:type="paragraph" w:styleId="745">
    <w:name w:val="Heading 1"/>
    <w:basedOn w:val="744"/>
    <w:next w:val="744"/>
    <w:link w:val="84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6">
    <w:name w:val="Heading 2"/>
    <w:basedOn w:val="744"/>
    <w:next w:val="744"/>
    <w:link w:val="8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7">
    <w:name w:val="Heading 3"/>
    <w:basedOn w:val="744"/>
    <w:next w:val="744"/>
    <w:link w:val="8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8">
    <w:name w:val="Heading 4"/>
    <w:basedOn w:val="744"/>
    <w:next w:val="744"/>
    <w:link w:val="1014"/>
    <w:qFormat/>
    <w:pPr>
      <w:ind w:firstLine="709"/>
      <w:keepNext/>
      <w:outlineLvl w:val="3"/>
    </w:pPr>
    <w:rPr>
      <w:sz w:val="28"/>
    </w:rPr>
  </w:style>
  <w:style w:type="paragraph" w:styleId="749">
    <w:name w:val="Heading 5"/>
    <w:basedOn w:val="744"/>
    <w:next w:val="744"/>
    <w:link w:val="8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8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8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8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85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table" w:styleId="757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0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4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5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4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7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9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3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5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33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834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835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836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837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838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39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840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841" w:customStyle="1">
    <w:name w:val="Title Char"/>
    <w:basedOn w:val="754"/>
    <w:uiPriority w:val="10"/>
    <w:rPr>
      <w:sz w:val="48"/>
      <w:szCs w:val="48"/>
    </w:rPr>
  </w:style>
  <w:style w:type="character" w:styleId="842" w:customStyle="1">
    <w:name w:val="Subtitle Char"/>
    <w:basedOn w:val="754"/>
    <w:uiPriority w:val="11"/>
    <w:rPr>
      <w:sz w:val="24"/>
      <w:szCs w:val="24"/>
    </w:rPr>
  </w:style>
  <w:style w:type="character" w:styleId="843" w:customStyle="1">
    <w:name w:val="Quote Char"/>
    <w:uiPriority w:val="29"/>
    <w:rPr>
      <w:i/>
    </w:rPr>
  </w:style>
  <w:style w:type="character" w:styleId="844" w:customStyle="1">
    <w:name w:val="Intense Quote Char"/>
    <w:uiPriority w:val="30"/>
    <w:rPr>
      <w:i/>
    </w:rPr>
  </w:style>
  <w:style w:type="character" w:styleId="845" w:customStyle="1">
    <w:name w:val="Caption Char"/>
    <w:uiPriority w:val="99"/>
  </w:style>
  <w:style w:type="character" w:styleId="846" w:customStyle="1">
    <w:name w:val="Footnote Text Char"/>
    <w:uiPriority w:val="99"/>
    <w:rPr>
      <w:sz w:val="18"/>
    </w:rPr>
  </w:style>
  <w:style w:type="character" w:styleId="847" w:customStyle="1">
    <w:name w:val="Endnote Text Char"/>
    <w:uiPriority w:val="99"/>
    <w:rPr>
      <w:sz w:val="20"/>
    </w:rPr>
  </w:style>
  <w:style w:type="character" w:styleId="848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849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850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851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852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853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854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55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856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857">
    <w:name w:val="No Spacing"/>
    <w:uiPriority w:val="1"/>
    <w:qFormat/>
  </w:style>
  <w:style w:type="paragraph" w:styleId="858">
    <w:name w:val="Title"/>
    <w:basedOn w:val="744"/>
    <w:next w:val="744"/>
    <w:link w:val="8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59" w:customStyle="1">
    <w:name w:val="Заголовок Знак"/>
    <w:basedOn w:val="754"/>
    <w:link w:val="858"/>
    <w:uiPriority w:val="10"/>
    <w:rPr>
      <w:sz w:val="48"/>
      <w:szCs w:val="48"/>
    </w:rPr>
  </w:style>
  <w:style w:type="paragraph" w:styleId="860">
    <w:name w:val="Subtitle"/>
    <w:basedOn w:val="744"/>
    <w:next w:val="744"/>
    <w:link w:val="861"/>
    <w:uiPriority w:val="11"/>
    <w:qFormat/>
    <w:pPr>
      <w:spacing w:before="200" w:after="200"/>
    </w:pPr>
    <w:rPr>
      <w:sz w:val="24"/>
      <w:szCs w:val="24"/>
    </w:rPr>
  </w:style>
  <w:style w:type="character" w:styleId="861" w:customStyle="1">
    <w:name w:val="Подзаголовок Знак"/>
    <w:basedOn w:val="754"/>
    <w:link w:val="860"/>
    <w:uiPriority w:val="11"/>
    <w:rPr>
      <w:sz w:val="24"/>
      <w:szCs w:val="24"/>
    </w:rPr>
  </w:style>
  <w:style w:type="paragraph" w:styleId="862">
    <w:name w:val="Quote"/>
    <w:basedOn w:val="744"/>
    <w:next w:val="744"/>
    <w:link w:val="863"/>
    <w:uiPriority w:val="29"/>
    <w:qFormat/>
    <w:pPr>
      <w:ind w:left="720" w:right="720"/>
    </w:pPr>
    <w:rPr>
      <w:i/>
    </w:rPr>
  </w:style>
  <w:style w:type="character" w:styleId="863" w:customStyle="1">
    <w:name w:val="Цитата 2 Знак"/>
    <w:link w:val="862"/>
    <w:uiPriority w:val="29"/>
    <w:rPr>
      <w:i/>
    </w:rPr>
  </w:style>
  <w:style w:type="paragraph" w:styleId="864">
    <w:name w:val="Intense Quote"/>
    <w:basedOn w:val="744"/>
    <w:next w:val="744"/>
    <w:link w:val="8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65" w:customStyle="1">
    <w:name w:val="Выделенная цитата Знак"/>
    <w:link w:val="864"/>
    <w:uiPriority w:val="30"/>
    <w:rPr>
      <w:i/>
    </w:rPr>
  </w:style>
  <w:style w:type="paragraph" w:styleId="866">
    <w:name w:val="Footer"/>
    <w:basedOn w:val="744"/>
    <w:link w:val="86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67" w:customStyle="1">
    <w:name w:val="Footer Char"/>
    <w:basedOn w:val="754"/>
    <w:uiPriority w:val="99"/>
  </w:style>
  <w:style w:type="paragraph" w:styleId="868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69" w:customStyle="1">
    <w:name w:val="Нижний колонтитул Знак"/>
    <w:link w:val="866"/>
    <w:uiPriority w:val="99"/>
  </w:style>
  <w:style w:type="table" w:styleId="870">
    <w:name w:val="Table Grid"/>
    <w:basedOn w:val="75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1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72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3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4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5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7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9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00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01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02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03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04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05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06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07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08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09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10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11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12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13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14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15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16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17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18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19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3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4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5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34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35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36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37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38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39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40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5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6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7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8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9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0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1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62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63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64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65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66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67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68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69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0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1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2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3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4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5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76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77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78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79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80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81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82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3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84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85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86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87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88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89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90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91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92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93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94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95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96">
    <w:name w:val="Hyperlink"/>
    <w:uiPriority w:val="99"/>
    <w:unhideWhenUsed/>
    <w:rPr>
      <w:color w:val="0000ff" w:themeColor="hyperlink"/>
      <w:u w:val="single"/>
    </w:rPr>
  </w:style>
  <w:style w:type="paragraph" w:styleId="997">
    <w:name w:val="footnote text"/>
    <w:basedOn w:val="744"/>
    <w:link w:val="998"/>
    <w:uiPriority w:val="99"/>
    <w:semiHidden/>
    <w:unhideWhenUsed/>
    <w:pPr>
      <w:spacing w:after="40"/>
    </w:pPr>
    <w:rPr>
      <w:sz w:val="18"/>
    </w:rPr>
  </w:style>
  <w:style w:type="character" w:styleId="998" w:customStyle="1">
    <w:name w:val="Текст сноски Знак"/>
    <w:link w:val="997"/>
    <w:uiPriority w:val="99"/>
    <w:rPr>
      <w:sz w:val="18"/>
    </w:rPr>
  </w:style>
  <w:style w:type="character" w:styleId="999">
    <w:name w:val="footnote reference"/>
    <w:basedOn w:val="754"/>
    <w:uiPriority w:val="99"/>
    <w:unhideWhenUsed/>
    <w:rPr>
      <w:vertAlign w:val="superscript"/>
    </w:rPr>
  </w:style>
  <w:style w:type="paragraph" w:styleId="1000">
    <w:name w:val="endnote text"/>
    <w:basedOn w:val="744"/>
    <w:link w:val="1001"/>
    <w:uiPriority w:val="99"/>
    <w:semiHidden/>
    <w:unhideWhenUsed/>
  </w:style>
  <w:style w:type="character" w:styleId="1001" w:customStyle="1">
    <w:name w:val="Текст концевой сноски Знак"/>
    <w:link w:val="1000"/>
    <w:uiPriority w:val="99"/>
    <w:rPr>
      <w:sz w:val="20"/>
    </w:rPr>
  </w:style>
  <w:style w:type="character" w:styleId="1002">
    <w:name w:val="endnote reference"/>
    <w:basedOn w:val="754"/>
    <w:uiPriority w:val="99"/>
    <w:semiHidden/>
    <w:unhideWhenUsed/>
    <w:rPr>
      <w:vertAlign w:val="superscript"/>
    </w:rPr>
  </w:style>
  <w:style w:type="paragraph" w:styleId="1003">
    <w:name w:val="toc 1"/>
    <w:basedOn w:val="744"/>
    <w:next w:val="744"/>
    <w:uiPriority w:val="39"/>
    <w:unhideWhenUsed/>
    <w:pPr>
      <w:spacing w:after="57"/>
    </w:pPr>
  </w:style>
  <w:style w:type="paragraph" w:styleId="1004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1005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1006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1007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1008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1009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1010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1011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1012">
    <w:name w:val="TOC Heading"/>
    <w:uiPriority w:val="39"/>
    <w:unhideWhenUsed/>
  </w:style>
  <w:style w:type="paragraph" w:styleId="1013">
    <w:name w:val="table of figures"/>
    <w:basedOn w:val="744"/>
    <w:next w:val="744"/>
    <w:uiPriority w:val="99"/>
    <w:unhideWhenUsed/>
  </w:style>
  <w:style w:type="character" w:styleId="1014" w:customStyle="1">
    <w:name w:val="Заголовок 4 Знак"/>
    <w:link w:val="748"/>
    <w:rPr>
      <w:rFonts w:eastAsia="Calibri"/>
      <w:sz w:val="28"/>
      <w:lang w:val="ru-RU" w:eastAsia="ru-RU" w:bidi="ar-SA"/>
    </w:rPr>
  </w:style>
  <w:style w:type="paragraph" w:styleId="1015" w:customStyle="1">
    <w:name w:val="Абзац списка1"/>
    <w:basedOn w:val="744"/>
    <w:pPr>
      <w:contextualSpacing/>
      <w:ind w:left="720"/>
    </w:pPr>
  </w:style>
  <w:style w:type="paragraph" w:styleId="1016">
    <w:name w:val="Body Text"/>
    <w:basedOn w:val="744"/>
    <w:link w:val="1017"/>
    <w:pPr>
      <w:jc w:val="both"/>
    </w:pPr>
    <w:rPr>
      <w:sz w:val="24"/>
    </w:rPr>
  </w:style>
  <w:style w:type="character" w:styleId="1017" w:customStyle="1">
    <w:name w:val="Основной текст Знак"/>
    <w:link w:val="1016"/>
    <w:rPr>
      <w:rFonts w:eastAsia="Calibri"/>
      <w:sz w:val="24"/>
      <w:lang w:val="ru-RU" w:eastAsia="ru-RU" w:bidi="ar-SA"/>
    </w:rPr>
  </w:style>
  <w:style w:type="paragraph" w:styleId="1018">
    <w:name w:val="Body Text Indent"/>
    <w:basedOn w:val="744"/>
    <w:link w:val="1019"/>
    <w:semiHidden/>
    <w:pPr>
      <w:ind w:right="76" w:firstLine="900"/>
      <w:jc w:val="both"/>
    </w:pPr>
    <w:rPr>
      <w:sz w:val="24"/>
    </w:rPr>
  </w:style>
  <w:style w:type="character" w:styleId="1019" w:customStyle="1">
    <w:name w:val="Основной текст с отступом Знак"/>
    <w:link w:val="1018"/>
    <w:semiHidden/>
    <w:rPr>
      <w:rFonts w:eastAsia="Calibri"/>
      <w:sz w:val="24"/>
      <w:lang w:val="ru-RU" w:eastAsia="ru-RU" w:bidi="ar-SA"/>
    </w:rPr>
  </w:style>
  <w:style w:type="paragraph" w:styleId="1020">
    <w:name w:val="Body Text Indent 2"/>
    <w:basedOn w:val="744"/>
    <w:link w:val="1021"/>
    <w:pPr>
      <w:ind w:left="283"/>
      <w:spacing w:after="120" w:line="480" w:lineRule="auto"/>
    </w:pPr>
  </w:style>
  <w:style w:type="character" w:styleId="1021" w:customStyle="1">
    <w:name w:val="Основной текст с отступом 2 Знак"/>
    <w:link w:val="1020"/>
    <w:rPr>
      <w:rFonts w:eastAsia="Calibri"/>
      <w:lang w:val="ru-RU" w:eastAsia="ru-RU" w:bidi="ar-SA"/>
    </w:rPr>
  </w:style>
  <w:style w:type="paragraph" w:styleId="102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1023" w:customStyle="1">
    <w:name w:val="Default"/>
    <w:rPr>
      <w:color w:val="000000"/>
      <w:sz w:val="24"/>
      <w:szCs w:val="24"/>
    </w:rPr>
  </w:style>
  <w:style w:type="paragraph" w:styleId="1024">
    <w:name w:val="Balloon Text"/>
    <w:basedOn w:val="744"/>
    <w:link w:val="1025"/>
    <w:rPr>
      <w:rFonts w:ascii="Tahoma" w:hAnsi="Tahoma" w:cs="Tahoma"/>
      <w:sz w:val="16"/>
      <w:szCs w:val="16"/>
    </w:rPr>
  </w:style>
  <w:style w:type="character" w:styleId="1025" w:customStyle="1">
    <w:name w:val="Текст выноски Знак"/>
    <w:link w:val="1024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1026">
    <w:name w:val="Plain Text"/>
    <w:basedOn w:val="744"/>
    <w:link w:val="1027"/>
    <w:rPr>
      <w:rFonts w:ascii="Courier New" w:hAnsi="Courier New" w:eastAsia="Times New Roman" w:cs="Courier New"/>
    </w:rPr>
  </w:style>
  <w:style w:type="character" w:styleId="1027" w:customStyle="1">
    <w:name w:val="Текст Знак"/>
    <w:link w:val="1026"/>
    <w:rPr>
      <w:rFonts w:ascii="Courier New" w:hAnsi="Courier New" w:cs="Courier New"/>
      <w:lang w:val="ru-RU" w:eastAsia="ru-RU" w:bidi="ar-SA"/>
    </w:rPr>
  </w:style>
  <w:style w:type="paragraph" w:styleId="1028">
    <w:name w:val="Header"/>
    <w:basedOn w:val="744"/>
    <w:link w:val="1029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1029" w:customStyle="1">
    <w:name w:val="Верхний колонтитул Знак"/>
    <w:link w:val="1028"/>
    <w:rPr>
      <w:sz w:val="24"/>
      <w:szCs w:val="24"/>
      <w:lang w:val="ru-RU" w:eastAsia="ru-RU" w:bidi="ar-SA"/>
    </w:rPr>
  </w:style>
  <w:style w:type="paragraph" w:styleId="1030">
    <w:name w:val="List Paragraph"/>
    <w:basedOn w:val="744"/>
    <w:uiPriority w:val="34"/>
    <w:qFormat/>
    <w:pPr>
      <w:ind w:left="720"/>
    </w:pPr>
    <w:rPr>
      <w:rFonts w:eastAsia="Times New Roman"/>
      <w:sz w:val="24"/>
      <w:szCs w:val="24"/>
    </w:rPr>
  </w:style>
  <w:style w:type="character" w:styleId="1031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1032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33" w:customStyle="1">
    <w:name w:val="ConsPlusNormal"/>
    <w:rPr>
      <w:b/>
      <w:bCs/>
      <w:sz w:val="24"/>
      <w:szCs w:val="24"/>
    </w:rPr>
  </w:style>
  <w:style w:type="paragraph" w:styleId="1034">
    <w:name w:val="Normal (Web)"/>
    <w:basedOn w:val="744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1035" w:customStyle="1">
    <w:name w:val="WW8Num2z0"/>
  </w:style>
  <w:style w:type="paragraph" w:styleId="1036" w:customStyle="1">
    <w:name w:val="Обычный + 12 пт"/>
    <w:basedOn w:val="744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BE74B-8AC2-4053-AB9C-0D9B05A4E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4</cp:revision>
  <dcterms:created xsi:type="dcterms:W3CDTF">2026-07-27T06:45:00Z</dcterms:created>
  <dcterms:modified xsi:type="dcterms:W3CDTF">2026-08-07T12:52:03Z</dcterms:modified>
</cp:coreProperties>
</file>