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от 31.07.2026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        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1454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О надлежащем состоянии источников наружного противопожарного водоснабжения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на территории 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firstLine="567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0"/>
          <w:szCs w:val="20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486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Федеральными законами от 21.12.1994 </w:t>
      </w:r>
      <w:hyperlink r:id="rId11" w:tooltip="consultantplus://offline/ref=05BFC20C28079CCFB9523E2A3F18AE1D480729EA6CE30E29B237417DF652N0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 69-ФЗ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 пожарной безопасности», от 06.10.2003 </w:t>
      </w:r>
      <w:hyperlink r:id="rId12" w:tooltip="consultantplus://offline/ref=05BFC20C28079CCFB9523E2A3F18AE1D480729E461E20E29B237417DF652N0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 131-ФЗ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 от 22.07.2008 </w:t>
      </w:r>
      <w:hyperlink r:id="rId13" w:tooltip="consultantplus://offline/ref=05BFC20C28079CCFB9523E2A3F18AE1D480729E56FE80E29B237417DF652N0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 123-ФЗ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«Технический регламент о требованиях пожарной безопасности»,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07.12.2011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416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«О водоснабжении и водоотведении»,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постановлениями Правительства Российской Федерации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hyperlink r:id="rId14" w:tooltip="consultantplus://offline/ref=05BFC20C28079CCFB9523E2A3F18AE1D480128EE6FE80E29B237417DF652N0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 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1479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 утверждении правил противопожарного режима в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от 29.07.2013 </w:t>
      </w:r>
      <w:hyperlink r:id="rId15" w:tooltip="consultantplus://offline/ref=05BFC20C28079CCFB9523E2A3F18AE1D480621E86EEF0E29B237417DF652N0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№ 644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«Об утверждении Правил холодного водоснабжения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водоотведения и о внесении изменений в некоторые акты Правительства Российской Федерации», </w:t>
      </w:r>
      <w:hyperlink r:id="rId16" w:tooltip="consultantplus://offline/ref=05BFC20C28079CCFB95220272974F0184E087FE16AEC0D77EE681A20A1294D345DNBJ" w:history="1">
        <w:r>
          <w:rPr>
            <w:rFonts w:ascii="Times New Roman" w:hAnsi="Times New Roman" w:eastAsia="Times New Roman" w:cs="Times New Roman"/>
            <w:sz w:val="24"/>
            <w:szCs w:val="24"/>
            <w:lang w:eastAsia="ru-RU"/>
          </w:rPr>
          <w:t xml:space="preserve">постановлением</w:t>
        </w:r>
      </w:hyperlink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Правительства Мурманской области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23.07.2007 № 346-ПП «О реализации мер пожарной безопасности в Мурманской области», в целях обеспечения надлежащего состояния источников наружного противопожарного водоснабжения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21"/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1. Утвердить </w:t>
      </w:r>
      <w:hyperlink r:id="rId17" w:tooltip="file:///C:\Users\tarasov\Desktop\Гидранты\!!!!!!!!!!!!!!!!!!!!!!!!!!!!!!!!!!!!!!!!!.RTF#Par50" w:anchor="Par50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Порядок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обеспечения надлежащего состояния источников наружного противопожарного водоснабжения и мест их размещения на территории Печенгского муниципального округа, согласно приложению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 к настоящему постановлению.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 Утвердить </w:t>
      </w:r>
      <w:hyperlink r:id="rId18" w:tooltip="file:///C:\Users\tarasov\Desktop\Гидранты\!!!!!!!!!!!!!!!!!!!!!!!!!!!!!!!!!!!!!!!!!.RTF#Par222" w:anchor="Par222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перечень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источников наружного противопожарного водоснабжения, располо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размещения), согласно приложению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2 к настоящему постановлению.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 Рекомендовать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водопроводно-канализационного хозяйства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br/>
        <w:t xml:space="preserve">ГОУП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Мурманскводоканал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», владельцам объектов, подключенных к водопроводным сетям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3.1. Обеспечить исправность и надлежащую эксплуат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ацию источников наружного противопожарного водоснабжения (далее - ИНППВ), принадлежащих им на праве собственности или владения на ином законном основании, и (или) находящихся в границах балансовой принадлежности и (или) их эксплуатационной ответственности.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3.2. 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Оборудовать ИНППВ, пожарные гидранты (далее – ПГ) указателями с нанесёнными на них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цифрами указывающими расстояние до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водоисточника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(в границах балансовой принадлежности и (или) эксплуатационной ответственности)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 Осуществлять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возможностью беспрепятственного дос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тупа в любое время года к ИНППВ,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ПГ, установленным на объектах, принадлежащих организациям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водопроводно-канализационных хозяйств и (или) находящихся в границах балансовой принадлежности и границах их эксплуатационной ответственности.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3.4. 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Уведомлять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филиал Государственной противопожарной службы Мурманской области государственного областного казенного учреждения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Управление по делам гражданской обороны, защите населения от чрезвычайных ситуаций и пожарной безопасности Мурманской области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Печенгский филиал ГПС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), структурные подразделения территориальных органов федеральных органов исполнительной власти, уполномоченные на решение задач в области пожарной безопасности, о невозможности использования ИНППВ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 из-за отсутствия или недостаточности напора воды в случае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проведения ремонта или возникновения аварии на водопроводных сетях.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3.5. Организовать проверки состояния ИНППВ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ПГ, результаты которых оформлять сводными актами проверок с указанием выявленных недостатков и нарушений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эксплуатации ИНППВ, неисправностей ИНППВ, а также сроков их устранения и сроков повторных (контрольных) проверок ИНППВ. Копии актов проверок направлять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отдел ГО, ЧС и ПБ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ченгского муниципального округа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  <w:br/>
        <w:t xml:space="preserve">филиал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ГПС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Ежегодно, не позднее 1 декабря, разрабатывать и согласовывать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Печенгским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филиалом ГПС графики проверок ИНППВ (в том числе проверок состояния указателей ПГ), по видам проверок с учетом климатических условий.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3.6. Принять организационно-распорядительные документы об обеспечении исправности ИНППВ, о проведении планово-предупредительных ремонтов ИНППВ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ПГ. Копии документов представить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отдел ГО, ЧС и ПБ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администраци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Печенгский филиал ГПС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 Рекомендовать предприятиям, учреждениям, организациям, независимо от организационно-правовых форм и форм собственности, иным собственникам и владельцам зданий, строений, сооружений, земельных участков, расположенных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 границах эксплуатируемых территорий (земельных участков):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4.1. Обеспечить надлежащее содержание мест размещения ИНППВ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ПГ, очистку проездов (подъездов) к ИНППВ в целях обеспечения доступности проезда (подъезда) пожарной техники к ПГ в любое время года.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 Организовать очистку люков водопроводных колодцев, ПГ.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Организовать установку на видных местах указателей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направление движения к ПГ, в соответствии с требованиями норм пожарной безопасности.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</w:t>
      </w:r>
      <w:r>
        <w:rPr>
          <w:rFonts w:ascii="Times New Roman" w:hAnsi="Times New Roman" w:cs="Times New Roman"/>
          <w:sz w:val="24"/>
          <w:szCs w:val="24"/>
        </w:rPr>
        <w:t xml:space="preserve"> Признать утратившими силу постановления администрации Печенгского муниципального округа: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от </w:t>
      </w:r>
      <w:r>
        <w:rPr>
          <w:rFonts w:ascii="Times New Roman" w:hAnsi="Times New Roman" w:cs="Times New Roman"/>
          <w:sz w:val="24"/>
          <w:szCs w:val="24"/>
        </w:rPr>
        <w:t xml:space="preserve">24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2.20</w:t>
      </w:r>
      <w:r>
        <w:rPr>
          <w:rFonts w:ascii="Times New Roman" w:hAnsi="Times New Roman" w:cs="Times New Roman"/>
          <w:sz w:val="24"/>
          <w:szCs w:val="24"/>
        </w:rPr>
        <w:t xml:space="preserve">21</w:t>
      </w:r>
      <w:r>
        <w:rPr>
          <w:rFonts w:ascii="Times New Roman" w:hAnsi="Times New Roman" w:cs="Times New Roman"/>
          <w:sz w:val="24"/>
          <w:szCs w:val="24"/>
        </w:rPr>
        <w:t xml:space="preserve"> № 14</w:t>
      </w:r>
      <w:r>
        <w:rPr>
          <w:rFonts w:ascii="Times New Roman" w:hAnsi="Times New Roman" w:cs="Times New Roman"/>
          <w:sz w:val="24"/>
          <w:szCs w:val="24"/>
        </w:rPr>
        <w:t xml:space="preserve">56</w:t>
      </w:r>
      <w:r>
        <w:rPr>
          <w:rFonts w:ascii="Times New Roman" w:hAnsi="Times New Roman" w:cs="Times New Roman"/>
          <w:sz w:val="24"/>
          <w:szCs w:val="24"/>
        </w:rPr>
        <w:t xml:space="preserve"> «О </w:t>
      </w:r>
      <w:r>
        <w:rPr>
          <w:rFonts w:ascii="Times New Roman" w:hAnsi="Times New Roman" w:cs="Times New Roman"/>
          <w:sz w:val="24"/>
          <w:szCs w:val="24"/>
        </w:rPr>
        <w:t xml:space="preserve">надлежащем состоянии источников наружного противопожарного водоснабжения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- 12.01.202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30 «О внесении изменений в приложение № 2 к постановлению администрации Печенгского муниципального округа от 24.12.2021 № 1456 </w:t>
        <w:br/>
        <w:t xml:space="preserve">«О надлежащем состоянии источников наружного противопожарного водоснабжения на территории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 от 02.05.2024 № 708 «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 внесении изменений в Перечень источников наружного противопожарного водоснабжения, расположенных на территории Печенгского муниципального округа (с указанием предприя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размещения), утвержденный постановлением администрации Печенгского муниципального округа от 24.12.2021 № 1456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  <w:br/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«О надлежащем состоянии источников наружного противопожарного водоснабжения на территории Печенгского муниципального округа»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от 18.02.2025 № 26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«О внесении изменений в приложение № 2 к постановлению администрации Печенгского муниципального округа от 24.12.2021 № 1456 </w:t>
        <w:br/>
        <w:t xml:space="preserve">«О надлежащем состоянии источников наружного противопожарного водоснабжения на территории Печенгского муниципального округа»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</w:t>
      </w:r>
      <w:bookmarkStart w:id="0" w:name="_GoBack"/>
      <w:r/>
      <w:bookmarkEnd w:id="0"/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 Настоящее постановление вступает в силу после его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опубликования в газете «Печенга»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разместить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на официальном сайте Печенгского муниципального округа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left="0" w:right="0"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567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jc w:val="both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Глава Печенгского муниципального округа                   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                     А.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С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pStyle w:val="861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 xml:space="preserve">Соболев А.В.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, </w:t>
      </w:r>
      <w:r>
        <w:rPr>
          <w:rFonts w:ascii="Times New Roman" w:hAnsi="Times New Roman" w:cs="Times New Roman"/>
          <w:sz w:val="20"/>
          <w:szCs w:val="20"/>
          <w:lang w:eastAsia="ru-RU"/>
        </w:rPr>
        <w:t xml:space="preserve">50007</w:t>
      </w:r>
      <w:r>
        <w:rPr>
          <w:rFonts w:ascii="Times New Roman" w:hAnsi="Times New Roman" w:cs="Times New Roman"/>
          <w:sz w:val="20"/>
          <w:szCs w:val="20"/>
          <w:lang w:eastAsia="ru-RU"/>
        </w:rPr>
      </w:r>
      <w:r>
        <w:rPr>
          <w:rFonts w:ascii="Times New Roman" w:hAnsi="Times New Roman" w:cs="Times New Roman"/>
          <w:sz w:val="20"/>
          <w:szCs w:val="20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 №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31.07.2026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1454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eastAsia="Times New Roman" w:cs="Times New Roman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/>
      <w:bookmarkStart w:id="1" w:name="Par50"/>
      <w:r/>
      <w:bookmarkEnd w:id="1"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ПОРЯДОК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обеспечения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надлежащего состояния источников наружного противопожарного водоснабжения и мест их размещения на территории Печенгского муниципального округа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1. Общие положения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1.1. 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Настоящий Порядок обеспечения надлежащего состояния источников наружного противопожарного водоснабжения и мест их размещения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- Порядок) разработан в целях определения взаимодействия организаци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владельцев объектов, подключенных к водопроводным сетям холодного водоснабжения, являющихся собственниками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источников наружного противопожарного водоснабжения (далее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ИНППВ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или владеющих, эксплуатирующих ИНППВ на другом законном основании, предприятий, учреждений, организаций, независимо от их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организационно-правовой формы и формы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собственности, эксплуатирующих земельные участки (территории), на которых размещены ИНППВ (далее - организации),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филиал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Государственной противопожарной службы Мурманской области государственного областного казенного учреждения «Управление по делам гражданской обороны, защите населения от чрезвычайных ситуаций и пожарной безопасно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сти Мурманской области» (далее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Печенгский филиал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ГПС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подразделений федеральных органов исполнительной власти, уполномоченных на решение задач в области пожарной безопасности, и органов местного самоуправления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 вопросам надлежащей эксплуатации ИНППВ, содержания мест их размещения в соответствии с требованиями пожарной безопасности на территории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2. Содержание, эксплуатация, размещение источников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наружного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br/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противопожарного водоснабжения,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содержание мест их размещения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2.1. Содержание и эксплуатация ИНППВ - это комплекс организационно-правовых, финансовых и инженерно-технических мероприятий, предусматривающих: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эксплуатацию ИНППВ в соответствии с нормативными правовыми актами и нормативно-технической документацией;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финансирование мероприятий по содержанию, эксплуатации, выполнению ремонтно-профилактических работ;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возможность беспрепятственного доступа к ИНППВ, в том числе при осуществлении контроля (проверки) состояния ИНППВ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рганизациями, осуществляющими тушение пожаров;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проверку работоспособности и поддержание в исправном состоянии, позволяющем использовать ИНППВ для целей пожаротушения в любое время года;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установку соответствующих указателей ИНППВ согласно нормативным правовым требованиям по пожарной безопасности;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наружное освещение указателей в темное время суток для быстрого нахождения ИНППВ;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очистку мест размещения ИНППВ от мусора, снега, наледи, установку в зимнее время деревянных конусов над колодцами с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пожарными гидрантами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(далее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–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расположенными вне проезжей части улиц, в соответствии с требованиями, предусмотренными </w:t>
      </w:r>
      <w:hyperlink r:id="rId19" w:tooltip="consultantplus://offline/ref=4F326386C0462CC68D3673A784D5DDA647D8F99DCDED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постановлением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Правительства Российской Федерации 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16.09.2020 </w:t>
      </w:r>
      <w:hyperlink r:id="rId20" w:tooltip="consultantplus://offline/ref=05BFC20C28079CCFB9523E2A3F18AE1D480128EE6FE80E29B237417DF652N0J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№ 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1479 «Об утверждении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равил противопожарного режима в Российской Федерации»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другими нормативными правовыми актами, регламентирующими техническую эксплуатацию, содержание ИНППВ и мест их размещения;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проведение мероприятий по подготовке ИНППВ к эксплуатации в условиях отрицательных температур;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немедленное уведомление организаци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ского филиала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других организаций, осуществляющих тушение пожаров, о невозможности использования ИНППВ из-за отсутствия или недостаточного давления воды в водопроводной сети и в других случаях невозможности забора воды из ИНППВ;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своевременное уведомление организаци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 в случае передачи устройств и сооружений для присоединения к системам холодного водоснабжения другому собственнику, а также при изменении абонентом реквизитов, правового статуса, организационно-правовой формы;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своевременное уведомление организацией водопроводно-канализационного хозяйства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филиала ГПС о невозможности использования ИНППВ из-за отсутствия или недостаточного давления воды в водопроводной сети и в других случаях невозможности забора воды из ИНППВ;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обеспечение технического обслуживания, ремонта, утепления ИНППВ в соответствии с требованиями нормативных документов по пожарной безопасности и положениями технической документации.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2.2. 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Размещение ИНППВ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в том числе на территории организаций, объектов, их количество, емкость, водоотдачу и другие технические характеристики следует предусматривать в соответствии с требованиями Федерального </w:t>
      </w:r>
      <w:hyperlink r:id="rId21" w:tooltip="consultantplus://offline/ref=4F326386C0462CC68D3673A784D5DDA647D5FB9DC3EC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закона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22.07.2008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123-ФЗ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Технический регламент о требованиях пожарной безопасности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Федерального </w:t>
      </w:r>
      <w:hyperlink r:id="rId22" w:tooltip="consultantplus://offline/ref=4F326386C0462CC68D3673A784D5DDA647D5F090C8E9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закона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07.12.2011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416-ФЗ </w:t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водоснабжении и водоотведении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hyperlink r:id="rId23" w:tooltip="consultantplus://offline/ref=4F326386C0462CC68D3673A784D5DDA647D8F99DCDED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постановлением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Правительства 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оссийской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едерации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16.09.2020 </w:t>
      </w:r>
      <w:hyperlink r:id="rId24" w:tooltip="consultantplus://offline/ref=05BFC20C28079CCFB9523E2A3F18AE1D480128EE6FE80E29B237417DF652N0J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№ 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1479 «Об утверждении правил противопожарного режима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Российской Федерации»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СНиП 2.04.02-84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Водоснабжение. Наружные сети и сооружения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утвержденные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приказом Министерства строительства и жилищно-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комунального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хозяйства Российской Федерации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2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.12.20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21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1016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/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сводом </w:t>
        <w:br/>
        <w:t xml:space="preserve">правил </w:t>
      </w:r>
      <w:hyperlink r:id="rId25" w:tooltip="consultantplus://offline/ref=4F326386C0462CC68D3673A784D5DDA645DDF190C2ED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СП 8.13130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вод правил. Системы противопожарной защиты. Наружное противопожарное водоснабжение. Требования пожарной безопасности»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утвержденным приказом МЧС России от 30.03.2020 № 225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2.3. Указатели ИНППВ выполняются в соответствии с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требованиями </w:t>
        <w:br/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ГОСТ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характеристики.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Методы испытаний», введенным в действие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приказом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Росстандарта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10.06.2016 № 614-ст.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Установку указателей ИНППВ обеспечивает организация водопроводно-канализационного хозяйства, иные организации, имеющие в собственности или владеющие ИНППВ на другом законном основании (хозяйственное ведение, оперативное управление).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Типоразмер знаков, устанавливаемых на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обозначения ИНППВ, принять 300 x 300 мм, расстояние от 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ижнего края знака до уровня земли принять 2 м. В местах, где нет возможности установить указатель непосредственно у люка ПГ (проезжая часть, тротуар и т.п.) разместить знаки на стенах зданий, с указанием точного расстояния от знака до центра люка колодца 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ПГ, нижний край расположить на высоте 2 м от уровня земли.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2.4.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Подразделения Печенгского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осуществляющи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тушение пожаров, име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 право на беспрепя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тственный проезд на территорию предприятий, учреждений, организаций независимо от организационно-правовой формы и формы собственности (за исключением режимных) для заправки водой в целях тушения пожаров, учебных тренировок (по ранее согласованным графикам)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контроля состояния ИНППВ.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2.5. Пожарные гидранты, пожарные водоемы (резервуары), водные объекты, предназначенные для обеспечения пожарной безопасности, разрешается использовать только для целей пожаротушения.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2.6.</w:t>
      </w:r>
      <w:r>
        <w:rPr>
          <w:lang w:eastAsia="ru-RU"/>
        </w:rPr>
        <w:t xml:space="preserve">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Организации водопроводно-канализационного хозяйства, иные предприятия, учреждения, организации, физические лица, владеющие на законном основании сетями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холодного водоснабжения и оборудованными на них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или находящимися в границах балансовой принадлежности и (или) их эксплуатационной ответственности (абоненты), обеспечивают техническую эксплуатацию ИНППВ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 в соответствии с требованиями нормативно-технической документации, в том числе в зимний период, осуществляют комплекс организационно-правовых, финансовых, инженерно-технических мероприятий по содержанию и эксплуатации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ИНППВ.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2.7. 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Предприятия, учреждения, организации, независимо от организационно-правовых форм и фо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рм собственности, физические лица, владеющие на законном основании объектами, земельными участками (территориями), на которых размещены ИНППВ, обеспечивают в границах эксплуатируемых объектов, земельных участков, территорий содержание мест размещения ИНППВ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 в соответствии с требованиями пожарной безопасности, в том числе обеспечивают беспрепятственный проезд, подъезд пожарной специальной техник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к ИНППВ в любое время года.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 изменении способа управления многоквартирным домом, смене собственника (владельца) 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едвижимого имущества, обязанность по содержанию ПГ в надлежащем состоянии, закрепленного по установленному адресу нахождения ИНППВ, переходит к новому собственнику (владельцу объекта (территории), управляющей организации, товариществу собственников жилья).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2.8. 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Абоненты обязаны своевременно уведомлять организаци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ализационного хозяйства о передаче (переходе) прав на объекты, устройства, сооружения, в отношении которых осуществляется холодное водоснабжение, а также предназначенные для подключения (технологического присоединения) к централизованным системам холодного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водоснабжения, о предоставлении прав владения или пользования такими объектами, устройствами, сооружениями другому лицу, а также об изменении абонентом реквизитов, организационно-правовой формы, местонахождения (адреса), иных сведений об абоненте, которые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могут повлиять на обеспечение технической эксплуатации ИНППВ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 в соответствии с требованиями нормативно-технической документации.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2.9. 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Организации, физи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ческие лица документально оформляют передачу (переход) прав собственности (владения на ином законном основании) на эксплуатируемые объекты, земельные участки, территории, на которых размещены ИНППВ, в письменной форме своевременно уведомляют администрацию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Печенгский филиал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о передаче (переходе) прав собственности (владения на ином законном основании), а также об изменении реквизитов, организационно-правовой формы, местонахождения (адреса), иных сведений об организации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(физическом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лице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), эксплуатирующем объекты, земельные участки (территории), которые могут повлиять на обеспечение содержания мест размещения ИНППВ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 в соответствии с требованиями пожарной безопасности, для внесения соответствующих изменений в перечень ИНППВ.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3. Испытание и проверка источников наружного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противопожарного водоснабжения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3.1. 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 испытанием ИНППВ подразумевается проверка их работоспособности путем технического осмотра и пуска воды с последующим сравнением фактического расхода с требуемым по нормам на цели пожаротушения.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Испытание и проверка ИНППВ проводится во время приемки их в эксплуатацию и не менее двух раз в год (как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правило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весной и осенью), с составлением </w:t>
      </w:r>
      <w:hyperlink r:id="rId26" w:tooltip="file:///C:\Users\tarasov\Desktop\Гидранты\!!!!!!!!!!!!!!!!!!!!!!!!!!!!!!!!!!!!!!!!!.RTF#Par189" w:anchor="Par189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акта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результата испытания.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Испытания должны проводиться в часы максимального водопотребления на хозяйственно-питьевые и производственные нужды.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3.2. Испытание и проверка ИНППВ проводится представителями организации водопров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одно-канализационного хозяйства. Организации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водопров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одно-канализационного хозяйства, абоненты, иные организации, при проведении проверок ИНППВ на предмет использования их для целей пожаротушения могут привлекать в качестве представителей пожарной охраны работников Печенгского филиала ГПС.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4. Ремонт, реконструкция источников наружного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противопожарного водоснабжения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4.1. Технические характеристики ИНППВ после ремонта, реконструкции должны соответствовать требованиям нормативно-технической документации и требованиям пожарной безопасности.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4.2. Временное снятие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 водопроводной сети населенных пунктов и объектов допускается в исключительном случае при неисправности, устранение которой не может быть осуществлено без демонтажа ПГ или его элементов, на срок не более суток.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Производство данного вида работ допускается по предварительному уведомлению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подразделений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филиала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других организаций, осуществляющих тушение пожаров.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4.3. Ремонт сетей водопровода, где отключено более пяти ПГ, должен быть произведен, как правило, в течение суток с момента обнаружен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ия неисправности. При более длительных сроках ремонта организация водопроводно-канализационного хозяйства, абонент, иная организация, имеющая в собственности, хозяйственном ведении или оперативном управлении ИНППВ, принимают меры по обеспечению территории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одоснабжением для целей пожаротушения, о чем долж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быть проинформирован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ий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4.4. Организаци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водопроводно-канализационного хозяйства, абонент, иная организация, имеющая в собственности, хозяйственном ведении или оперативном управлении ИНППВ, должна уведомлять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подразделения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филиал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ГПС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о случаях ремонта или замены ИНППВ;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об окончании ремонта или замены ИНППВ.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 Работы, связанные с монтажом, ремонтом и обслуживанием ИНППВ, должны выполняться в порядке, установленном федеральными нормативными правовыми актами.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5. Учет, проверка источников наружного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противопожарного водоснабжения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1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5.1. Организации водопроводно-канализационного хозяйства, абоненты, иные организации, имеющие в собственности, хозяйственном ведении или оперативном управлении ИНППВ, должны в установленном порядке вести их учет.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5.2. В целях учета всех ИНППВ, которые могут быть использованы для целей пожаротушения, администрация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организует, а организации водопроводно-канализационного хозяйства, абоненты, иные организации, имеющие в собственности, хозяйственном ведении, оперативном управлении ИНППВ, не реже одного раза в пять лет проводят инвентаризацию ИНППВ.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5.3. В целях постоянного контроля наличия и состояния ИНППВ организации водопроводно-канализационного хозяйства, абоненты, иные организации, которые эксплуатируют ИНППВ, должны осуществлять их проверки и испытание в соответствии с </w:t>
      </w:r>
      <w:hyperlink r:id="rId27" w:tooltip="consultantplus://offline/ref=4F326386C0462CC68D3673A784D5DDA645DCFF9EC2EF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Правилами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технической эксплуатации систем и сооружений коммунальн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водоснабжения и канализации,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утвержден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ы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приказом Госстроя России от 30.12.1999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168, не менее двух раз в год.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Проверки производятся в весенний и осенний периоды при устойчивых плюсовых температурах воздуха в дневное время.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5.4. Организации водопроводно-канализационного хозяйства, абоненты, иные организации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имеющие в собственности, хозяйственном ведении, оперативном управлении ИНППВ, заводят учетные карточки, в которых указывают номер ИНППВ, адрес места размещения, дату установки, технические характеристики и все виды произведенных работ по их обслуживанию.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5.5. При проверке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устанавливается: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чистота крышки колодца, а также наличие крышки гидранта и ее утепление при эксплуатации в условиях пониженных температур;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на видном месте указателя гидранта и его освещенность в темное время суток;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возможность беспрепятственного подъезда к пожарному гидранту;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герметичность и смазка резьбового соединения и стояка;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герметичность колодца от проникновения грунтовых вод;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работа сливного устройства.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 проверке ПГ должна проверяться их работоспособность путем пуска воды.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5.6. Проверка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должна проводиться при выполнении следующих условий: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5.6.1. Опробование ПГ с пуском воды разрешается только при плюсовой температуре наружного воздуха.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5.6.2. При отрицательных температурах от 0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минус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15 градусов допускается только внешний осмотр гидранта без пуска воды.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5.6.3. Не допускается открытие крышек колодца для внешнего осмотра ПГ при температурах ниже минус 15 градусов во избежание потерь тепла из колодца.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5.7. При проверке пожарных водоемов (резервуаров) устанавливается: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на видном месте указателя водоема в соответствии с требованиями </w:t>
      </w:r>
      <w:r>
        <w:rPr>
          <w:rFonts w:ascii="Times New Roman" w:hAnsi="Times New Roman" w:cs="Times New Roman"/>
          <w:sz w:val="24"/>
          <w:szCs w:val="24"/>
        </w:rPr>
        <w:br/>
        <w:t xml:space="preserve">ГОСТ 12.4.026-2015 «Межгосударственный стандарт. Система стандартов безопасности труда. Цвета сигнальные, знаки безопасности и разметка сигнальная. Назначение и правила применения. Общие технические требования и </w:t>
      </w:r>
      <w:r>
        <w:rPr>
          <w:rFonts w:ascii="Times New Roman" w:hAnsi="Times New Roman" w:cs="Times New Roman"/>
          <w:sz w:val="24"/>
          <w:szCs w:val="24"/>
        </w:rPr>
        <w:t xml:space="preserve">характеристики. Методы испытаний</w:t>
      </w:r>
      <w:r>
        <w:rPr>
          <w:rFonts w:ascii="Times New Roman" w:hAnsi="Times New Roman" w:cs="Times New Roman"/>
          <w:sz w:val="24"/>
          <w:szCs w:val="24"/>
        </w:rPr>
        <w:t xml:space="preserve">», </w:t>
      </w:r>
      <w:r>
        <w:rPr>
          <w:rFonts w:ascii="Times New Roman" w:hAnsi="Times New Roman" w:cs="Times New Roman"/>
          <w:sz w:val="24"/>
          <w:szCs w:val="24"/>
        </w:rPr>
        <w:t xml:space="preserve">введенным в действие </w:t>
      </w:r>
      <w:r>
        <w:rPr>
          <w:rFonts w:ascii="Times New Roman" w:hAnsi="Times New Roman" w:cs="Times New Roman"/>
          <w:sz w:val="24"/>
          <w:szCs w:val="24"/>
        </w:rPr>
        <w:t xml:space="preserve">приказом </w:t>
      </w:r>
      <w:r>
        <w:rPr>
          <w:rFonts w:ascii="Times New Roman" w:hAnsi="Times New Roman" w:cs="Times New Roman"/>
          <w:sz w:val="24"/>
          <w:szCs w:val="24"/>
        </w:rPr>
        <w:t xml:space="preserve">Росстандарта</w:t>
      </w:r>
      <w:r>
        <w:rPr>
          <w:rFonts w:ascii="Times New Roman" w:hAnsi="Times New Roman" w:cs="Times New Roman"/>
          <w:sz w:val="24"/>
          <w:szCs w:val="24"/>
        </w:rPr>
        <w:t xml:space="preserve"> от 10.06.2016 № 614-ст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возможность беспрепятственного подъезда к водоему;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наполненность водоема водой и возможность его пополнения;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площадки перед водоемом для забора воды;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герметичность задвижек (при их наличии);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наличие проруби при отрицательной температуре воздуха (для открытых водоемов) и приспособлений по не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замерзанию (для резервуаров);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 утеплё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горловины пожарного резервуара при эксплуатации в условиях отрицательных температур.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5.8. При проверке пожарных пирсов устанавливается: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 состояние несущих конструкций, покрытия, ограждения, упорного бруса и наличия приямка для забора воды;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на видном месте указателя пирса;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возможность беспрепятственного подъезда к пирсу;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- наличие площадки перед пирсом для разворота пожарной техники.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5.9. При проверке водонапорных башен и других ИНППВ устанавливается наличие подъезда и возможность забора воды из них пожарными авт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оцистернами в любое время года.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6. Требования пожарной безопасности к ИНППВ (водопроводным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сетям и сооружениям на них, к резервуарам и водоемам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с запасами воды на цели наружного пожаротушения)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pStyle w:val="861"/>
        <w:ind w:firstLine="70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1"/>
        <w:ind w:firstLine="709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6.1. Выполнение требований пожарной безопасности к ИНППВ (водопроводным сетям и сооружениям на них, к резервуарам и водоемам с запасами воды на цели наружного пожаротушения) обеспечивается в соответствии со </w:t>
      </w:r>
      <w:hyperlink r:id="rId28" w:tooltip="consultantplus://offline/ref=4F326386C0462CC68D3673A784D5DDA645DDF190C2ED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сводом правил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29" w:tooltip="consultantplus://offline/ref=4F326386C0462CC68D3673A784D5DDA645DDF190C2EDFBBC2885176E6726595C39764806967004724D8A794DFCjBz5G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 xml:space="preserve">СП 8.13130 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Системы противопожарной защиты. Наружное противопожарное водоснабжение. Требования пожарной безопасности», утвержденным приказом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МЧС России от 30.03.2020 № 225.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риложение № 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31.07.2026 № 1454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right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0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/>
      <w:bookmarkStart w:id="2" w:name="Par222"/>
      <w:r/>
      <w:bookmarkEnd w:id="2"/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pStyle w:val="861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источников наружного противопожарного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водоснабжения, расположенных на территории Печенгского муниципального округа (с указанием предприятий, учреждений, организаций, физических лиц, обеспечивающих надлежащую эксплуатацию источников наружного противопожарного водоснабжения и мест их размещения)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п.г.т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Никель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716"/>
        <w:gridCol w:w="2555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Пожарный кран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в.д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50 м, пересечение дорог гаражи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БАМ-СБО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ПЧ-50 слева от фасада здания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ПЧ-50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«Пенсионный фонд»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напротив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6/1,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пешеходного перехода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12,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дома, последний подъезд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наружный угол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18, торец дома, последний подъезд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д. 19а, наружный угол дома с правой стороны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«Металлург» напротив главного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 «ДЮСШ»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МБУ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 «ДЮСШ»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28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24,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входа в аптеку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39, наружный угол 1-го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26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между магазином и </w:t>
              <w:br/>
              <w:t xml:space="preserve">домом 26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28,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 дома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30 «А»,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теплотрассы, 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15,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последнего подъезда.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Спортивная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13, СОШ № 20, поворот к школе 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Спортивной.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Спортивная 7,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13/11,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Октябрьская 5,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 дома,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Октябрьская 1,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площади «Ленина»,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СОШ № 3, около дороги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3, СОШ № 3, напротив дома через дорогу, на тротуаре.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3, тротуарная дорожка к ДДТ №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Спортивная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10, около первого подъезда, на пригорке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7/8, КБО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дорожного знака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«Уступи дорогу»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11, торец дома, около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10, напротив магазина «Магнит»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18, около опоры ЛЭП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3, за домом,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центру,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2, торец дома, около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3, торец дома, около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Бредова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7 «А», ДДТ № 1, напротив главного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Комсомольская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тыльная сторона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32, на тротуаре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через дорогу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2 – Линия,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между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домами 4 и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9,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поворот на гаражи ОМВД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17/9, слева от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Победы 7 «А» через дорогу в палисаднике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 углом дома справа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 центру, правая сторона дома, со стороны дороги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ограждения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визит-центра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Пасвик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43,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ворот АТП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 Армии 17, ОМВД на углу здания,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14-Армии 17, ОМВД во дворе здания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ОМВД России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«Печенгский»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 –Армии 13, справа от здания со стороны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14-Армии 7, за домом на углу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Октябрьская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6, за домом по центру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переулок Молодежный 7, военкомат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15, на углу здания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14, торец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65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Сидоровича 18, напротив первого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Советская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7 «А», через дорогу напротив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Советская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22, за домом около дороги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Советская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12, на перекрестке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гаражи за узлом связи, последняя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br/>
              <w:t xml:space="preserve">линия гаражей, около трансформатора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Гвардейский, гаражи за узлом связи, последняя линия гаражей, выезд на объездную дорогу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около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35,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поворот за почтой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37, справа от входа на почту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пр-т Гвардейский 37,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торец последнего подъезда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справа от центрального входа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 корпусом терапевтического отделения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 стороны поселка.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ЦРБ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справа от знака въезд запрещен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гаражей)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 у дороги за общежитием)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Политехнический техникум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входа)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ГАПОУ МО «Печенгский политехнический техникум»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№-22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Заполярное шоссе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№-22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Заполярное шоссе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Первомайская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Первомайская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Служба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Никель ПУ ФСБ Росси по республике Карелия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Советская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14А, за правым крылом АБК котельной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0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«МЭС»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6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«МЭС»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Раякоски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Управление ПКГЭС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магазин – почта РФ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пожарное депо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против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ворот через дорогу)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котельная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-15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–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 Н- 17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 Н – 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 Н – 23 – школа №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– 2 – дальний торец дома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 склад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 - 6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 гаражи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 - 6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территория АЗС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 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Раякоски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ГЭС - 6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г.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Заполярный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«Строитель»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СК «Строитель»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Терешковой 2«А»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гор. Больница «ЦРБ»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филиал ГОБУЗ «МОКБ им. П.А.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Баяндина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- 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Печенгская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ЦРБ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Терешковой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(тыл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Сафонова 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(около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25-29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№ 25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17-19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Шмакова 2-4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К.Маркса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справа)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Космонавтов 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Стрельцова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2-3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4«А»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(торец дома №4)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4-6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(детская площадка)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6«А»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(за зданием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Горсеть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по центру)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12-14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 №14)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 слева)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(середина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Юбилейная 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(угол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11-13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магазина)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15«А»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библиотеки)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right" w:pos="285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15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tabs>
                <w:tab w:val="right" w:pos="285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(возле садика № 2)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33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дома)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«Музыкальная школа»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Крупской 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7/1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(на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«Администрация»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ООО 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ООО «Заполярное АТП»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16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проезжей части)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7-11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 (1)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– 21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1540 км ФАД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42 (2)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АЗС – 21 «Роснефть»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1540 км ФАД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АО «НК «Роснефть» -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Мурманскнефтепродукт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Ленина 15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(подъезд №4)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2«А»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(«Юность»)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Бабикова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20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(фасад дома справа)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cantSplit/>
          <w:trHeight w:val="5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Мира 9 «А»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(во дворе отеля)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Корзуново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0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(Д/К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 Гагарина)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(котельная)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(торец дома №43)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Трифонов Печенгский мужской монастырь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Трифонов Печенгский мужской монастырь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Стартовая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(частный сектор)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 (фасад школы)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  <w:tr>
        <w:tblPrEx/>
        <w:trPr>
          <w:cantSplit/>
          <w:trHeight w:val="22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Печенгская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(70м от школы)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/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ПЕРЕЧЕНЬ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пожарных гидрантов п. Лиинахамари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tbl>
      <w:tblPr>
        <w:tblW w:w="5000" w:type="pct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0"/>
        <w:gridCol w:w="650"/>
        <w:gridCol w:w="2924"/>
        <w:gridCol w:w="2643"/>
        <w:gridCol w:w="2628"/>
      </w:tblGrid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Адрес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(привязка на местности)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Ведомственная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принадлежность, ответственный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остояние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Ответственный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 чистку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автогородок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энергоучасток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Северная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3а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(школа)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Шабалина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(7 м от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11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4-5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(между домами)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cantSplit/>
          <w:trHeight w:val="2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78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ул. Шабалина 14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(у дороги рядом в/ч)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1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03" w:type="pct"/>
            <w:vAlign w:val="center"/>
            <w:textDirection w:val="lrTb"/>
            <w:noWrap w:val="false"/>
          </w:tcPr>
          <w:p>
            <w:pPr>
              <w:pStyle w:val="861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ГОУП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«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Мурманскводоканал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pP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709" w:left="1701" w:header="709" w:footer="709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8"/>
      <w:numFmt w:val="decimal"/>
      <w:isLgl w:val="false"/>
      <w:suff w:val="tab"/>
      <w:lvlText w:val="%1"/>
      <w:lvlJc w:val="left"/>
      <w:pPr>
        <w:ind w:left="420" w:hanging="420"/>
      </w:pPr>
      <w:rPr>
        <w:rFonts w:hint="default"/>
      </w:rPr>
    </w:lvl>
    <w:lvl w:ilvl="1">
      <w:start w:val="11"/>
      <w:numFmt w:val="decimal"/>
      <w:isLgl w:val="false"/>
      <w:suff w:val="tab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7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8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decimal"/>
      <w:isLgl/>
      <w:suff w:val="tab"/>
      <w:lvlText w:val="%1.%2."/>
      <w:lvlJc w:val="left"/>
      <w:pPr>
        <w:ind w:left="1069" w:hanging="360"/>
      </w:p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9"/>
  </w:num>
  <w:num w:numId="2">
    <w:abstractNumId w:val="16"/>
  </w:num>
  <w:num w:numId="3">
    <w:abstractNumId w:val="12"/>
  </w:num>
  <w:num w:numId="4">
    <w:abstractNumId w:val="13"/>
  </w:num>
  <w:num w:numId="5">
    <w:abstractNumId w:val="8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3"/>
  </w:num>
  <w:num w:numId="9">
    <w:abstractNumId w:val="7"/>
  </w:num>
  <w:num w:numId="10">
    <w:abstractNumId w:val="11"/>
  </w:num>
  <w:num w:numId="11">
    <w:abstractNumId w:val="15"/>
  </w:num>
  <w:num w:numId="12">
    <w:abstractNumId w:val="4"/>
  </w:num>
  <w:num w:numId="13">
    <w:abstractNumId w:val="2"/>
  </w:num>
  <w:num w:numId="14">
    <w:abstractNumId w:val="1"/>
  </w:num>
  <w:num w:numId="15">
    <w:abstractNumId w:val="6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0"/>
  </w:num>
  <w:num w:numId="19">
    <w:abstractNumId w:val="10"/>
  </w:num>
  <w:num w:numId="20">
    <w:abstractNumId w:val="14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4">
    <w:name w:val="Heading 1 Char"/>
    <w:basedOn w:val="846"/>
    <w:link w:val="837"/>
    <w:uiPriority w:val="9"/>
    <w:rPr>
      <w:rFonts w:ascii="Arial" w:hAnsi="Arial" w:eastAsia="Arial" w:cs="Arial"/>
      <w:sz w:val="40"/>
      <w:szCs w:val="40"/>
    </w:rPr>
  </w:style>
  <w:style w:type="character" w:styleId="695">
    <w:name w:val="Heading 2 Char"/>
    <w:basedOn w:val="846"/>
    <w:link w:val="838"/>
    <w:uiPriority w:val="9"/>
    <w:rPr>
      <w:rFonts w:ascii="Arial" w:hAnsi="Arial" w:eastAsia="Arial" w:cs="Arial"/>
      <w:sz w:val="34"/>
    </w:rPr>
  </w:style>
  <w:style w:type="character" w:styleId="696">
    <w:name w:val="Heading 3 Char"/>
    <w:basedOn w:val="846"/>
    <w:link w:val="839"/>
    <w:uiPriority w:val="9"/>
    <w:rPr>
      <w:rFonts w:ascii="Arial" w:hAnsi="Arial" w:eastAsia="Arial" w:cs="Arial"/>
      <w:sz w:val="30"/>
      <w:szCs w:val="30"/>
    </w:rPr>
  </w:style>
  <w:style w:type="character" w:styleId="697">
    <w:name w:val="Heading 4 Char"/>
    <w:basedOn w:val="846"/>
    <w:link w:val="840"/>
    <w:uiPriority w:val="9"/>
    <w:rPr>
      <w:rFonts w:ascii="Arial" w:hAnsi="Arial" w:eastAsia="Arial" w:cs="Arial"/>
      <w:b/>
      <w:bCs/>
      <w:sz w:val="26"/>
      <w:szCs w:val="26"/>
    </w:rPr>
  </w:style>
  <w:style w:type="character" w:styleId="698">
    <w:name w:val="Heading 5 Char"/>
    <w:basedOn w:val="846"/>
    <w:link w:val="841"/>
    <w:uiPriority w:val="9"/>
    <w:rPr>
      <w:rFonts w:ascii="Arial" w:hAnsi="Arial" w:eastAsia="Arial" w:cs="Arial"/>
      <w:b/>
      <w:bCs/>
      <w:sz w:val="24"/>
      <w:szCs w:val="24"/>
    </w:rPr>
  </w:style>
  <w:style w:type="character" w:styleId="699">
    <w:name w:val="Heading 6 Char"/>
    <w:basedOn w:val="846"/>
    <w:link w:val="842"/>
    <w:uiPriority w:val="9"/>
    <w:rPr>
      <w:rFonts w:ascii="Arial" w:hAnsi="Arial" w:eastAsia="Arial" w:cs="Arial"/>
      <w:b/>
      <w:bCs/>
      <w:sz w:val="22"/>
      <w:szCs w:val="22"/>
    </w:rPr>
  </w:style>
  <w:style w:type="character" w:styleId="700">
    <w:name w:val="Heading 7 Char"/>
    <w:basedOn w:val="846"/>
    <w:link w:val="8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1">
    <w:name w:val="Heading 8 Char"/>
    <w:basedOn w:val="846"/>
    <w:link w:val="844"/>
    <w:uiPriority w:val="9"/>
    <w:rPr>
      <w:rFonts w:ascii="Arial" w:hAnsi="Arial" w:eastAsia="Arial" w:cs="Arial"/>
      <w:i/>
      <w:iCs/>
      <w:sz w:val="22"/>
      <w:szCs w:val="22"/>
    </w:rPr>
  </w:style>
  <w:style w:type="character" w:styleId="702">
    <w:name w:val="Heading 9 Char"/>
    <w:basedOn w:val="846"/>
    <w:link w:val="845"/>
    <w:uiPriority w:val="9"/>
    <w:rPr>
      <w:rFonts w:ascii="Arial" w:hAnsi="Arial" w:eastAsia="Arial" w:cs="Arial"/>
      <w:i/>
      <w:iCs/>
      <w:sz w:val="21"/>
      <w:szCs w:val="21"/>
    </w:rPr>
  </w:style>
  <w:style w:type="character" w:styleId="703">
    <w:name w:val="Title Char"/>
    <w:basedOn w:val="846"/>
    <w:link w:val="872"/>
    <w:uiPriority w:val="10"/>
    <w:rPr>
      <w:sz w:val="48"/>
      <w:szCs w:val="48"/>
    </w:rPr>
  </w:style>
  <w:style w:type="character" w:styleId="704">
    <w:name w:val="Subtitle Char"/>
    <w:basedOn w:val="846"/>
    <w:link w:val="874"/>
    <w:uiPriority w:val="11"/>
    <w:rPr>
      <w:sz w:val="24"/>
      <w:szCs w:val="24"/>
    </w:rPr>
  </w:style>
  <w:style w:type="character" w:styleId="705">
    <w:name w:val="Quote Char"/>
    <w:link w:val="876"/>
    <w:uiPriority w:val="29"/>
    <w:rPr>
      <w:i/>
    </w:rPr>
  </w:style>
  <w:style w:type="character" w:styleId="706">
    <w:name w:val="Intense Quote Char"/>
    <w:link w:val="878"/>
    <w:uiPriority w:val="30"/>
    <w:rPr>
      <w:i/>
    </w:rPr>
  </w:style>
  <w:style w:type="paragraph" w:styleId="707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708">
    <w:name w:val="Table Grid Light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9">
    <w:name w:val="Plain Table 1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0">
    <w:name w:val="Plain Table 2"/>
    <w:basedOn w:val="8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2">
    <w:name w:val="Plain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Plain Table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4">
    <w:name w:val="Grid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Grid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Grid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6">
    <w:name w:val="Grid Table 4 - Accent 1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7">
    <w:name w:val="Grid Table 4 - Accent 2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8">
    <w:name w:val="Grid Table 4 - Accent 3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9">
    <w:name w:val="Grid Table 4 - Accent 4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0">
    <w:name w:val="Grid Table 4 - Accent 5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1">
    <w:name w:val="Grid Table 4 - Accent 6"/>
    <w:basedOn w:val="8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2">
    <w:name w:val="Grid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3">
    <w:name w:val="Grid Table 5 Dark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6">
    <w:name w:val="Grid Table 5 Dark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7">
    <w:name w:val="Grid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8">
    <w:name w:val="Grid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9">
    <w:name w:val="Grid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0">
    <w:name w:val="Grid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1">
    <w:name w:val="Grid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2">
    <w:name w:val="Grid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3">
    <w:name w:val="Grid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4">
    <w:name w:val="Grid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5">
    <w:name w:val="Grid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6">
    <w:name w:val="Grid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1 Light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1">
    <w:name w:val="List Table 2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2">
    <w:name w:val="List Table 2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3">
    <w:name w:val="List Table 2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4">
    <w:name w:val="List Table 2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5">
    <w:name w:val="List Table 2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6">
    <w:name w:val="List Table 2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7">
    <w:name w:val="List Table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3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3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4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4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5 Dark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5 Dark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7">
    <w:name w:val="List Table 5 Dark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8">
    <w:name w:val="List Table 6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9">
    <w:name w:val="List Table 6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0">
    <w:name w:val="List Table 6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1">
    <w:name w:val="List Table 6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2">
    <w:name w:val="List Table 6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3">
    <w:name w:val="List Table 6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4">
    <w:name w:val="List Table 6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5">
    <w:name w:val="List Table 7 Colorful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6">
    <w:name w:val="List Table 7 Colorful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7">
    <w:name w:val="List Table 7 Colorful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8">
    <w:name w:val="List Table 7 Colorful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9">
    <w:name w:val="List Table 7 Colorful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0">
    <w:name w:val="List Table 7 Colorful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1">
    <w:name w:val="List Table 7 Colorful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2">
    <w:name w:val="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3">
    <w:name w:val="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4">
    <w:name w:val="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5">
    <w:name w:val="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6">
    <w:name w:val="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7">
    <w:name w:val="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8">
    <w:name w:val="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9">
    <w:name w:val="Bordered &amp; Lined - Accent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Bordered &amp; Lined - Accent 1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Bordered &amp; Lined - Accent 2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Bordered &amp; Lined - Accent 3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Bordered &amp; Lined - Accent 4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Bordered &amp; Lined - Accent 5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Bordered &amp; Lined - Accent 6"/>
    <w:basedOn w:val="84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7">
    <w:name w:val="Bordered - Accent 1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8">
    <w:name w:val="Bordered - Accent 2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9">
    <w:name w:val="Bordered - Accent 3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0">
    <w:name w:val="Bordered - Accent 4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1">
    <w:name w:val="Bordered - Accent 5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2">
    <w:name w:val="Bordered - Accent 6"/>
    <w:basedOn w:val="8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3">
    <w:name w:val="Footnote Text Char"/>
    <w:link w:val="884"/>
    <w:uiPriority w:val="99"/>
    <w:rPr>
      <w:sz w:val="18"/>
    </w:rPr>
  </w:style>
  <w:style w:type="character" w:styleId="834">
    <w:name w:val="Endnote Text Char"/>
    <w:link w:val="887"/>
    <w:uiPriority w:val="99"/>
    <w:rPr>
      <w:sz w:val="20"/>
    </w:rPr>
  </w:style>
  <w:style w:type="character" w:styleId="835">
    <w:name w:val="endnote reference"/>
    <w:basedOn w:val="846"/>
    <w:uiPriority w:val="99"/>
    <w:semiHidden/>
    <w:unhideWhenUsed/>
    <w:rPr>
      <w:vertAlign w:val="superscript"/>
    </w:rPr>
  </w:style>
  <w:style w:type="paragraph" w:styleId="836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837">
    <w:name w:val="Heading 1"/>
    <w:basedOn w:val="836"/>
    <w:next w:val="836"/>
    <w:link w:val="84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838">
    <w:name w:val="Heading 2"/>
    <w:basedOn w:val="836"/>
    <w:next w:val="836"/>
    <w:link w:val="85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839">
    <w:name w:val="Heading 3"/>
    <w:basedOn w:val="836"/>
    <w:next w:val="836"/>
    <w:link w:val="85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840">
    <w:name w:val="Heading 4"/>
    <w:basedOn w:val="836"/>
    <w:next w:val="836"/>
    <w:link w:val="85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41">
    <w:name w:val="Heading 5"/>
    <w:basedOn w:val="836"/>
    <w:next w:val="836"/>
    <w:link w:val="85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842">
    <w:name w:val="Heading 6"/>
    <w:basedOn w:val="836"/>
    <w:next w:val="836"/>
    <w:link w:val="85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843">
    <w:name w:val="Heading 7"/>
    <w:basedOn w:val="836"/>
    <w:next w:val="836"/>
    <w:link w:val="85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844">
    <w:name w:val="Heading 8"/>
    <w:basedOn w:val="836"/>
    <w:next w:val="836"/>
    <w:link w:val="85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845">
    <w:name w:val="Heading 9"/>
    <w:basedOn w:val="836"/>
    <w:next w:val="836"/>
    <w:link w:val="85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46" w:default="1">
    <w:name w:val="Default Paragraph Font"/>
    <w:uiPriority w:val="1"/>
    <w:semiHidden/>
    <w:unhideWhenUsed/>
  </w:style>
  <w:style w:type="table" w:styleId="8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8" w:default="1">
    <w:name w:val="No List"/>
    <w:uiPriority w:val="99"/>
    <w:semiHidden/>
    <w:unhideWhenUsed/>
  </w:style>
  <w:style w:type="character" w:styleId="849" w:customStyle="1">
    <w:name w:val="Заголовок 1 Знак"/>
    <w:basedOn w:val="846"/>
    <w:link w:val="837"/>
    <w:uiPriority w:val="9"/>
    <w:rPr>
      <w:rFonts w:ascii="Arial" w:hAnsi="Arial" w:eastAsia="Arial" w:cs="Arial"/>
      <w:sz w:val="40"/>
      <w:szCs w:val="40"/>
      <w:lang w:eastAsia="en-US"/>
    </w:rPr>
  </w:style>
  <w:style w:type="character" w:styleId="850" w:customStyle="1">
    <w:name w:val="Заголовок 2 Знак"/>
    <w:basedOn w:val="846"/>
    <w:link w:val="838"/>
    <w:uiPriority w:val="9"/>
    <w:rPr>
      <w:rFonts w:ascii="Arial" w:hAnsi="Arial" w:eastAsia="Arial" w:cs="Arial"/>
      <w:sz w:val="34"/>
      <w:szCs w:val="22"/>
      <w:lang w:eastAsia="en-US"/>
    </w:rPr>
  </w:style>
  <w:style w:type="character" w:styleId="851" w:customStyle="1">
    <w:name w:val="Заголовок 3 Знак"/>
    <w:basedOn w:val="846"/>
    <w:link w:val="839"/>
    <w:uiPriority w:val="9"/>
    <w:rPr>
      <w:rFonts w:ascii="Arial" w:hAnsi="Arial" w:eastAsia="Arial" w:cs="Arial"/>
      <w:sz w:val="30"/>
      <w:szCs w:val="30"/>
      <w:lang w:eastAsia="en-US"/>
    </w:rPr>
  </w:style>
  <w:style w:type="character" w:styleId="852" w:customStyle="1">
    <w:name w:val="Заголовок 4 Знак"/>
    <w:basedOn w:val="846"/>
    <w:link w:val="840"/>
    <w:uiPriority w:val="9"/>
    <w:rPr>
      <w:rFonts w:ascii="Arial" w:hAnsi="Arial" w:eastAsia="Arial" w:cs="Arial"/>
      <w:b/>
      <w:bCs/>
      <w:sz w:val="26"/>
      <w:szCs w:val="26"/>
      <w:lang w:eastAsia="en-US"/>
    </w:rPr>
  </w:style>
  <w:style w:type="character" w:styleId="853" w:customStyle="1">
    <w:name w:val="Заголовок 5 Знак"/>
    <w:basedOn w:val="846"/>
    <w:link w:val="841"/>
    <w:uiPriority w:val="9"/>
    <w:rPr>
      <w:rFonts w:ascii="Arial" w:hAnsi="Arial" w:eastAsia="Arial" w:cs="Arial"/>
      <w:b/>
      <w:bCs/>
      <w:sz w:val="24"/>
      <w:szCs w:val="24"/>
      <w:lang w:eastAsia="en-US"/>
    </w:rPr>
  </w:style>
  <w:style w:type="character" w:styleId="854" w:customStyle="1">
    <w:name w:val="Заголовок 6 Знак"/>
    <w:basedOn w:val="846"/>
    <w:link w:val="842"/>
    <w:uiPriority w:val="9"/>
    <w:rPr>
      <w:rFonts w:ascii="Arial" w:hAnsi="Arial" w:eastAsia="Arial" w:cs="Arial"/>
      <w:b/>
      <w:bCs/>
      <w:sz w:val="22"/>
      <w:szCs w:val="22"/>
      <w:lang w:eastAsia="en-US"/>
    </w:rPr>
  </w:style>
  <w:style w:type="character" w:styleId="855" w:customStyle="1">
    <w:name w:val="Заголовок 7 Знак"/>
    <w:basedOn w:val="846"/>
    <w:link w:val="843"/>
    <w:uiPriority w:val="9"/>
    <w:rPr>
      <w:rFonts w:ascii="Arial" w:hAnsi="Arial" w:eastAsia="Arial" w:cs="Arial"/>
      <w:b/>
      <w:bCs/>
      <w:i/>
      <w:iCs/>
      <w:sz w:val="22"/>
      <w:szCs w:val="22"/>
      <w:lang w:eastAsia="en-US"/>
    </w:rPr>
  </w:style>
  <w:style w:type="character" w:styleId="856" w:customStyle="1">
    <w:name w:val="Заголовок 8 Знак"/>
    <w:basedOn w:val="846"/>
    <w:link w:val="844"/>
    <w:uiPriority w:val="9"/>
    <w:rPr>
      <w:rFonts w:ascii="Arial" w:hAnsi="Arial" w:eastAsia="Arial" w:cs="Arial"/>
      <w:i/>
      <w:iCs/>
      <w:sz w:val="22"/>
      <w:szCs w:val="22"/>
      <w:lang w:eastAsia="en-US"/>
    </w:rPr>
  </w:style>
  <w:style w:type="character" w:styleId="857" w:customStyle="1">
    <w:name w:val="Заголовок 9 Знак"/>
    <w:basedOn w:val="846"/>
    <w:link w:val="845"/>
    <w:uiPriority w:val="9"/>
    <w:rPr>
      <w:rFonts w:ascii="Arial" w:hAnsi="Arial" w:eastAsia="Arial" w:cs="Arial"/>
      <w:i/>
      <w:iCs/>
      <w:sz w:val="21"/>
      <w:szCs w:val="21"/>
      <w:lang w:eastAsia="en-US"/>
    </w:rPr>
  </w:style>
  <w:style w:type="paragraph" w:styleId="858">
    <w:name w:val="List Paragraph"/>
    <w:basedOn w:val="836"/>
    <w:uiPriority w:val="99"/>
    <w:qFormat/>
    <w:pPr>
      <w:ind w:left="720"/>
    </w:pPr>
  </w:style>
  <w:style w:type="paragraph" w:styleId="859">
    <w:name w:val="Normal (Web)"/>
    <w:basedOn w:val="836"/>
    <w:uiPriority w:val="99"/>
    <w:semiHidden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60">
    <w:name w:val="Strong"/>
    <w:uiPriority w:val="99"/>
    <w:qFormat/>
    <w:rPr>
      <w:b/>
      <w:bCs/>
    </w:rPr>
  </w:style>
  <w:style w:type="paragraph" w:styleId="861">
    <w:name w:val="No Spacing"/>
    <w:uiPriority w:val="99"/>
    <w:qFormat/>
    <w:rPr>
      <w:rFonts w:cs="Calibri"/>
      <w:sz w:val="22"/>
      <w:szCs w:val="22"/>
      <w:lang w:eastAsia="en-US"/>
    </w:rPr>
  </w:style>
  <w:style w:type="paragraph" w:styleId="862" w:customStyle="1">
    <w:name w:val="dktexjustify"/>
    <w:basedOn w:val="836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63">
    <w:name w:val="Balloon Text"/>
    <w:basedOn w:val="836"/>
    <w:link w:val="864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link w:val="863"/>
    <w:uiPriority w:val="99"/>
    <w:semiHidden/>
    <w:rPr>
      <w:rFonts w:ascii="Tahoma" w:hAnsi="Tahoma" w:cs="Tahoma"/>
      <w:sz w:val="16"/>
      <w:szCs w:val="16"/>
    </w:rPr>
  </w:style>
  <w:style w:type="table" w:styleId="865">
    <w:name w:val="Table Grid"/>
    <w:basedOn w:val="847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66" w:customStyle="1">
    <w:name w:val="Сетка таблицы1"/>
    <w:basedOn w:val="847"/>
    <w:next w:val="865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67">
    <w:name w:val="Hyperlink"/>
    <w:basedOn w:val="846"/>
    <w:uiPriority w:val="99"/>
    <w:unhideWhenUsed/>
    <w:rPr>
      <w:color w:val="0000ff" w:themeColor="hyperlink"/>
      <w:u w:val="single"/>
    </w:rPr>
  </w:style>
  <w:style w:type="paragraph" w:styleId="868">
    <w:name w:val="Header"/>
    <w:basedOn w:val="836"/>
    <w:link w:val="86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69" w:customStyle="1">
    <w:name w:val="Верхний колонтитул Знак"/>
    <w:basedOn w:val="846"/>
    <w:link w:val="868"/>
    <w:uiPriority w:val="99"/>
    <w:rPr>
      <w:rFonts w:cs="Calibri"/>
      <w:sz w:val="22"/>
      <w:szCs w:val="22"/>
      <w:lang w:eastAsia="en-US"/>
    </w:rPr>
  </w:style>
  <w:style w:type="paragraph" w:styleId="870">
    <w:name w:val="Footer"/>
    <w:basedOn w:val="836"/>
    <w:link w:val="87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71" w:customStyle="1">
    <w:name w:val="Нижний колонтитул Знак"/>
    <w:basedOn w:val="846"/>
    <w:link w:val="870"/>
    <w:uiPriority w:val="99"/>
    <w:rPr>
      <w:rFonts w:cs="Calibri"/>
      <w:sz w:val="22"/>
      <w:szCs w:val="22"/>
      <w:lang w:eastAsia="en-US"/>
    </w:rPr>
  </w:style>
  <w:style w:type="paragraph" w:styleId="872">
    <w:name w:val="Title"/>
    <w:basedOn w:val="836"/>
    <w:next w:val="836"/>
    <w:link w:val="873"/>
    <w:uiPriority w:val="10"/>
    <w:qFormat/>
    <w:pPr>
      <w:contextualSpacing/>
      <w:spacing w:before="300"/>
    </w:pPr>
    <w:rPr>
      <w:sz w:val="48"/>
      <w:szCs w:val="48"/>
    </w:rPr>
  </w:style>
  <w:style w:type="character" w:styleId="873" w:customStyle="1">
    <w:name w:val="Название Знак"/>
    <w:basedOn w:val="846"/>
    <w:link w:val="872"/>
    <w:uiPriority w:val="10"/>
    <w:rPr>
      <w:rFonts w:cs="Calibri"/>
      <w:sz w:val="48"/>
      <w:szCs w:val="48"/>
      <w:lang w:eastAsia="en-US"/>
    </w:rPr>
  </w:style>
  <w:style w:type="paragraph" w:styleId="874">
    <w:name w:val="Subtitle"/>
    <w:basedOn w:val="836"/>
    <w:next w:val="836"/>
    <w:link w:val="875"/>
    <w:uiPriority w:val="11"/>
    <w:qFormat/>
    <w:pPr>
      <w:spacing w:before="200"/>
    </w:pPr>
    <w:rPr>
      <w:sz w:val="24"/>
      <w:szCs w:val="24"/>
    </w:rPr>
  </w:style>
  <w:style w:type="character" w:styleId="875" w:customStyle="1">
    <w:name w:val="Подзаголовок Знак"/>
    <w:basedOn w:val="846"/>
    <w:link w:val="874"/>
    <w:uiPriority w:val="11"/>
    <w:rPr>
      <w:rFonts w:cs="Calibri"/>
      <w:sz w:val="24"/>
      <w:szCs w:val="24"/>
      <w:lang w:eastAsia="en-US"/>
    </w:rPr>
  </w:style>
  <w:style w:type="paragraph" w:styleId="876">
    <w:name w:val="Quote"/>
    <w:basedOn w:val="836"/>
    <w:next w:val="836"/>
    <w:link w:val="877"/>
    <w:uiPriority w:val="29"/>
    <w:qFormat/>
    <w:pPr>
      <w:ind w:left="720" w:right="720"/>
    </w:pPr>
    <w:rPr>
      <w:i/>
    </w:rPr>
  </w:style>
  <w:style w:type="character" w:styleId="877" w:customStyle="1">
    <w:name w:val="Цитата 2 Знак"/>
    <w:basedOn w:val="846"/>
    <w:link w:val="876"/>
    <w:uiPriority w:val="29"/>
    <w:rPr>
      <w:rFonts w:cs="Calibri"/>
      <w:i/>
      <w:sz w:val="22"/>
      <w:szCs w:val="22"/>
      <w:lang w:eastAsia="en-US"/>
    </w:rPr>
  </w:style>
  <w:style w:type="paragraph" w:styleId="878">
    <w:name w:val="Intense Quote"/>
    <w:basedOn w:val="836"/>
    <w:next w:val="836"/>
    <w:link w:val="87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79" w:customStyle="1">
    <w:name w:val="Выделенная цитата Знак"/>
    <w:basedOn w:val="846"/>
    <w:link w:val="878"/>
    <w:uiPriority w:val="30"/>
    <w:rPr>
      <w:rFonts w:cs="Calibri"/>
      <w:i/>
      <w:sz w:val="22"/>
      <w:szCs w:val="22"/>
      <w:shd w:val="clear" w:color="auto" w:fill="f2f2f2"/>
      <w:lang w:eastAsia="en-US"/>
    </w:rPr>
  </w:style>
  <w:style w:type="character" w:styleId="880" w:customStyle="1">
    <w:name w:val="Header Char"/>
    <w:basedOn w:val="846"/>
    <w:uiPriority w:val="99"/>
  </w:style>
  <w:style w:type="character" w:styleId="881" w:customStyle="1">
    <w:name w:val="Footer Char"/>
    <w:basedOn w:val="846"/>
    <w:uiPriority w:val="99"/>
  </w:style>
  <w:style w:type="character" w:styleId="882" w:customStyle="1">
    <w:name w:val="Caption Char"/>
    <w:uiPriority w:val="99"/>
  </w:style>
  <w:style w:type="character" w:styleId="883" w:customStyle="1">
    <w:name w:val="Текст сноски Знак"/>
    <w:basedOn w:val="846"/>
    <w:link w:val="884"/>
    <w:uiPriority w:val="99"/>
    <w:semiHidden/>
    <w:rPr>
      <w:rFonts w:cs="Calibri"/>
      <w:sz w:val="18"/>
      <w:szCs w:val="22"/>
      <w:lang w:eastAsia="en-US"/>
    </w:rPr>
  </w:style>
  <w:style w:type="paragraph" w:styleId="884">
    <w:name w:val="footnote text"/>
    <w:basedOn w:val="836"/>
    <w:link w:val="883"/>
    <w:uiPriority w:val="99"/>
    <w:semiHidden/>
    <w:unhideWhenUsed/>
    <w:pPr>
      <w:spacing w:after="40" w:line="240" w:lineRule="auto"/>
    </w:pPr>
    <w:rPr>
      <w:sz w:val="18"/>
    </w:rPr>
  </w:style>
  <w:style w:type="character" w:styleId="885">
    <w:name w:val="footnote reference"/>
    <w:basedOn w:val="846"/>
    <w:uiPriority w:val="99"/>
    <w:unhideWhenUsed/>
    <w:rPr>
      <w:vertAlign w:val="superscript"/>
    </w:rPr>
  </w:style>
  <w:style w:type="character" w:styleId="886" w:customStyle="1">
    <w:name w:val="Текст концевой сноски Знак"/>
    <w:basedOn w:val="846"/>
    <w:link w:val="887"/>
    <w:uiPriority w:val="99"/>
    <w:semiHidden/>
    <w:rPr>
      <w:rFonts w:cs="Calibri"/>
      <w:szCs w:val="22"/>
      <w:lang w:eastAsia="en-US"/>
    </w:rPr>
  </w:style>
  <w:style w:type="paragraph" w:styleId="887">
    <w:name w:val="endnote text"/>
    <w:basedOn w:val="836"/>
    <w:link w:val="886"/>
    <w:uiPriority w:val="99"/>
    <w:semiHidden/>
    <w:unhideWhenUsed/>
    <w:pPr>
      <w:spacing w:after="0" w:line="240" w:lineRule="auto"/>
    </w:pPr>
    <w:rPr>
      <w:sz w:val="20"/>
    </w:rPr>
  </w:style>
  <w:style w:type="paragraph" w:styleId="888">
    <w:name w:val="toc 1"/>
    <w:basedOn w:val="836"/>
    <w:next w:val="836"/>
    <w:uiPriority w:val="39"/>
    <w:unhideWhenUsed/>
    <w:pPr>
      <w:spacing w:after="57"/>
    </w:pPr>
  </w:style>
  <w:style w:type="paragraph" w:styleId="889">
    <w:name w:val="toc 2"/>
    <w:basedOn w:val="836"/>
    <w:next w:val="836"/>
    <w:uiPriority w:val="39"/>
    <w:unhideWhenUsed/>
    <w:pPr>
      <w:ind w:left="283"/>
      <w:spacing w:after="57"/>
    </w:pPr>
  </w:style>
  <w:style w:type="paragraph" w:styleId="890">
    <w:name w:val="toc 3"/>
    <w:basedOn w:val="836"/>
    <w:next w:val="836"/>
    <w:uiPriority w:val="39"/>
    <w:unhideWhenUsed/>
    <w:pPr>
      <w:ind w:left="567"/>
      <w:spacing w:after="57"/>
    </w:pPr>
  </w:style>
  <w:style w:type="paragraph" w:styleId="891">
    <w:name w:val="toc 4"/>
    <w:basedOn w:val="836"/>
    <w:next w:val="836"/>
    <w:uiPriority w:val="39"/>
    <w:unhideWhenUsed/>
    <w:pPr>
      <w:ind w:left="850"/>
      <w:spacing w:after="57"/>
    </w:pPr>
  </w:style>
  <w:style w:type="paragraph" w:styleId="892">
    <w:name w:val="toc 5"/>
    <w:basedOn w:val="836"/>
    <w:next w:val="836"/>
    <w:uiPriority w:val="39"/>
    <w:unhideWhenUsed/>
    <w:pPr>
      <w:ind w:left="1134"/>
      <w:spacing w:after="57"/>
    </w:pPr>
  </w:style>
  <w:style w:type="paragraph" w:styleId="893">
    <w:name w:val="toc 6"/>
    <w:basedOn w:val="836"/>
    <w:next w:val="836"/>
    <w:uiPriority w:val="39"/>
    <w:unhideWhenUsed/>
    <w:pPr>
      <w:ind w:left="1417"/>
      <w:spacing w:after="57"/>
    </w:pPr>
  </w:style>
  <w:style w:type="paragraph" w:styleId="894">
    <w:name w:val="toc 7"/>
    <w:basedOn w:val="836"/>
    <w:next w:val="836"/>
    <w:uiPriority w:val="39"/>
    <w:unhideWhenUsed/>
    <w:pPr>
      <w:ind w:left="1701"/>
      <w:spacing w:after="57"/>
    </w:pPr>
  </w:style>
  <w:style w:type="paragraph" w:styleId="895">
    <w:name w:val="toc 8"/>
    <w:basedOn w:val="836"/>
    <w:next w:val="836"/>
    <w:uiPriority w:val="39"/>
    <w:unhideWhenUsed/>
    <w:pPr>
      <w:ind w:left="1984"/>
      <w:spacing w:after="57"/>
    </w:pPr>
  </w:style>
  <w:style w:type="paragraph" w:styleId="896">
    <w:name w:val="toc 9"/>
    <w:basedOn w:val="836"/>
    <w:next w:val="836"/>
    <w:uiPriority w:val="39"/>
    <w:unhideWhenUsed/>
    <w:pPr>
      <w:ind w:left="2268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836"/>
    <w:next w:val="836"/>
    <w:uiPriority w:val="99"/>
    <w:unhideWhenUsed/>
    <w:pPr>
      <w:spacing w:after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05BFC20C28079CCFB9523E2A3F18AE1D480729EA6CE30E29B237417DF652N0J" TargetMode="External"/><Relationship Id="rId12" Type="http://schemas.openxmlformats.org/officeDocument/2006/relationships/hyperlink" Target="consultantplus://offline/ref=05BFC20C28079CCFB9523E2A3F18AE1D480729E461E20E29B237417DF652N0J" TargetMode="External"/><Relationship Id="rId13" Type="http://schemas.openxmlformats.org/officeDocument/2006/relationships/hyperlink" Target="consultantplus://offline/ref=05BFC20C28079CCFB9523E2A3F18AE1D480729E56FE80E29B237417DF652N0J" TargetMode="External"/><Relationship Id="rId14" Type="http://schemas.openxmlformats.org/officeDocument/2006/relationships/hyperlink" Target="consultantplus://offline/ref=05BFC20C28079CCFB9523E2A3F18AE1D480128EE6FE80E29B237417DF652N0J" TargetMode="External"/><Relationship Id="rId15" Type="http://schemas.openxmlformats.org/officeDocument/2006/relationships/hyperlink" Target="consultantplus://offline/ref=05BFC20C28079CCFB9523E2A3F18AE1D480621E86EEF0E29B237417DF652N0J" TargetMode="External"/><Relationship Id="rId16" Type="http://schemas.openxmlformats.org/officeDocument/2006/relationships/hyperlink" Target="consultantplus://offline/ref=05BFC20C28079CCFB95220272974F0184E087FE16AEC0D77EE681A20A1294D345DNBJ" TargetMode="External"/><Relationship Id="rId17" Type="http://schemas.openxmlformats.org/officeDocument/2006/relationships/hyperlink" Target="file:///C:\Users\tarasov\Desktop\&#1043;&#1080;&#1076;&#1088;&#1072;&#1085;&#1090;&#1099;\!!!!!!!!!!!!!!!!!!!!!!!!!!!!!!!!!!!!!!!!!.RTF" TargetMode="External"/><Relationship Id="rId18" Type="http://schemas.openxmlformats.org/officeDocument/2006/relationships/hyperlink" Target="file:///C:\Users\tarasov\Desktop\&#1043;&#1080;&#1076;&#1088;&#1072;&#1085;&#1090;&#1099;\!!!!!!!!!!!!!!!!!!!!!!!!!!!!!!!!!!!!!!!!!.RTF" TargetMode="External"/><Relationship Id="rId19" Type="http://schemas.openxmlformats.org/officeDocument/2006/relationships/hyperlink" Target="consultantplus://offline/ref=4F326386C0462CC68D3673A784D5DDA647D8F99DCDEDFBBC2885176E6726595C39764806967004724D8A794DFCjBz5G" TargetMode="External"/><Relationship Id="rId20" Type="http://schemas.openxmlformats.org/officeDocument/2006/relationships/hyperlink" Target="consultantplus://offline/ref=05BFC20C28079CCFB9523E2A3F18AE1D480128EE6FE80E29B237417DF652N0J" TargetMode="External"/><Relationship Id="rId21" Type="http://schemas.openxmlformats.org/officeDocument/2006/relationships/hyperlink" Target="consultantplus://offline/ref=4F326386C0462CC68D3673A784D5DDA647D5FB9DC3ECFBBC2885176E6726595C39764806967004724D8A794DFCjBz5G" TargetMode="External"/><Relationship Id="rId22" Type="http://schemas.openxmlformats.org/officeDocument/2006/relationships/hyperlink" Target="consultantplus://offline/ref=4F326386C0462CC68D3673A784D5DDA647D5F090C8E9FBBC2885176E6726595C39764806967004724D8A794DFCjBz5G" TargetMode="External"/><Relationship Id="rId23" Type="http://schemas.openxmlformats.org/officeDocument/2006/relationships/hyperlink" Target="consultantplus://offline/ref=4F326386C0462CC68D3673A784D5DDA647D8F99DCDEDFBBC2885176E6726595C39764806967004724D8A794DFCjBz5G" TargetMode="External"/><Relationship Id="rId24" Type="http://schemas.openxmlformats.org/officeDocument/2006/relationships/hyperlink" Target="consultantplus://offline/ref=05BFC20C28079CCFB9523E2A3F18AE1D480128EE6FE80E29B237417DF652N0J" TargetMode="External"/><Relationship Id="rId25" Type="http://schemas.openxmlformats.org/officeDocument/2006/relationships/hyperlink" Target="consultantplus://offline/ref=4F326386C0462CC68D3673A784D5DDA645DDF190C2EDFBBC2885176E6726595C39764806967004724D8A794DFCjBz5G" TargetMode="External"/><Relationship Id="rId26" Type="http://schemas.openxmlformats.org/officeDocument/2006/relationships/hyperlink" Target="file:///C:\Users\tarasov\Desktop\&#1043;&#1080;&#1076;&#1088;&#1072;&#1085;&#1090;&#1099;\!!!!!!!!!!!!!!!!!!!!!!!!!!!!!!!!!!!!!!!!!.RTF" TargetMode="External"/><Relationship Id="rId27" Type="http://schemas.openxmlformats.org/officeDocument/2006/relationships/hyperlink" Target="consultantplus://offline/ref=4F326386C0462CC68D3673A784D5DDA645DCFF9EC2EFFBBC2885176E6726595C39764806967004724D8A794DFCjBz5G" TargetMode="External"/><Relationship Id="rId28" Type="http://schemas.openxmlformats.org/officeDocument/2006/relationships/hyperlink" Target="consultantplus://offline/ref=4F326386C0462CC68D3673A784D5DDA645DDF190C2EDFBBC2885176E6726595C39764806967004724D8A794DFCjBz5G" TargetMode="External"/><Relationship Id="rId29" Type="http://schemas.openxmlformats.org/officeDocument/2006/relationships/hyperlink" Target="consultantplus://offline/ref=4F326386C0462CC68D3673A784D5DDA645DDF190C2EDFBBC2885176E6726595C39764806967004724D8A794DFCjBz5G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33FBA-3319-499F-B8C2-25045AC75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Кондратьева Ирина Викторовна</dc:creator>
  <cp:revision>4</cp:revision>
  <dcterms:created xsi:type="dcterms:W3CDTF">2026-07-21T11:10:00Z</dcterms:created>
  <dcterms:modified xsi:type="dcterms:W3CDTF">2026-08-11T06:06:31Z</dcterms:modified>
</cp:coreProperties>
</file>