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0"/>
        <w:widowControl w:val="off"/>
        <w:rPr>
          <w:b/>
          <w:sz w:val="28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3015615</wp:posOffset>
                </wp:positionH>
                <wp:positionV relativeFrom="paragraph">
                  <wp:posOffset>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37.45pt;mso-position-horizontal:absolute;mso-position-vertical-relative:text;margin-top:0.0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ind w:firstLine="0"/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ind w:firstLine="0"/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ind w:firstLine="0"/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ind w:firstLine="0"/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ind w:firstLine="0"/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ind w:firstLine="0"/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ind w:firstLine="0"/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firstLine="0"/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ind w:firstLine="0"/>
        <w:jc w:val="center"/>
        <w:widowControl w:val="off"/>
      </w:pPr>
      <w:r/>
      <w:r/>
    </w:p>
    <w:p>
      <w:pPr>
        <w:ind w:firstLine="0"/>
        <w:jc w:val="center"/>
        <w:widowControl w:val="off"/>
      </w:pPr>
      <w:r/>
      <w:r/>
    </w:p>
    <w:p>
      <w:pPr>
        <w:ind w:firstLine="0"/>
        <w:widowControl w:val="off"/>
        <w:rPr>
          <w:b/>
        </w:rPr>
      </w:pPr>
      <w:r>
        <w:rPr>
          <w:b/>
        </w:rPr>
        <w:t xml:space="preserve">от 12.08.2026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       </w:t>
      </w:r>
      <w:r>
        <w:rPr>
          <w:b/>
        </w:rPr>
        <w:t xml:space="preserve">  № 1572</w:t>
      </w:r>
      <w:r>
        <w:rPr>
          <w:b/>
        </w:rPr>
      </w:r>
      <w:r>
        <w:rPr>
          <w:b/>
        </w:rPr>
      </w:r>
    </w:p>
    <w:p>
      <w:pPr>
        <w:ind w:firstLine="0"/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ind w:left="284" w:firstLine="283"/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0"/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0"/>
        <w:jc w:val="center"/>
        <w:rPr>
          <w:b/>
          <w:bCs/>
          <w:iCs/>
          <w:color w:val="ff0000"/>
          <w:sz w:val="20"/>
          <w:szCs w:val="20"/>
        </w:rPr>
        <w:outlineLvl w:val="0"/>
      </w:pPr>
      <w:r>
        <w:rPr>
          <w:b/>
          <w:bCs/>
          <w:iCs/>
          <w:sz w:val="20"/>
          <w:szCs w:val="20"/>
        </w:rPr>
        <w:t xml:space="preserve">О внесении изменений в Перечень муниципальных услуг (государственных услуг по переданным полномочиям) предоставляемых администрацией Печенгского муниципального округа, а также подведомственными ей учреждениями, утвержденный постановлением администрации Печ</w:t>
      </w:r>
      <w:r>
        <w:rPr>
          <w:b/>
          <w:bCs/>
          <w:iCs/>
          <w:sz w:val="20"/>
          <w:szCs w:val="20"/>
        </w:rPr>
        <w:t xml:space="preserve">енгского муниципального округа от 21.08.2025 № 1371</w:t>
      </w:r>
      <w:r>
        <w:rPr>
          <w:b/>
          <w:bCs/>
          <w:iCs/>
          <w:color w:val="ff0000"/>
          <w:sz w:val="20"/>
          <w:szCs w:val="20"/>
        </w:rPr>
      </w:r>
      <w:r>
        <w:rPr>
          <w:b/>
          <w:bCs/>
          <w:iCs/>
          <w:color w:val="ff0000"/>
          <w:sz w:val="20"/>
          <w:szCs w:val="20"/>
        </w:rPr>
      </w:r>
    </w:p>
    <w:p>
      <w:pPr>
        <w:ind w:left="284" w:firstLine="283"/>
        <w:jc w:val="left"/>
        <w:tabs>
          <w:tab w:val="left" w:pos="3750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left="0" w:firstLine="709"/>
        <w:jc w:val="left"/>
        <w:tabs>
          <w:tab w:val="left" w:pos="3750" w:leader="none"/>
        </w:tabs>
        <w:rPr>
          <w:b/>
          <w:bCs/>
          <w:iCs/>
          <w:sz w:val="20"/>
          <w:szCs w:val="20"/>
        </w:rPr>
        <w:suppressLineNumbers w:val="0"/>
      </w:pP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ind w:left="0" w:firstLine="709"/>
        <w:suppressLineNumbers w:val="0"/>
      </w:pPr>
      <w:r>
        <w:t xml:space="preserve">В связи с актуализацией правового акта,</w:t>
      </w:r>
      <w:r/>
    </w:p>
    <w:p>
      <w:pPr>
        <w:ind w:left="284" w:firstLine="283"/>
      </w:pPr>
      <w:r/>
      <w:r/>
    </w:p>
    <w:p>
      <w:pPr>
        <w:ind w:firstLine="0"/>
        <w:jc w:val="left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ind w:left="284" w:firstLine="283"/>
      </w:pPr>
      <w:r/>
      <w:r/>
    </w:p>
    <w:p>
      <w:pPr>
        <w:ind w:firstLine="709"/>
        <w:suppressLineNumbers w:val="0"/>
      </w:pPr>
      <w:r>
        <w:t xml:space="preserve">1. Дополнить </w:t>
      </w:r>
      <w:r>
        <w:rPr>
          <w:bCs/>
          <w:iCs/>
        </w:rPr>
        <w:t xml:space="preserve">Перечень муниципальных услуг (государственных услуг по переданным полномочиям) предоставляемых администрацией Печенгского</w:t>
      </w:r>
      <w:r>
        <w:rPr>
          <w:bCs/>
          <w:iCs/>
        </w:rPr>
        <w:t xml:space="preserve"> муниципального округа, а также подведомственными ей учреждениями, утвержденный постановлением администрации Печенгского муниципального округа от 21.08.2025 № 1371</w:t>
      </w:r>
      <w:r>
        <w:t xml:space="preserve"> пунктами 64, 65:</w:t>
      </w:r>
      <w:r/>
    </w:p>
    <w:p>
      <w:pPr>
        <w:ind w:firstLine="425"/>
      </w:pPr>
      <w:r/>
      <w:r/>
    </w:p>
    <w:tbl>
      <w:tblPr>
        <w:tblW w:w="4915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4"/>
        <w:gridCol w:w="5232"/>
        <w:gridCol w:w="1805"/>
        <w:gridCol w:w="1834"/>
      </w:tblGrid>
      <w:tr>
        <w:tblPrEx/>
        <w:trPr/>
        <w:tc>
          <w:tcPr>
            <w:shd w:val="clear" w:color="auto" w:fill="auto"/>
            <w:tcW w:w="954" w:type="dxa"/>
            <w:textDirection w:val="lrTb"/>
            <w:noWrap w:val="false"/>
          </w:tcPr>
          <w:p>
            <w:pPr>
              <w:ind w:firstLine="0"/>
              <w:widowControl w:val="off"/>
              <w:tabs>
                <w:tab w:val="left" w:pos="175" w:leader="none"/>
              </w:tabs>
            </w:pPr>
            <w:r/>
            <w:r/>
          </w:p>
          <w:p>
            <w:pPr>
              <w:ind w:firstLine="0"/>
              <w:widowControl w:val="off"/>
              <w:tabs>
                <w:tab w:val="left" w:pos="175" w:leader="none"/>
              </w:tabs>
            </w:pPr>
            <w:r>
              <w:t xml:space="preserve">«64</w:t>
            </w:r>
            <w:r/>
          </w:p>
        </w:tc>
        <w:tc>
          <w:tcPr>
            <w:shd w:val="clear" w:color="auto" w:fill="auto"/>
            <w:tcW w:w="5232" w:type="dxa"/>
            <w:textDirection w:val="lrTb"/>
            <w:noWrap w:val="false"/>
          </w:tcPr>
          <w:p>
            <w:pPr>
              <w:ind w:firstLine="0"/>
              <w:widowControl w:val="off"/>
            </w:pPr>
            <w:r>
              <w:t xml:space="preserve">Изменение, приведение в соответствие вида разрешенного использования </w:t>
            </w:r>
            <w:r>
              <w:t xml:space="preserve">земельного участка</w:t>
            </w:r>
            <w:r>
              <w:rPr>
                <w:bCs/>
              </w:rPr>
              <w:t xml:space="preserve"> </w:t>
            </w:r>
            <w:r>
              <w:t xml:space="preserve">на территории Печенгского муниципального округа</w:t>
            </w:r>
            <w:r/>
          </w:p>
        </w:tc>
        <w:tc>
          <w:tcPr>
            <w:tcW w:w="1805" w:type="dxa"/>
            <w:textDirection w:val="lrTb"/>
            <w:noWrap w:val="false"/>
          </w:tcPr>
          <w:p>
            <w:pPr>
              <w:ind w:firstLine="0"/>
              <w:widowControl w:val="off"/>
            </w:pPr>
            <w:r>
              <w:t xml:space="preserve">Комитет по управлению имуществом</w:t>
            </w:r>
            <w:r/>
          </w:p>
        </w:tc>
        <w:tc>
          <w:tcPr>
            <w:tcW w:w="1834" w:type="dxa"/>
            <w:textDirection w:val="lrTb"/>
            <w:noWrap w:val="false"/>
          </w:tcPr>
          <w:p>
            <w:pPr>
              <w:ind w:firstLine="0"/>
              <w:widowControl w:val="off"/>
            </w:pPr>
            <w:r>
              <w:t xml:space="preserve">Услуга предоставляется в электронном виде</w:t>
            </w:r>
            <w:r/>
          </w:p>
        </w:tc>
      </w:tr>
      <w:tr>
        <w:tblPrEx/>
        <w:trPr/>
        <w:tc>
          <w:tcPr>
            <w:shd w:val="clear" w:color="auto" w:fill="auto"/>
            <w:tcW w:w="954" w:type="dxa"/>
            <w:textDirection w:val="lrTb"/>
            <w:noWrap w:val="false"/>
          </w:tcPr>
          <w:p>
            <w:pPr>
              <w:ind w:firstLine="0"/>
              <w:widowControl w:val="off"/>
            </w:pPr>
            <w:r>
              <w:t xml:space="preserve">65</w:t>
            </w:r>
            <w:r/>
          </w:p>
        </w:tc>
        <w:tc>
          <w:tcPr>
            <w:shd w:val="clear" w:color="auto" w:fill="auto"/>
            <w:tcW w:w="5232" w:type="dxa"/>
            <w:textDirection w:val="lrTb"/>
            <w:noWrap w:val="false"/>
          </w:tcPr>
          <w:p>
            <w:pPr>
              <w:ind w:firstLine="0"/>
              <w:widowControl w:val="off"/>
            </w:pPr>
            <w:r>
              <w:t xml:space="preserve">По даче письменных разъяснений налогоплательщикам по вопросам применения муниципальных нормативных правовых ак</w:t>
            </w:r>
            <w:r>
              <w:t xml:space="preserve">тов о местных налогах и сборах</w:t>
            </w:r>
            <w:r/>
          </w:p>
        </w:tc>
        <w:tc>
          <w:tcPr>
            <w:tcW w:w="1805" w:type="dxa"/>
            <w:textDirection w:val="lrTb"/>
            <w:noWrap w:val="false"/>
          </w:tcPr>
          <w:p>
            <w:pPr>
              <w:ind w:firstLine="0"/>
              <w:widowControl w:val="off"/>
            </w:pPr>
            <w:r>
              <w:t xml:space="preserve">Финансовое управление»</w:t>
            </w:r>
            <w:r/>
          </w:p>
        </w:tc>
        <w:tc>
          <w:tcPr>
            <w:tcW w:w="1834" w:type="dxa"/>
            <w:textDirection w:val="lrTb"/>
            <w:noWrap w:val="false"/>
          </w:tcPr>
          <w:p>
            <w:pPr>
              <w:ind w:firstLine="0"/>
              <w:widowControl w:val="off"/>
            </w:pPr>
            <w:r/>
            <w:r/>
          </w:p>
        </w:tc>
      </w:tr>
    </w:tbl>
    <w:p>
      <w:pPr>
        <w:ind w:left="284" w:firstLine="283"/>
        <w:spacing w:line="276" w:lineRule="auto"/>
      </w:pPr>
      <w:r/>
      <w:r/>
    </w:p>
    <w:p>
      <w:pPr>
        <w:rPr>
          <w:color w:val="000000" w:themeColor="text1"/>
        </w:rPr>
      </w:pPr>
      <w:r>
        <w:t xml:space="preserve">2. Отделу информационных технологий МКУ «Управление по обеспечению деятельности администрации Печенгского округа» </w:t>
      </w:r>
      <w:r>
        <w:t xml:space="preserve">разместить изменения</w:t>
      </w:r>
      <w:r>
        <w:t xml:space="preserve"> в </w:t>
      </w:r>
      <w:r>
        <w:rPr>
          <w:bCs/>
          <w:iCs/>
        </w:rPr>
        <w:t xml:space="preserve">Перечень муниципальных услуг (государственных услуг по переданным полномочиям) предоставляемых администрацией Печенгского муниципального округа, а также подведомственными ей </w:t>
      </w:r>
      <w:r>
        <w:rPr>
          <w:bCs/>
          <w:iCs/>
          <w:color w:val="000000" w:themeColor="text1"/>
        </w:rPr>
        <w:t xml:space="preserve">учреждениями</w:t>
      </w:r>
      <w:r>
        <w:rPr>
          <w:color w:val="000000" w:themeColor="text1"/>
        </w:rPr>
        <w:t xml:space="preserve"> на официальном сайте Печенгского муниципального</w:t>
      </w:r>
      <w:r>
        <w:rPr>
          <w:rFonts w:eastAsiaTheme="minorHAnsi"/>
          <w:color w:val="000000" w:themeColor="text1"/>
        </w:rPr>
        <w:t xml:space="preserve"> округа </w:t>
      </w:r>
      <w:hyperlink r:id="rId10" w:tooltip="https://pechengamr.gov-murman.ru/" w:history="1">
        <w:r>
          <w:rPr>
            <w:rStyle w:val="855"/>
            <w:rFonts w:eastAsiaTheme="minorHAnsi"/>
            <w:color w:val="000000" w:themeColor="text1"/>
          </w:rPr>
          <w:t xml:space="preserve">https://pechengamr.gov-murman.ru/</w:t>
        </w:r>
      </w:hyperlink>
      <w:r>
        <w:rPr>
          <w:rFonts w:eastAsiaTheme="minorHAnsi"/>
          <w:color w:val="000000" w:themeColor="text1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rPr>
          <w:bCs/>
          <w:iCs/>
        </w:rPr>
        <w:outlineLvl w:val="0"/>
      </w:pPr>
      <w:r>
        <w:rPr>
          <w:bCs/>
          <w:iCs/>
          <w:color w:val="000000" w:themeColor="text1"/>
        </w:rPr>
        <w:t xml:space="preserve">3. </w:t>
      </w:r>
      <w:r>
        <w:rPr>
          <w:color w:val="000000" w:themeColor="text1"/>
        </w:rPr>
        <w:t xml:space="preserve">Настоящее постановление вступает в </w:t>
      </w:r>
      <w:r>
        <w:t xml:space="preserve">силу со дня подписания. </w:t>
      </w:r>
      <w:r>
        <w:rPr>
          <w:bCs/>
          <w:iCs/>
        </w:rPr>
      </w:r>
      <w:r>
        <w:rPr>
          <w:bCs/>
          <w:iCs/>
        </w:rPr>
      </w:r>
    </w:p>
    <w:p>
      <w:pPr>
        <w:ind w:left="284" w:firstLine="283"/>
      </w:pPr>
      <w:r/>
      <w:r/>
    </w:p>
    <w:p>
      <w:pPr>
        <w:ind w:left="284" w:firstLine="283"/>
      </w:pPr>
      <w:r/>
      <w:r/>
    </w:p>
    <w:p>
      <w:pPr>
        <w:ind w:firstLine="0"/>
        <w:widowControl w:val="off"/>
      </w:pPr>
      <w:r>
        <w:t xml:space="preserve">Глава Печенгского муниципального округа     </w:t>
      </w:r>
      <w:r>
        <w:tab/>
        <w:t xml:space="preserve">                                    </w:t>
      </w:r>
      <w:r>
        <w:t xml:space="preserve">                  </w:t>
      </w:r>
      <w:bookmarkStart w:id="0" w:name="_GoBack"/>
      <w:r/>
      <w:bookmarkEnd w:id="0"/>
      <w:r>
        <w:t xml:space="preserve"> А.С. </w:t>
      </w:r>
      <w:r>
        <w:t xml:space="preserve">Пеньшин</w:t>
      </w:r>
      <w:r/>
    </w:p>
    <w:p>
      <w:pPr>
        <w:ind w:left="284" w:firstLine="283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0"/>
        <w:jc w:val="left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0"/>
        <w:jc w:val="left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0"/>
        <w:jc w:val="left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Сосина Т.М., 50305, </w:t>
      </w:r>
      <w:r>
        <w:rPr>
          <w:sz w:val="20"/>
          <w:szCs w:val="20"/>
        </w:rPr>
        <w:t xml:space="preserve">ЮрО</w:t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851" w:right="851" w:bottom="538" w:left="1276" w:header="283" w:footer="34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50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8">
    <w:name w:val="Heading 1 Char"/>
    <w:basedOn w:val="685"/>
    <w:link w:val="676"/>
    <w:uiPriority w:val="9"/>
    <w:rPr>
      <w:rFonts w:ascii="Arial" w:hAnsi="Arial" w:eastAsia="Arial" w:cs="Arial"/>
      <w:sz w:val="40"/>
      <w:szCs w:val="40"/>
    </w:rPr>
  </w:style>
  <w:style w:type="character" w:styleId="659">
    <w:name w:val="Heading 2 Char"/>
    <w:basedOn w:val="685"/>
    <w:link w:val="677"/>
    <w:uiPriority w:val="9"/>
    <w:rPr>
      <w:rFonts w:ascii="Arial" w:hAnsi="Arial" w:eastAsia="Arial" w:cs="Arial"/>
      <w:sz w:val="34"/>
    </w:rPr>
  </w:style>
  <w:style w:type="character" w:styleId="660">
    <w:name w:val="Heading 3 Char"/>
    <w:basedOn w:val="685"/>
    <w:link w:val="678"/>
    <w:uiPriority w:val="9"/>
    <w:rPr>
      <w:rFonts w:ascii="Arial" w:hAnsi="Arial" w:eastAsia="Arial" w:cs="Arial"/>
      <w:sz w:val="30"/>
      <w:szCs w:val="30"/>
    </w:rPr>
  </w:style>
  <w:style w:type="character" w:styleId="661">
    <w:name w:val="Heading 4 Char"/>
    <w:basedOn w:val="685"/>
    <w:link w:val="679"/>
    <w:uiPriority w:val="9"/>
    <w:rPr>
      <w:rFonts w:ascii="Arial" w:hAnsi="Arial" w:eastAsia="Arial" w:cs="Arial"/>
      <w:b/>
      <w:bCs/>
      <w:sz w:val="26"/>
      <w:szCs w:val="26"/>
    </w:rPr>
  </w:style>
  <w:style w:type="character" w:styleId="662">
    <w:name w:val="Heading 5 Char"/>
    <w:basedOn w:val="685"/>
    <w:link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63">
    <w:name w:val="Heading 6 Char"/>
    <w:basedOn w:val="685"/>
    <w:link w:val="681"/>
    <w:uiPriority w:val="9"/>
    <w:rPr>
      <w:rFonts w:ascii="Arial" w:hAnsi="Arial" w:eastAsia="Arial" w:cs="Arial"/>
      <w:b/>
      <w:bCs/>
      <w:sz w:val="22"/>
      <w:szCs w:val="22"/>
    </w:rPr>
  </w:style>
  <w:style w:type="character" w:styleId="664">
    <w:name w:val="Heading 7 Char"/>
    <w:basedOn w:val="685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5">
    <w:name w:val="Heading 8 Char"/>
    <w:basedOn w:val="685"/>
    <w:link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66">
    <w:name w:val="Heading 9 Char"/>
    <w:basedOn w:val="685"/>
    <w:link w:val="684"/>
    <w:uiPriority w:val="9"/>
    <w:rPr>
      <w:rFonts w:ascii="Arial" w:hAnsi="Arial" w:eastAsia="Arial" w:cs="Arial"/>
      <w:i/>
      <w:iCs/>
      <w:sz w:val="21"/>
      <w:szCs w:val="21"/>
    </w:rPr>
  </w:style>
  <w:style w:type="character" w:styleId="667">
    <w:name w:val="Title Char"/>
    <w:basedOn w:val="685"/>
    <w:link w:val="698"/>
    <w:uiPriority w:val="10"/>
    <w:rPr>
      <w:sz w:val="48"/>
      <w:szCs w:val="48"/>
    </w:rPr>
  </w:style>
  <w:style w:type="character" w:styleId="668">
    <w:name w:val="Subtitle Char"/>
    <w:basedOn w:val="685"/>
    <w:link w:val="700"/>
    <w:uiPriority w:val="11"/>
    <w:rPr>
      <w:sz w:val="24"/>
      <w:szCs w:val="24"/>
    </w:rPr>
  </w:style>
  <w:style w:type="character" w:styleId="669">
    <w:name w:val="Quote Char"/>
    <w:link w:val="702"/>
    <w:uiPriority w:val="29"/>
    <w:rPr>
      <w:i/>
    </w:rPr>
  </w:style>
  <w:style w:type="character" w:styleId="670">
    <w:name w:val="Intense Quote Char"/>
    <w:link w:val="704"/>
    <w:uiPriority w:val="30"/>
    <w:rPr>
      <w:i/>
    </w:rPr>
  </w:style>
  <w:style w:type="character" w:styleId="671">
    <w:name w:val="Header Char"/>
    <w:basedOn w:val="685"/>
    <w:link w:val="706"/>
    <w:uiPriority w:val="99"/>
  </w:style>
  <w:style w:type="character" w:styleId="672">
    <w:name w:val="Caption Char"/>
    <w:basedOn w:val="710"/>
    <w:link w:val="708"/>
    <w:uiPriority w:val="99"/>
  </w:style>
  <w:style w:type="character" w:styleId="673">
    <w:name w:val="Footnote Text Char"/>
    <w:link w:val="838"/>
    <w:uiPriority w:val="99"/>
    <w:rPr>
      <w:sz w:val="18"/>
    </w:rPr>
  </w:style>
  <w:style w:type="character" w:styleId="674">
    <w:name w:val="Endnote Text Char"/>
    <w:link w:val="841"/>
    <w:uiPriority w:val="99"/>
    <w:rPr>
      <w:sz w:val="20"/>
    </w:rPr>
  </w:style>
  <w:style w:type="paragraph" w:styleId="675" w:default="1">
    <w:name w:val="Normal"/>
    <w:qFormat/>
    <w:pPr>
      <w:ind w:firstLine="709"/>
      <w:jc w:val="both"/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676">
    <w:name w:val="Heading 1"/>
    <w:basedOn w:val="675"/>
    <w:next w:val="675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7">
    <w:name w:val="Heading 2"/>
    <w:basedOn w:val="675"/>
    <w:next w:val="675"/>
    <w:link w:val="68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8">
    <w:name w:val="Heading 3"/>
    <w:basedOn w:val="675"/>
    <w:next w:val="675"/>
    <w:link w:val="69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9">
    <w:name w:val="Heading 4"/>
    <w:basedOn w:val="675"/>
    <w:next w:val="675"/>
    <w:link w:val="69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0">
    <w:name w:val="Heading 5"/>
    <w:basedOn w:val="675"/>
    <w:next w:val="675"/>
    <w:link w:val="69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81">
    <w:name w:val="Heading 6"/>
    <w:basedOn w:val="675"/>
    <w:next w:val="675"/>
    <w:link w:val="69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2">
    <w:name w:val="Heading 7"/>
    <w:basedOn w:val="675"/>
    <w:next w:val="675"/>
    <w:link w:val="69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3">
    <w:name w:val="Heading 8"/>
    <w:basedOn w:val="675"/>
    <w:next w:val="675"/>
    <w:link w:val="69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4">
    <w:name w:val="Heading 9"/>
    <w:basedOn w:val="675"/>
    <w:next w:val="675"/>
    <w:link w:val="69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5" w:default="1">
    <w:name w:val="Default Paragraph Font"/>
    <w:uiPriority w:val="1"/>
    <w:semiHidden/>
    <w:unhideWhenUsed/>
  </w:style>
  <w:style w:type="table" w:styleId="68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7" w:default="1">
    <w:name w:val="No List"/>
    <w:uiPriority w:val="99"/>
    <w:semiHidden/>
    <w:unhideWhenUsed/>
  </w:style>
  <w:style w:type="character" w:styleId="688" w:customStyle="1">
    <w:name w:val="Заголовок 1 Знак"/>
    <w:basedOn w:val="685"/>
    <w:link w:val="676"/>
    <w:uiPriority w:val="9"/>
    <w:rPr>
      <w:rFonts w:ascii="Arial" w:hAnsi="Arial" w:eastAsia="Arial" w:cs="Arial"/>
      <w:sz w:val="40"/>
      <w:szCs w:val="40"/>
    </w:rPr>
  </w:style>
  <w:style w:type="character" w:styleId="689" w:customStyle="1">
    <w:name w:val="Заголовок 2 Знак"/>
    <w:basedOn w:val="685"/>
    <w:link w:val="677"/>
    <w:uiPriority w:val="9"/>
    <w:rPr>
      <w:rFonts w:ascii="Arial" w:hAnsi="Arial" w:eastAsia="Arial" w:cs="Arial"/>
      <w:sz w:val="34"/>
    </w:rPr>
  </w:style>
  <w:style w:type="character" w:styleId="690" w:customStyle="1">
    <w:name w:val="Заголовок 3 Знак"/>
    <w:basedOn w:val="685"/>
    <w:link w:val="678"/>
    <w:uiPriority w:val="9"/>
    <w:rPr>
      <w:rFonts w:ascii="Arial" w:hAnsi="Arial" w:eastAsia="Arial" w:cs="Arial"/>
      <w:sz w:val="30"/>
      <w:szCs w:val="30"/>
    </w:rPr>
  </w:style>
  <w:style w:type="character" w:styleId="691" w:customStyle="1">
    <w:name w:val="Заголовок 4 Знак"/>
    <w:basedOn w:val="685"/>
    <w:link w:val="679"/>
    <w:uiPriority w:val="9"/>
    <w:rPr>
      <w:rFonts w:ascii="Arial" w:hAnsi="Arial" w:eastAsia="Arial" w:cs="Arial"/>
      <w:b/>
      <w:bCs/>
      <w:sz w:val="26"/>
      <w:szCs w:val="26"/>
    </w:rPr>
  </w:style>
  <w:style w:type="character" w:styleId="692" w:customStyle="1">
    <w:name w:val="Заголовок 5 Знак"/>
    <w:basedOn w:val="685"/>
    <w:link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93" w:customStyle="1">
    <w:name w:val="Заголовок 6 Знак"/>
    <w:basedOn w:val="685"/>
    <w:link w:val="681"/>
    <w:uiPriority w:val="9"/>
    <w:rPr>
      <w:rFonts w:ascii="Arial" w:hAnsi="Arial" w:eastAsia="Arial" w:cs="Arial"/>
      <w:b/>
      <w:bCs/>
      <w:sz w:val="22"/>
      <w:szCs w:val="22"/>
    </w:rPr>
  </w:style>
  <w:style w:type="character" w:styleId="694" w:customStyle="1">
    <w:name w:val="Заголовок 7 Знак"/>
    <w:basedOn w:val="685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5" w:customStyle="1">
    <w:name w:val="Заголовок 8 Знак"/>
    <w:basedOn w:val="685"/>
    <w:link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96" w:customStyle="1">
    <w:name w:val="Заголовок 9 Знак"/>
    <w:basedOn w:val="685"/>
    <w:link w:val="684"/>
    <w:uiPriority w:val="9"/>
    <w:rPr>
      <w:rFonts w:ascii="Arial" w:hAnsi="Arial" w:eastAsia="Arial" w:cs="Arial"/>
      <w:i/>
      <w:iCs/>
      <w:sz w:val="21"/>
      <w:szCs w:val="21"/>
    </w:rPr>
  </w:style>
  <w:style w:type="paragraph" w:styleId="697">
    <w:name w:val="No Spacing"/>
    <w:uiPriority w:val="1"/>
    <w:qFormat/>
    <w:pPr>
      <w:spacing w:after="0" w:line="240" w:lineRule="auto"/>
    </w:pPr>
  </w:style>
  <w:style w:type="paragraph" w:styleId="698">
    <w:name w:val="Title"/>
    <w:basedOn w:val="675"/>
    <w:next w:val="675"/>
    <w:link w:val="69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9" w:customStyle="1">
    <w:name w:val="Название Знак"/>
    <w:basedOn w:val="685"/>
    <w:link w:val="698"/>
    <w:uiPriority w:val="10"/>
    <w:rPr>
      <w:sz w:val="48"/>
      <w:szCs w:val="48"/>
    </w:rPr>
  </w:style>
  <w:style w:type="paragraph" w:styleId="700">
    <w:name w:val="Subtitle"/>
    <w:basedOn w:val="675"/>
    <w:next w:val="675"/>
    <w:link w:val="701"/>
    <w:uiPriority w:val="11"/>
    <w:qFormat/>
    <w:pPr>
      <w:spacing w:before="200" w:after="200"/>
    </w:pPr>
  </w:style>
  <w:style w:type="character" w:styleId="701" w:customStyle="1">
    <w:name w:val="Подзаголовок Знак"/>
    <w:basedOn w:val="685"/>
    <w:link w:val="700"/>
    <w:uiPriority w:val="11"/>
    <w:rPr>
      <w:sz w:val="24"/>
      <w:szCs w:val="24"/>
    </w:rPr>
  </w:style>
  <w:style w:type="paragraph" w:styleId="702">
    <w:name w:val="Quote"/>
    <w:basedOn w:val="675"/>
    <w:next w:val="675"/>
    <w:link w:val="703"/>
    <w:uiPriority w:val="29"/>
    <w:qFormat/>
    <w:pPr>
      <w:ind w:left="720" w:right="720"/>
    </w:pPr>
    <w:rPr>
      <w:i/>
    </w:rPr>
  </w:style>
  <w:style w:type="character" w:styleId="703" w:customStyle="1">
    <w:name w:val="Цитата 2 Знак"/>
    <w:link w:val="702"/>
    <w:uiPriority w:val="29"/>
    <w:rPr>
      <w:i/>
    </w:rPr>
  </w:style>
  <w:style w:type="paragraph" w:styleId="704">
    <w:name w:val="Intense Quote"/>
    <w:basedOn w:val="675"/>
    <w:next w:val="675"/>
    <w:link w:val="70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5" w:customStyle="1">
    <w:name w:val="Выделенная цитата Знак"/>
    <w:link w:val="704"/>
    <w:uiPriority w:val="30"/>
    <w:rPr>
      <w:i/>
    </w:rPr>
  </w:style>
  <w:style w:type="paragraph" w:styleId="706">
    <w:name w:val="Header"/>
    <w:basedOn w:val="675"/>
    <w:link w:val="70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7" w:customStyle="1">
    <w:name w:val="Верхний колонтитул Знак"/>
    <w:basedOn w:val="685"/>
    <w:link w:val="706"/>
    <w:uiPriority w:val="99"/>
  </w:style>
  <w:style w:type="paragraph" w:styleId="708">
    <w:name w:val="Footer"/>
    <w:basedOn w:val="675"/>
    <w:link w:val="71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9" w:customStyle="1">
    <w:name w:val="Footer Char"/>
    <w:basedOn w:val="685"/>
    <w:uiPriority w:val="99"/>
  </w:style>
  <w:style w:type="paragraph" w:styleId="710">
    <w:name w:val="Caption"/>
    <w:basedOn w:val="675"/>
    <w:next w:val="67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1" w:customStyle="1">
    <w:name w:val="Нижний колонтитул Знак"/>
    <w:link w:val="708"/>
    <w:uiPriority w:val="99"/>
  </w:style>
  <w:style w:type="table" w:styleId="712">
    <w:name w:val="Table Grid"/>
    <w:basedOn w:val="68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3" w:customStyle="1">
    <w:name w:val="Table Grid Light"/>
    <w:basedOn w:val="68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4" w:customStyle="1">
    <w:name w:val="Plain Table 1"/>
    <w:basedOn w:val="68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 w:customStyle="1">
    <w:name w:val="Plain Table 2"/>
    <w:basedOn w:val="68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 w:customStyle="1">
    <w:name w:val="Plain Table 3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7" w:customStyle="1">
    <w:name w:val="Plain Table 4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Plain Table 5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1 Light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4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 w:customStyle="1">
    <w:name w:val="Grid Table 4 - Accent 1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2" w:customStyle="1">
    <w:name w:val="Grid Table 4 - Accent 2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3" w:customStyle="1">
    <w:name w:val="Grid Table 4 - Accent 3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4" w:customStyle="1">
    <w:name w:val="Grid Table 4 - Accent 4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5" w:customStyle="1">
    <w:name w:val="Grid Table 4 - Accent 5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6" w:customStyle="1">
    <w:name w:val="Grid Table 4 - Accent 6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7" w:customStyle="1">
    <w:name w:val="Grid Table 5 Dark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6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5" w:customStyle="1">
    <w:name w:val="Grid Table 6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6" w:customStyle="1">
    <w:name w:val="Grid Table 6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7" w:customStyle="1">
    <w:name w:val="Grid Table 6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8" w:customStyle="1">
    <w:name w:val="Grid Table 6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9" w:customStyle="1">
    <w:name w:val="Grid Table 6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0" w:customStyle="1">
    <w:name w:val="Grid Table 6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1" w:customStyle="1">
    <w:name w:val="Grid Table 7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List Table 1 Light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1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2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3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4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5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6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2" w:customStyle="1">
    <w:name w:val="List Table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5 Dark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6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4" w:customStyle="1">
    <w:name w:val="List Table 6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5" w:customStyle="1">
    <w:name w:val="List Table 6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6" w:customStyle="1">
    <w:name w:val="List Table 6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7" w:customStyle="1">
    <w:name w:val="List Table 6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8" w:customStyle="1">
    <w:name w:val="List Table 6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9" w:customStyle="1">
    <w:name w:val="List Table 6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0" w:customStyle="1">
    <w:name w:val="List Table 7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ned - Accent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8" w:customStyle="1">
    <w:name w:val="Lined - Accent 1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9" w:customStyle="1">
    <w:name w:val="Lined - Accent 2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0" w:customStyle="1">
    <w:name w:val="Lined - Accent 3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1" w:customStyle="1">
    <w:name w:val="Lined - Accent 4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2" w:customStyle="1">
    <w:name w:val="Lined - Accent 5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3" w:customStyle="1">
    <w:name w:val="Lined - Accent 6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4" w:customStyle="1">
    <w:name w:val="Bordered &amp; Lined - Accent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Bordered &amp; Lined - Accent 1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Bordered &amp; Lined - Accent 2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Bordered &amp; Lined - Accent 3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Bordered &amp; Lined - Accent 4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Bordered &amp; Lined - Accent 5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Bordered &amp; Lined - Accent 6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2" w:customStyle="1">
    <w:name w:val="Bordered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3" w:customStyle="1">
    <w:name w:val="Bordered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4" w:customStyle="1">
    <w:name w:val="Bordered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5" w:customStyle="1">
    <w:name w:val="Bordered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6" w:customStyle="1">
    <w:name w:val="Bordered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7" w:customStyle="1">
    <w:name w:val="Bordered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8">
    <w:name w:val="footnote text"/>
    <w:basedOn w:val="675"/>
    <w:link w:val="839"/>
    <w:uiPriority w:val="99"/>
    <w:semiHidden/>
    <w:unhideWhenUsed/>
    <w:pPr>
      <w:spacing w:after="40"/>
    </w:pPr>
    <w:rPr>
      <w:sz w:val="18"/>
    </w:rPr>
  </w:style>
  <w:style w:type="character" w:styleId="839" w:customStyle="1">
    <w:name w:val="Текст сноски Знак"/>
    <w:link w:val="838"/>
    <w:uiPriority w:val="99"/>
    <w:rPr>
      <w:sz w:val="18"/>
    </w:rPr>
  </w:style>
  <w:style w:type="character" w:styleId="840">
    <w:name w:val="footnote reference"/>
    <w:basedOn w:val="685"/>
    <w:uiPriority w:val="99"/>
    <w:unhideWhenUsed/>
    <w:rPr>
      <w:vertAlign w:val="superscript"/>
    </w:rPr>
  </w:style>
  <w:style w:type="paragraph" w:styleId="841">
    <w:name w:val="endnote text"/>
    <w:basedOn w:val="675"/>
    <w:link w:val="842"/>
    <w:uiPriority w:val="99"/>
    <w:semiHidden/>
    <w:unhideWhenUsed/>
    <w:rPr>
      <w:sz w:val="20"/>
    </w:rPr>
  </w:style>
  <w:style w:type="character" w:styleId="842" w:customStyle="1">
    <w:name w:val="Текст концевой сноски Знак"/>
    <w:link w:val="841"/>
    <w:uiPriority w:val="99"/>
    <w:rPr>
      <w:sz w:val="20"/>
    </w:rPr>
  </w:style>
  <w:style w:type="character" w:styleId="843">
    <w:name w:val="endnote reference"/>
    <w:basedOn w:val="685"/>
    <w:uiPriority w:val="99"/>
    <w:semiHidden/>
    <w:unhideWhenUsed/>
    <w:rPr>
      <w:vertAlign w:val="superscript"/>
    </w:rPr>
  </w:style>
  <w:style w:type="paragraph" w:styleId="844">
    <w:name w:val="toc 1"/>
    <w:basedOn w:val="675"/>
    <w:next w:val="675"/>
    <w:uiPriority w:val="39"/>
    <w:unhideWhenUsed/>
    <w:pPr>
      <w:ind w:firstLine="0"/>
      <w:spacing w:after="57"/>
    </w:pPr>
  </w:style>
  <w:style w:type="paragraph" w:styleId="845">
    <w:name w:val="toc 2"/>
    <w:basedOn w:val="675"/>
    <w:next w:val="675"/>
    <w:uiPriority w:val="39"/>
    <w:unhideWhenUsed/>
    <w:pPr>
      <w:ind w:left="283" w:firstLine="0"/>
      <w:spacing w:after="57"/>
    </w:pPr>
  </w:style>
  <w:style w:type="paragraph" w:styleId="846">
    <w:name w:val="toc 3"/>
    <w:basedOn w:val="675"/>
    <w:next w:val="675"/>
    <w:uiPriority w:val="39"/>
    <w:unhideWhenUsed/>
    <w:pPr>
      <w:ind w:left="567" w:firstLine="0"/>
      <w:spacing w:after="57"/>
    </w:pPr>
  </w:style>
  <w:style w:type="paragraph" w:styleId="847">
    <w:name w:val="toc 4"/>
    <w:basedOn w:val="675"/>
    <w:next w:val="675"/>
    <w:uiPriority w:val="39"/>
    <w:unhideWhenUsed/>
    <w:pPr>
      <w:ind w:left="850" w:firstLine="0"/>
      <w:spacing w:after="57"/>
    </w:pPr>
  </w:style>
  <w:style w:type="paragraph" w:styleId="848">
    <w:name w:val="toc 5"/>
    <w:basedOn w:val="675"/>
    <w:next w:val="675"/>
    <w:uiPriority w:val="39"/>
    <w:unhideWhenUsed/>
    <w:pPr>
      <w:ind w:left="1134" w:firstLine="0"/>
      <w:spacing w:after="57"/>
    </w:pPr>
  </w:style>
  <w:style w:type="paragraph" w:styleId="849">
    <w:name w:val="toc 6"/>
    <w:basedOn w:val="675"/>
    <w:next w:val="675"/>
    <w:uiPriority w:val="39"/>
    <w:unhideWhenUsed/>
    <w:pPr>
      <w:ind w:left="1417" w:firstLine="0"/>
      <w:spacing w:after="57"/>
    </w:pPr>
  </w:style>
  <w:style w:type="paragraph" w:styleId="850">
    <w:name w:val="toc 7"/>
    <w:basedOn w:val="675"/>
    <w:next w:val="675"/>
    <w:uiPriority w:val="39"/>
    <w:unhideWhenUsed/>
    <w:pPr>
      <w:ind w:left="1701" w:firstLine="0"/>
      <w:spacing w:after="57"/>
    </w:pPr>
  </w:style>
  <w:style w:type="paragraph" w:styleId="851">
    <w:name w:val="toc 8"/>
    <w:basedOn w:val="675"/>
    <w:next w:val="675"/>
    <w:uiPriority w:val="39"/>
    <w:unhideWhenUsed/>
    <w:pPr>
      <w:ind w:left="1984" w:firstLine="0"/>
      <w:spacing w:after="57"/>
    </w:pPr>
  </w:style>
  <w:style w:type="paragraph" w:styleId="852">
    <w:name w:val="toc 9"/>
    <w:basedOn w:val="675"/>
    <w:next w:val="675"/>
    <w:uiPriority w:val="39"/>
    <w:unhideWhenUsed/>
    <w:pPr>
      <w:ind w:left="2268" w:firstLine="0"/>
      <w:spacing w:after="57"/>
    </w:pPr>
  </w:style>
  <w:style w:type="paragraph" w:styleId="853">
    <w:name w:val="TOC Heading"/>
    <w:uiPriority w:val="39"/>
    <w:unhideWhenUsed/>
  </w:style>
  <w:style w:type="paragraph" w:styleId="854">
    <w:name w:val="table of figures"/>
    <w:basedOn w:val="675"/>
    <w:next w:val="675"/>
    <w:uiPriority w:val="99"/>
    <w:unhideWhenUsed/>
  </w:style>
  <w:style w:type="character" w:styleId="855">
    <w:name w:val="Hyperlink"/>
    <w:basedOn w:val="685"/>
    <w:uiPriority w:val="99"/>
    <w:unhideWhenUsed/>
    <w:rPr>
      <w:color w:val="0000ff"/>
      <w:u w:val="single"/>
    </w:rPr>
  </w:style>
  <w:style w:type="paragraph" w:styleId="856">
    <w:name w:val="List Paragraph"/>
    <w:basedOn w:val="675"/>
    <w:uiPriority w:val="34"/>
    <w:qFormat/>
    <w:pPr>
      <w:contextualSpacing/>
      <w:ind w:left="720"/>
      <w:jc w:val="left"/>
    </w:pPr>
    <w:rPr>
      <w:sz w:val="28"/>
      <w:szCs w:val="28"/>
    </w:rPr>
  </w:style>
  <w:style w:type="paragraph" w:styleId="857">
    <w:name w:val="Balloon Text"/>
    <w:basedOn w:val="675"/>
    <w:link w:val="858"/>
    <w:uiPriority w:val="99"/>
    <w:semiHidden/>
    <w:unhideWhenUsed/>
    <w:rPr>
      <w:rFonts w:ascii="Tahoma" w:hAnsi="Tahoma" w:cs="Tahoma"/>
      <w:sz w:val="16"/>
      <w:szCs w:val="16"/>
    </w:rPr>
  </w:style>
  <w:style w:type="character" w:styleId="858" w:customStyle="1">
    <w:name w:val="Текст выноски Знак"/>
    <w:basedOn w:val="685"/>
    <w:link w:val="857"/>
    <w:uiPriority w:val="99"/>
    <w:semiHidden/>
    <w:rPr>
      <w:rFonts w:ascii="Tahoma" w:hAnsi="Tahoma" w:eastAsia="Times New Roman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Сосина Татьяна Михайловна</dc:creator>
  <cp:revision>13</cp:revision>
  <dcterms:created xsi:type="dcterms:W3CDTF">2026-08-03T06:52:00Z</dcterms:created>
  <dcterms:modified xsi:type="dcterms:W3CDTF">2026-08-17T09:28:19Z</dcterms:modified>
</cp:coreProperties>
</file>