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13.08.2026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№ 1581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 условий приватизации имущества, находящегося в собственности</w:t>
      </w:r>
      <w:r>
        <w:rPr>
          <w:b/>
        </w:rPr>
        <w:br/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 законом от 21.12.2001 № 178-ФЗ «О приватизации государственного и муниципального имущества», Порядком </w:t>
      </w:r>
      <w:r>
        <w:rPr>
          <w:color w:val="000000"/>
          <w:sz w:val="24"/>
          <w:szCs w:val="24"/>
        </w:rPr>
        <w:t xml:space="preserve">и условиями приватизации муниципального имущества Печенгского муниципального округа</w:t>
      </w:r>
      <w:r>
        <w:rPr>
          <w:rFonts w:eastAsia="Calibri"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утвержденным решением Совета депутатов Печенгского муниципального округа от 05.02.2021 № 90, </w:t>
      </w:r>
      <w:r>
        <w:rPr>
          <w:sz w:val="24"/>
          <w:szCs w:val="24"/>
        </w:rPr>
        <w:br/>
        <w:t xml:space="preserve">в соответствии с Прогнозным планом (программой) приватизации муниципального имущества Печенгско</w:t>
      </w:r>
      <w:r>
        <w:rPr>
          <w:sz w:val="24"/>
          <w:szCs w:val="24"/>
        </w:rPr>
        <w:t xml:space="preserve">го муниципального округа на 2026 год и плановый период</w:t>
      </w:r>
      <w:r>
        <w:rPr>
          <w:sz w:val="24"/>
          <w:szCs w:val="24"/>
        </w:rPr>
        <w:br/>
        <w:t xml:space="preserve">2027 - 2028</w:t>
      </w:r>
      <w:r>
        <w:rPr>
          <w:sz w:val="24"/>
          <w:szCs w:val="24"/>
        </w:rPr>
        <w:t xml:space="preserve"> годов, утвержденным решением Совета депутатов Печенгс</w:t>
      </w:r>
      <w:r>
        <w:rPr>
          <w:sz w:val="24"/>
          <w:szCs w:val="24"/>
        </w:rPr>
        <w:t xml:space="preserve">кого муниципального округа от 19.12.2025</w:t>
      </w:r>
      <w:r>
        <w:rPr>
          <w:sz w:val="24"/>
          <w:szCs w:val="24"/>
        </w:rPr>
        <w:t xml:space="preserve"> № 25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Разрешить приватизацию имущества, находящегося в собственности Печенгского муниципального округа,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Утвердить следующие условия приватизации имущества: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Способ приватизации: аукцион, открытый по составу участников и открытый по форме подачи предложений по цене.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Начальная цена имущества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Срок оплаты: единовременно, безналичный расчет, не позднее 15 рабочих дней со дня заключения договора купли-продажи. Средства от сделки поступают в бюджет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 Все действия, необходимые для государственной регистрации имущества и оплату стоимости указанных услуг, возложить на покупателя.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Комитету по управлению имуществом администрации Печенгского муниципального округа выступить п</w:t>
      </w:r>
      <w:r>
        <w:rPr>
          <w:sz w:val="24"/>
          <w:szCs w:val="24"/>
        </w:rPr>
        <w:t xml:space="preserve">родавцом имущества и осуществлять работу в соответствии с Положением об организации и проведении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860.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 Настоящее постановление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 Информационное сообщение о продаже имущества разместить на сайте </w:t>
      </w:r>
      <w:hyperlink r:id="rId12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 и сети Интернет Российской Федерации о проведении торгов.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                     </w:t>
      </w:r>
      <w:r>
        <w:rPr>
          <w:sz w:val="24"/>
          <w:szCs w:val="24"/>
        </w:rPr>
        <w:t xml:space="preserve">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Веверица В.А., 25263</w:t>
      </w:r>
      <w:r/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13.08.2026 № 1581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имущества, подлежащего приватизации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101" w:type="pct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558"/>
        <w:gridCol w:w="2132"/>
        <w:gridCol w:w="3540"/>
        <w:gridCol w:w="1965"/>
      </w:tblGrid>
      <w:tr>
        <w:tblPrEx/>
        <w:trPr>
          <w:trHeight w:val="890"/>
        </w:trPr>
        <w:tc>
          <w:tcPr>
            <w:tcW w:w="291" w:type="pct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tcW w:w="798" w:type="pc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объекта</w:t>
            </w:r>
            <w:r/>
          </w:p>
        </w:tc>
        <w:tc>
          <w:tcPr>
            <w:tcW w:w="1092" w:type="pct"/>
            <w:textDirection w:val="lrTb"/>
            <w:noWrap w:val="false"/>
          </w:tcPr>
          <w:p>
            <w:pPr>
              <w:jc w:val="center"/>
              <w:tabs>
                <w:tab w:val="left" w:pos="1035" w:leader="none"/>
              </w:tabs>
            </w:pPr>
            <w:r>
              <w:t xml:space="preserve">Адрес местонахождения</w:t>
            </w:r>
            <w:r/>
          </w:p>
        </w:tc>
        <w:tc>
          <w:tcPr>
            <w:tcW w:w="1813" w:type="pct"/>
            <w:textDirection w:val="lrTb"/>
            <w:noWrap w:val="false"/>
          </w:tcPr>
          <w:p>
            <w:pPr>
              <w:jc w:val="center"/>
            </w:pPr>
            <w:r>
              <w:t xml:space="preserve">Индивидуализирующие характеристики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1006" w:type="pct"/>
            <w:textDirection w:val="lrTb"/>
            <w:noWrap w:val="false"/>
          </w:tcPr>
          <w:p>
            <w:pPr>
              <w:jc w:val="center"/>
            </w:pPr>
            <w:r>
              <w:t xml:space="preserve">Начальная цена продажи объекта недвижимости (рубли)</w:t>
            </w:r>
            <w:r/>
          </w:p>
        </w:tc>
      </w:tr>
      <w:tr>
        <w:tblPrEx/>
        <w:trPr/>
        <w:tc>
          <w:tcPr>
            <w:tcW w:w="291" w:type="pc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/>
          </w:p>
        </w:tc>
        <w:tc>
          <w:tcPr>
            <w:tcW w:w="798" w:type="pct"/>
            <w:textDirection w:val="lrTb"/>
            <w:noWrap w:val="false"/>
          </w:tcPr>
          <w:p>
            <w:r>
              <w:rPr>
                <w:rStyle w:val="877"/>
                <w:rFonts w:ascii="Times New Roman" w:hAnsi="Times New Roman"/>
              </w:rPr>
              <w:t xml:space="preserve">Нежилое здание (учебные классы)</w:t>
            </w:r>
            <w:r/>
          </w:p>
          <w:p>
            <w:pPr>
              <w:pStyle w:val="875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92" w:type="pct"/>
            <w:textDirection w:val="lrTb"/>
            <w:noWrap w:val="false"/>
          </w:tcPr>
          <w:p>
            <w:r>
              <w:rPr>
                <w:rStyle w:val="877"/>
                <w:rFonts w:ascii="Times New Roman" w:hAnsi="Times New Roman"/>
              </w:rPr>
              <w:t xml:space="preserve">Российская Федерация, Мурманская область, муниципальный округ </w:t>
            </w:r>
            <w:r>
              <w:rPr>
                <w:rStyle w:val="877"/>
                <w:rFonts w:ascii="Times New Roman" w:hAnsi="Times New Roman"/>
              </w:rPr>
              <w:t xml:space="preserve">Печенгский</w:t>
            </w:r>
            <w:r>
              <w:rPr>
                <w:rStyle w:val="877"/>
                <w:rFonts w:ascii="Times New Roman" w:hAnsi="Times New Roman"/>
              </w:rPr>
              <w:t xml:space="preserve">, населенный пункт </w:t>
            </w:r>
            <w:r>
              <w:rPr>
                <w:rStyle w:val="877"/>
                <w:rFonts w:ascii="Times New Roman" w:hAnsi="Times New Roman"/>
              </w:rPr>
              <w:t xml:space="preserve">Корзуново</w:t>
            </w:r>
            <w:r>
              <w:rPr>
                <w:rStyle w:val="877"/>
                <w:rFonts w:ascii="Times New Roman" w:hAnsi="Times New Roman"/>
              </w:rPr>
              <w:t xml:space="preserve">, улица </w:t>
            </w:r>
            <w:r>
              <w:rPr>
                <w:rStyle w:val="877"/>
                <w:rFonts w:ascii="Times New Roman" w:hAnsi="Times New Roman"/>
              </w:rPr>
              <w:t xml:space="preserve">Печенгская</w:t>
            </w:r>
            <w:r>
              <w:rPr>
                <w:rStyle w:val="877"/>
                <w:rFonts w:ascii="Times New Roman" w:hAnsi="Times New Roman"/>
              </w:rPr>
              <w:t xml:space="preserve">, дом 54</w:t>
            </w:r>
            <w:r/>
          </w:p>
          <w:p>
            <w:r/>
            <w:r/>
          </w:p>
        </w:tc>
        <w:tc>
          <w:tcPr>
            <w:tcW w:w="1813" w:type="pct"/>
            <w:textDirection w:val="lrTb"/>
            <w:noWrap w:val="false"/>
          </w:tcPr>
          <w:p>
            <w:pPr>
              <w:rPr>
                <w:rStyle w:val="877"/>
                <w:rFonts w:ascii="Times New Roman" w:hAnsi="Times New Roman"/>
              </w:rPr>
            </w:pPr>
            <w:r>
              <w:t xml:space="preserve">Када</w:t>
            </w:r>
            <w:r>
              <w:t xml:space="preserve">стровый номер 51:03:0060102:2042</w:t>
            </w:r>
            <w:r>
              <w:t xml:space="preserve">, площадь</w:t>
            </w:r>
            <w:r>
              <w:br/>
            </w:r>
            <w:r>
              <w:rPr>
                <w:rStyle w:val="877"/>
                <w:rFonts w:ascii="Times New Roman" w:hAnsi="Times New Roman"/>
              </w:rPr>
              <w:t xml:space="preserve">391,9</w:t>
            </w:r>
            <w:r>
              <w:rPr>
                <w:rStyle w:val="877"/>
                <w:rFonts w:ascii="Times New Roman" w:hAnsi="Times New Roman"/>
              </w:rPr>
              <w:t xml:space="preserve"> кв. м, количество этажей: </w:t>
            </w:r>
            <w:r>
              <w:rPr>
                <w:rStyle w:val="877"/>
                <w:rFonts w:ascii="Times New Roman" w:hAnsi="Times New Roman"/>
              </w:rPr>
            </w:r>
            <w:r>
              <w:rPr>
                <w:rStyle w:val="877"/>
                <w:rFonts w:ascii="Times New Roman" w:hAnsi="Times New Roman"/>
              </w:rPr>
            </w:r>
          </w:p>
          <w:p>
            <w:r>
              <w:rPr>
                <w:rStyle w:val="877"/>
                <w:rFonts w:ascii="Times New Roman" w:hAnsi="Times New Roman"/>
              </w:rPr>
              <w:t xml:space="preserve">1, в том числе </w:t>
            </w:r>
            <w:r>
              <w:rPr>
                <w:rStyle w:val="877"/>
                <w:rFonts w:ascii="Times New Roman" w:hAnsi="Times New Roman"/>
              </w:rPr>
              <w:t xml:space="preserve">подземных</w:t>
            </w:r>
            <w:r>
              <w:rPr>
                <w:rStyle w:val="877"/>
                <w:rFonts w:ascii="Times New Roman" w:hAnsi="Times New Roman"/>
              </w:rPr>
              <w:t xml:space="preserve"> 0.  </w:t>
            </w:r>
            <w:r/>
          </w:p>
          <w:p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1006" w:type="pct"/>
            <w:textDirection w:val="lrTb"/>
            <w:noWrap w:val="false"/>
          </w:tcPr>
          <w:p>
            <w:r>
              <w:t xml:space="preserve">1 350 000 (один миллион</w:t>
            </w:r>
            <w:r>
              <w:t xml:space="preserve"> </w:t>
            </w:r>
            <w:r>
              <w:t xml:space="preserve">триста пятьдесят </w:t>
            </w:r>
            <w:r>
              <w:t xml:space="preserve">тысяч) рублей 00 копеек</w:t>
            </w:r>
            <w:r>
              <w:t xml:space="preserve"> без учета НДС</w:t>
            </w:r>
            <w:r/>
          </w:p>
        </w:tc>
      </w:tr>
      <w:tr>
        <w:tblPrEx/>
        <w:trPr/>
        <w:tc>
          <w:tcPr>
            <w:tcW w:w="291" w:type="pct"/>
            <w:textDirection w:val="lrTb"/>
            <w:noWrap w:val="false"/>
          </w:tcPr>
          <w:p>
            <w:pPr>
              <w:jc w:val="center"/>
            </w:pPr>
            <w:r>
              <w:t xml:space="preserve">2.</w:t>
            </w:r>
            <w:r/>
          </w:p>
        </w:tc>
        <w:tc>
          <w:tcPr>
            <w:tcW w:w="798" w:type="pct"/>
            <w:textDirection w:val="lrTb"/>
            <w:noWrap w:val="false"/>
          </w:tcPr>
          <w:p>
            <w:r>
              <w:rPr>
                <w:rStyle w:val="877"/>
                <w:rFonts w:ascii="Times New Roman" w:hAnsi="Times New Roman"/>
              </w:rPr>
              <w:t xml:space="preserve">Нежилое здание аэропорта</w:t>
            </w:r>
            <w:r/>
          </w:p>
          <w:p>
            <w:pPr>
              <w:pStyle w:val="875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92" w:type="pct"/>
            <w:textDirection w:val="lrTb"/>
            <w:noWrap w:val="false"/>
          </w:tcPr>
          <w:p>
            <w:r>
              <w:rPr>
                <w:shd w:val="clear" w:color="auto" w:fill="ffffff"/>
              </w:rPr>
              <w:t xml:space="preserve">Российская Федерация, Мурманская область, муниципальный округ </w:t>
            </w:r>
            <w:r>
              <w:rPr>
                <w:shd w:val="clear" w:color="auto" w:fill="ffffff"/>
              </w:rPr>
              <w:t xml:space="preserve">Печенгский</w:t>
            </w:r>
            <w:r>
              <w:rPr>
                <w:shd w:val="clear" w:color="auto" w:fill="ffffff"/>
              </w:rPr>
              <w:t xml:space="preserve">, </w:t>
            </w:r>
            <w:r>
              <w:rPr>
                <w:rStyle w:val="877"/>
                <w:rFonts w:ascii="Times New Roman" w:hAnsi="Times New Roman"/>
              </w:rPr>
              <w:t xml:space="preserve">населенный пункт </w:t>
            </w:r>
            <w:r>
              <w:rPr>
                <w:rStyle w:val="877"/>
                <w:rFonts w:ascii="Times New Roman" w:hAnsi="Times New Roman"/>
              </w:rPr>
              <w:t xml:space="preserve">Корзуново</w:t>
            </w:r>
            <w:r/>
          </w:p>
        </w:tc>
        <w:tc>
          <w:tcPr>
            <w:tcW w:w="1813" w:type="pct"/>
            <w:textDirection w:val="lrTb"/>
            <w:noWrap w:val="false"/>
          </w:tcPr>
          <w:p>
            <w:r>
              <w:t xml:space="preserve">Када</w:t>
            </w:r>
            <w:r>
              <w:t xml:space="preserve">стровый номер 51:03:0060102:609</w:t>
            </w:r>
            <w:r>
              <w:t xml:space="preserve">, площадь</w:t>
            </w:r>
            <w:r/>
          </w:p>
          <w:p>
            <w:pPr>
              <w:rPr>
                <w:rStyle w:val="877"/>
                <w:rFonts w:ascii="Times New Roman" w:hAnsi="Times New Roman"/>
              </w:rPr>
            </w:pPr>
            <w:r>
              <w:rPr>
                <w:rStyle w:val="877"/>
                <w:rFonts w:ascii="Times New Roman" w:hAnsi="Times New Roman"/>
              </w:rPr>
              <w:t xml:space="preserve">490,9</w:t>
            </w:r>
            <w:r>
              <w:rPr>
                <w:rStyle w:val="877"/>
                <w:rFonts w:ascii="Times New Roman" w:hAnsi="Times New Roman"/>
              </w:rPr>
              <w:t xml:space="preserve"> кв. м, количество этажей: </w:t>
            </w:r>
            <w:r>
              <w:rPr>
                <w:rStyle w:val="877"/>
                <w:rFonts w:ascii="Times New Roman" w:hAnsi="Times New Roman"/>
              </w:rPr>
            </w:r>
            <w:r>
              <w:rPr>
                <w:rStyle w:val="877"/>
                <w:rFonts w:ascii="Times New Roman" w:hAnsi="Times New Roman"/>
              </w:rPr>
            </w:r>
          </w:p>
          <w:p>
            <w:r>
              <w:rPr>
                <w:rStyle w:val="877"/>
                <w:rFonts w:ascii="Times New Roman" w:hAnsi="Times New Roman"/>
              </w:rPr>
              <w:t xml:space="preserve">1, в том числе </w:t>
            </w:r>
            <w:r>
              <w:rPr>
                <w:rStyle w:val="877"/>
                <w:rFonts w:ascii="Times New Roman" w:hAnsi="Times New Roman"/>
              </w:rPr>
              <w:t xml:space="preserve">подземных</w:t>
            </w:r>
            <w:r>
              <w:rPr>
                <w:rStyle w:val="877"/>
                <w:rFonts w:ascii="Times New Roman" w:hAnsi="Times New Roman"/>
              </w:rPr>
              <w:t xml:space="preserve"> 0.  </w:t>
            </w:r>
            <w:r/>
          </w:p>
          <w:p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1006" w:type="pct"/>
            <w:textDirection w:val="lrTb"/>
            <w:noWrap w:val="false"/>
          </w:tcPr>
          <w:p>
            <w:r>
              <w:t xml:space="preserve">2 33</w:t>
            </w:r>
            <w:r>
              <w:t xml:space="preserve">0 000 (</w:t>
            </w:r>
            <w:r>
              <w:t xml:space="preserve">два миллиона триста тридцать тысяч</w:t>
            </w:r>
            <w:r>
              <w:t xml:space="preserve">) рублей 00 копеек без учета НДС</w:t>
            </w:r>
            <w:r/>
          </w:p>
        </w:tc>
      </w:tr>
    </w:tbl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8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9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70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7"/>
    <w:uiPriority w:val="10"/>
    <w:rPr>
      <w:sz w:val="48"/>
      <w:szCs w:val="48"/>
    </w:rPr>
  </w:style>
  <w:style w:type="character" w:styleId="677">
    <w:name w:val="Subtitle Char"/>
    <w:basedOn w:val="694"/>
    <w:link w:val="709"/>
    <w:uiPriority w:val="11"/>
    <w:rPr>
      <w:sz w:val="24"/>
      <w:szCs w:val="24"/>
    </w:rPr>
  </w:style>
  <w:style w:type="character" w:styleId="678">
    <w:name w:val="Quote Char"/>
    <w:link w:val="711"/>
    <w:uiPriority w:val="29"/>
    <w:rPr>
      <w:i/>
    </w:rPr>
  </w:style>
  <w:style w:type="character" w:styleId="679">
    <w:name w:val="Intense Quote Char"/>
    <w:link w:val="713"/>
    <w:uiPriority w:val="30"/>
    <w:rPr>
      <w:i/>
    </w:rPr>
  </w:style>
  <w:style w:type="character" w:styleId="680">
    <w:name w:val="Header Char"/>
    <w:basedOn w:val="694"/>
    <w:link w:val="715"/>
    <w:uiPriority w:val="99"/>
  </w:style>
  <w:style w:type="character" w:styleId="681">
    <w:name w:val="Caption Char"/>
    <w:basedOn w:val="719"/>
    <w:link w:val="717"/>
    <w:uiPriority w:val="99"/>
  </w:style>
  <w:style w:type="character" w:styleId="682">
    <w:name w:val="Footnote Text Char"/>
    <w:link w:val="847"/>
    <w:uiPriority w:val="99"/>
    <w:rPr>
      <w:sz w:val="18"/>
    </w:rPr>
  </w:style>
  <w:style w:type="character" w:styleId="683">
    <w:name w:val="Endnote Text Char"/>
    <w:link w:val="850"/>
    <w:uiPriority w:val="99"/>
    <w:rPr>
      <w:sz w:val="20"/>
    </w:rPr>
  </w:style>
  <w:style w:type="paragraph" w:styleId="684" w:default="1">
    <w:name w:val="Normal"/>
    <w:qFormat/>
    <w:rPr>
      <w:rFonts w:ascii="Times New Roman" w:hAnsi="Times New Roman" w:eastAsia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865"/>
    <w:qFormat/>
    <w:pPr>
      <w:ind w:firstLine="709"/>
      <w:keepNext/>
      <w:outlineLvl w:val="3"/>
    </w:pPr>
    <w:rPr>
      <w:sz w:val="28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Heading 4 Char"/>
    <w:basedOn w:val="694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No Spacing"/>
    <w:uiPriority w:val="1"/>
    <w:qFormat/>
  </w:style>
  <w:style w:type="paragraph" w:styleId="707">
    <w:name w:val="Title"/>
    <w:basedOn w:val="684"/>
    <w:next w:val="684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 w:customStyle="1">
    <w:name w:val="Название Знак"/>
    <w:basedOn w:val="694"/>
    <w:link w:val="707"/>
    <w:uiPriority w:val="10"/>
    <w:rPr>
      <w:sz w:val="48"/>
      <w:szCs w:val="48"/>
    </w:rPr>
  </w:style>
  <w:style w:type="paragraph" w:styleId="709">
    <w:name w:val="Subtitle"/>
    <w:basedOn w:val="684"/>
    <w:next w:val="684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 w:customStyle="1">
    <w:name w:val="Подзаголовок Знак"/>
    <w:basedOn w:val="694"/>
    <w:link w:val="709"/>
    <w:uiPriority w:val="11"/>
    <w:rPr>
      <w:sz w:val="24"/>
      <w:szCs w:val="24"/>
    </w:rPr>
  </w:style>
  <w:style w:type="paragraph" w:styleId="711">
    <w:name w:val="Quote"/>
    <w:basedOn w:val="684"/>
    <w:next w:val="684"/>
    <w:link w:val="712"/>
    <w:uiPriority w:val="29"/>
    <w:qFormat/>
    <w:pPr>
      <w:ind w:left="720" w:right="720"/>
    </w:pPr>
    <w:rPr>
      <w:i/>
    </w:rPr>
  </w:style>
  <w:style w:type="character" w:styleId="712" w:customStyle="1">
    <w:name w:val="Цитата 2 Знак"/>
    <w:link w:val="711"/>
    <w:uiPriority w:val="29"/>
    <w:rPr>
      <w:i/>
    </w:rPr>
  </w:style>
  <w:style w:type="paragraph" w:styleId="713">
    <w:name w:val="Intense Quote"/>
    <w:basedOn w:val="684"/>
    <w:next w:val="684"/>
    <w:link w:val="71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 w:customStyle="1">
    <w:name w:val="Выделенная цитата Знак"/>
    <w:link w:val="713"/>
    <w:uiPriority w:val="30"/>
    <w:rPr>
      <w:i/>
    </w:rPr>
  </w:style>
  <w:style w:type="paragraph" w:styleId="715">
    <w:name w:val="Header"/>
    <w:basedOn w:val="684"/>
    <w:link w:val="71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6" w:customStyle="1">
    <w:name w:val="Верхний колонтитул Знак"/>
    <w:basedOn w:val="694"/>
    <w:link w:val="715"/>
    <w:uiPriority w:val="99"/>
  </w:style>
  <w:style w:type="paragraph" w:styleId="717">
    <w:name w:val="Footer"/>
    <w:basedOn w:val="684"/>
    <w:link w:val="72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8" w:customStyle="1">
    <w:name w:val="Footer Char"/>
    <w:basedOn w:val="694"/>
    <w:uiPriority w:val="99"/>
  </w:style>
  <w:style w:type="paragraph" w:styleId="719">
    <w:name w:val="Caption"/>
    <w:basedOn w:val="684"/>
    <w:next w:val="68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 w:customStyle="1">
    <w:name w:val="Нижний колонтитул Знак"/>
    <w:link w:val="717"/>
    <w:uiPriority w:val="99"/>
  </w:style>
  <w:style w:type="table" w:styleId="721" w:customStyle="1">
    <w:name w:val="Table Grid Light"/>
    <w:basedOn w:val="69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2" w:customStyle="1">
    <w:name w:val="Plain Table 1"/>
    <w:basedOn w:val="69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 w:customStyle="1">
    <w:name w:val="Plain Table 2"/>
    <w:basedOn w:val="69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Plain Table 3"/>
    <w:basedOn w:val="69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 w:customStyle="1">
    <w:name w:val="Plain Table 4"/>
    <w:basedOn w:val="69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Plain Table 5"/>
    <w:basedOn w:val="69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1 Light"/>
    <w:basedOn w:val="69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1"/>
    <w:basedOn w:val="69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2"/>
    <w:basedOn w:val="69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3"/>
    <w:basedOn w:val="69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4"/>
    <w:basedOn w:val="69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5"/>
    <w:basedOn w:val="69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6"/>
    <w:basedOn w:val="69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2"/>
    <w:basedOn w:val="69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1"/>
    <w:basedOn w:val="69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2"/>
    <w:basedOn w:val="69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3"/>
    <w:basedOn w:val="69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4"/>
    <w:basedOn w:val="69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5"/>
    <w:basedOn w:val="69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6"/>
    <w:basedOn w:val="69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"/>
    <w:basedOn w:val="69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1"/>
    <w:basedOn w:val="69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2"/>
    <w:basedOn w:val="69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3"/>
    <w:basedOn w:val="69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4"/>
    <w:basedOn w:val="69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5"/>
    <w:basedOn w:val="69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6"/>
    <w:basedOn w:val="69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4"/>
    <w:basedOn w:val="69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 w:customStyle="1">
    <w:name w:val="Grid Table 4 - Accent 1"/>
    <w:basedOn w:val="69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0" w:customStyle="1">
    <w:name w:val="Grid Table 4 - Accent 2"/>
    <w:basedOn w:val="69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1" w:customStyle="1">
    <w:name w:val="Grid Table 4 - Accent 3"/>
    <w:basedOn w:val="69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2" w:customStyle="1">
    <w:name w:val="Grid Table 4 - Accent 4"/>
    <w:basedOn w:val="69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3" w:customStyle="1">
    <w:name w:val="Grid Table 4 - Accent 5"/>
    <w:basedOn w:val="69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4" w:customStyle="1">
    <w:name w:val="Grid Table 4 - Accent 6"/>
    <w:basedOn w:val="69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5" w:customStyle="1">
    <w:name w:val="Grid Table 5 Dark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1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2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3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4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5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6"/>
    <w:basedOn w:val="69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6 Colorful"/>
    <w:basedOn w:val="69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3" w:customStyle="1">
    <w:name w:val="Grid Table 6 Colorful - Accent 1"/>
    <w:basedOn w:val="69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4" w:customStyle="1">
    <w:name w:val="Grid Table 6 Colorful - Accent 2"/>
    <w:basedOn w:val="69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5" w:customStyle="1">
    <w:name w:val="Grid Table 6 Colorful - Accent 3"/>
    <w:basedOn w:val="69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6" w:customStyle="1">
    <w:name w:val="Grid Table 6 Colorful - Accent 4"/>
    <w:basedOn w:val="69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7" w:customStyle="1">
    <w:name w:val="Grid Table 6 Colorful - Accent 5"/>
    <w:basedOn w:val="69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 w:customStyle="1">
    <w:name w:val="Grid Table 6 Colorful - Accent 6"/>
    <w:basedOn w:val="69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7 Colorful"/>
    <w:basedOn w:val="69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1"/>
    <w:basedOn w:val="69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2"/>
    <w:basedOn w:val="69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3"/>
    <w:basedOn w:val="69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4"/>
    <w:basedOn w:val="69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5"/>
    <w:basedOn w:val="69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6"/>
    <w:basedOn w:val="69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List Table 1 Light"/>
    <w:basedOn w:val="69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1"/>
    <w:basedOn w:val="69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2"/>
    <w:basedOn w:val="69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3"/>
    <w:basedOn w:val="69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4"/>
    <w:basedOn w:val="69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5"/>
    <w:basedOn w:val="69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6"/>
    <w:basedOn w:val="69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2"/>
    <w:basedOn w:val="69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1"/>
    <w:basedOn w:val="69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2"/>
    <w:basedOn w:val="69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3"/>
    <w:basedOn w:val="69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4"/>
    <w:basedOn w:val="69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5"/>
    <w:basedOn w:val="69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6"/>
    <w:basedOn w:val="69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0" w:customStyle="1">
    <w:name w:val="List Table 3"/>
    <w:basedOn w:val="69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1"/>
    <w:basedOn w:val="69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2"/>
    <w:basedOn w:val="69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3"/>
    <w:basedOn w:val="69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4"/>
    <w:basedOn w:val="69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5"/>
    <w:basedOn w:val="69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6"/>
    <w:basedOn w:val="69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"/>
    <w:basedOn w:val="69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1"/>
    <w:basedOn w:val="69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2"/>
    <w:basedOn w:val="69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3"/>
    <w:basedOn w:val="69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4"/>
    <w:basedOn w:val="69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5"/>
    <w:basedOn w:val="69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6"/>
    <w:basedOn w:val="69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5 Dark"/>
    <w:basedOn w:val="69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1"/>
    <w:basedOn w:val="69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2"/>
    <w:basedOn w:val="69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3"/>
    <w:basedOn w:val="69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4"/>
    <w:basedOn w:val="69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5"/>
    <w:basedOn w:val="69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6"/>
    <w:basedOn w:val="69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6 Colorful"/>
    <w:basedOn w:val="69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2" w:customStyle="1">
    <w:name w:val="List Table 6 Colorful - Accent 1"/>
    <w:basedOn w:val="69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3" w:customStyle="1">
    <w:name w:val="List Table 6 Colorful - Accent 2"/>
    <w:basedOn w:val="69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4" w:customStyle="1">
    <w:name w:val="List Table 6 Colorful - Accent 3"/>
    <w:basedOn w:val="69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5" w:customStyle="1">
    <w:name w:val="List Table 6 Colorful - Accent 4"/>
    <w:basedOn w:val="69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6" w:customStyle="1">
    <w:name w:val="List Table 6 Colorful - Accent 5"/>
    <w:basedOn w:val="69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7" w:customStyle="1">
    <w:name w:val="List Table 6 Colorful - Accent 6"/>
    <w:basedOn w:val="69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8" w:customStyle="1">
    <w:name w:val="List Table 7 Colorful"/>
    <w:basedOn w:val="69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1"/>
    <w:basedOn w:val="69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2"/>
    <w:basedOn w:val="69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3"/>
    <w:basedOn w:val="69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4"/>
    <w:basedOn w:val="69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5"/>
    <w:basedOn w:val="69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6"/>
    <w:basedOn w:val="69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ned - Accent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Lined - Accent 1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Lined - Accent 2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Lined - Accent 3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Lined - Accent 4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Lined - Accent 5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Lined - Accent 6"/>
    <w:basedOn w:val="69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 &amp; Lined - Accent"/>
    <w:basedOn w:val="69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Bordered &amp; Lined - Accent 1"/>
    <w:basedOn w:val="69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Bordered &amp; Lined - Accent 2"/>
    <w:basedOn w:val="69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Bordered &amp; Lined - Accent 3"/>
    <w:basedOn w:val="69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Bordered &amp; Lined - Accent 4"/>
    <w:basedOn w:val="69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Bordered &amp; Lined - Accent 5"/>
    <w:basedOn w:val="69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Bordered &amp; Lined - Accent 6"/>
    <w:basedOn w:val="69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"/>
    <w:basedOn w:val="69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0" w:customStyle="1">
    <w:name w:val="Bordered - Accent 1"/>
    <w:basedOn w:val="69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1" w:customStyle="1">
    <w:name w:val="Bordered - Accent 2"/>
    <w:basedOn w:val="69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2" w:customStyle="1">
    <w:name w:val="Bordered - Accent 3"/>
    <w:basedOn w:val="69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3" w:customStyle="1">
    <w:name w:val="Bordered - Accent 4"/>
    <w:basedOn w:val="69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4" w:customStyle="1">
    <w:name w:val="Bordered - Accent 5"/>
    <w:basedOn w:val="69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5" w:customStyle="1">
    <w:name w:val="Bordered - Accent 6"/>
    <w:basedOn w:val="69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6">
    <w:name w:val="Hyperlink"/>
    <w:uiPriority w:val="99"/>
    <w:unhideWhenUsed/>
    <w:rPr>
      <w:color w:val="0000ff" w:themeColor="hyperlink"/>
      <w:u w:val="single"/>
    </w:rPr>
  </w:style>
  <w:style w:type="paragraph" w:styleId="847">
    <w:name w:val="footnote text"/>
    <w:basedOn w:val="684"/>
    <w:link w:val="848"/>
    <w:uiPriority w:val="99"/>
    <w:semiHidden/>
    <w:unhideWhenUsed/>
    <w:pPr>
      <w:spacing w:after="40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4"/>
    <w:uiPriority w:val="99"/>
    <w:unhideWhenUsed/>
    <w:rPr>
      <w:vertAlign w:val="superscript"/>
    </w:rPr>
  </w:style>
  <w:style w:type="paragraph" w:styleId="850">
    <w:name w:val="endnote text"/>
    <w:basedOn w:val="684"/>
    <w:link w:val="851"/>
    <w:uiPriority w:val="99"/>
    <w:semiHidden/>
    <w:unhideWhenUsed/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4"/>
    <w:uiPriority w:val="99"/>
    <w:semiHidden/>
    <w:unhideWhenUsed/>
    <w:rPr>
      <w:vertAlign w:val="superscript"/>
    </w:rPr>
  </w:style>
  <w:style w:type="paragraph" w:styleId="853">
    <w:name w:val="toc 1"/>
    <w:basedOn w:val="684"/>
    <w:next w:val="684"/>
    <w:uiPriority w:val="39"/>
    <w:unhideWhenUsed/>
    <w:pPr>
      <w:spacing w:after="57"/>
    </w:pPr>
  </w:style>
  <w:style w:type="paragraph" w:styleId="854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5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6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7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8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9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60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1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4"/>
    <w:next w:val="684"/>
    <w:uiPriority w:val="99"/>
    <w:unhideWhenUsed/>
  </w:style>
  <w:style w:type="paragraph" w:styleId="864" w:customStyle="1">
    <w:name w:val="Стиль1"/>
    <w:basedOn w:val="684"/>
    <w:qFormat/>
    <w:rPr>
      <w:sz w:val="24"/>
    </w:rPr>
  </w:style>
  <w:style w:type="character" w:styleId="865" w:customStyle="1">
    <w:name w:val="Заголовок 4 Знак"/>
    <w:link w:val="688"/>
    <w:rPr>
      <w:rFonts w:ascii="Times New Roman" w:hAnsi="Times New Roman" w:eastAsia="Times New Roman"/>
      <w:szCs w:val="20"/>
      <w:lang w:eastAsia="ru-RU"/>
    </w:rPr>
  </w:style>
  <w:style w:type="paragraph" w:styleId="866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67">
    <w:name w:val="Balloon Text"/>
    <w:basedOn w:val="684"/>
    <w:link w:val="868"/>
    <w:uiPriority w:val="99"/>
    <w:semiHidden/>
    <w:unhideWhenUsed/>
    <w:rPr>
      <w:rFonts w:ascii="Tahoma" w:hAnsi="Tahoma" w:cs="Tahoma"/>
      <w:sz w:val="16"/>
      <w:szCs w:val="16"/>
    </w:rPr>
  </w:style>
  <w:style w:type="character" w:styleId="868" w:customStyle="1">
    <w:name w:val="Текст выноски Знак"/>
    <w:link w:val="86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69">
    <w:name w:val="List Paragraph"/>
    <w:basedOn w:val="684"/>
    <w:uiPriority w:val="34"/>
    <w:qFormat/>
    <w:pPr>
      <w:contextualSpacing/>
      <w:ind w:left="720"/>
    </w:pPr>
  </w:style>
  <w:style w:type="paragraph" w:styleId="870" w:customStyle="1">
    <w:name w:val="Знак Знак1 Знак Знак Знак Знак Знак Знак Знак Знак Знак Знак Знак Знак"/>
    <w:basedOn w:val="68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1" w:customStyle="1">
    <w:name w:val="Знак Знак1 Знак Знак Знак Знак Знак Знак"/>
    <w:basedOn w:val="684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72">
    <w:name w:val="Table Grid"/>
    <w:basedOn w:val="69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3">
    <w:name w:val="Plain Text"/>
    <w:basedOn w:val="684"/>
    <w:link w:val="874"/>
    <w:rPr>
      <w:rFonts w:ascii="Courier New" w:hAnsi="Courier New" w:cs="Courier New"/>
    </w:rPr>
  </w:style>
  <w:style w:type="character" w:styleId="874" w:customStyle="1">
    <w:name w:val="Текст Знак"/>
    <w:link w:val="873"/>
    <w:rPr>
      <w:rFonts w:ascii="Courier New" w:hAnsi="Courier New" w:eastAsia="Times New Roman" w:cs="Courier New"/>
    </w:rPr>
  </w:style>
  <w:style w:type="paragraph" w:styleId="875">
    <w:name w:val="Body Text"/>
    <w:basedOn w:val="684"/>
    <w:link w:val="876"/>
    <w:uiPriority w:val="99"/>
    <w:unhideWhenUsed/>
    <w:pPr>
      <w:spacing w:after="12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76" w:customStyle="1">
    <w:name w:val="Основной текст Знак"/>
    <w:basedOn w:val="694"/>
    <w:link w:val="875"/>
    <w:uiPriority w:val="99"/>
    <w:rPr>
      <w:sz w:val="22"/>
      <w:szCs w:val="22"/>
      <w:lang w:eastAsia="en-US"/>
    </w:rPr>
  </w:style>
  <w:style w:type="character" w:styleId="877" w:customStyle="1">
    <w:name w:val="fontstyle01"/>
    <w:basedOn w:val="694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B5C4B-225A-451A-9C19-4E5C5ADE2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12</cp:revision>
  <dcterms:created xsi:type="dcterms:W3CDTF">2025-05-30T09:13:00Z</dcterms:created>
  <dcterms:modified xsi:type="dcterms:W3CDTF">2026-08-18T06:25:22Z</dcterms:modified>
</cp:coreProperties>
</file>