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02.06.2026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№ 997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«Культура» на 2026 - 2028 годы, утвержденную постановлением администрации Печенгского муниципального округа от 12.11.2025 № 1842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униципальную программу Печенгского муниципального округа «Культура</w:t>
      </w:r>
      <w:r>
        <w:rPr>
          <w:bCs/>
          <w:sz w:val="24"/>
          <w:szCs w:val="24"/>
        </w:rPr>
        <w:t xml:space="preserve">» </w:t>
        <w:br/>
        <w:t xml:space="preserve">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12.11.2025 № 1842</w:t>
      </w:r>
      <w:r>
        <w:rPr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rFonts w:eastAsia="Times New Roman"/>
          <w:bCs/>
          <w:sz w:val="24"/>
          <w:szCs w:val="24"/>
        </w:rPr>
        <w:t xml:space="preserve">25.05.2026</w:t>
      </w:r>
      <w:r>
        <w:rPr>
          <w:rFonts w:eastAsia="Times New Roman"/>
          <w:bCs/>
          <w:sz w:val="24"/>
          <w:szCs w:val="24"/>
        </w:rPr>
        <w:t xml:space="preserve"> №</w:t>
      </w:r>
      <w:r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930</w:t>
      </w:r>
      <w:r>
        <w:rPr>
          <w:rFonts w:eastAsia="Times New Roman"/>
          <w:bCs/>
          <w:sz w:val="24"/>
          <w:szCs w:val="24"/>
        </w:rPr>
        <w:t xml:space="preserve">)</w:t>
      </w:r>
      <w:r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изложить в редакции согласно приложению к настоящему постановлению.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0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0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Зубкова Н.А. 5-27-25</w:t>
      </w:r>
      <w:r/>
    </w:p>
    <w:p>
      <w:pPr>
        <w:jc w:val="both"/>
        <w:widowControl w:val="off"/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 02.06.2026 № 997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«Приложение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 12.11.2025 № 1842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  <w:highlight w:val="yellow"/>
        </w:rPr>
        <w:outlineLvl w:val="1"/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МУНИЦИПАЛЬНАЯ ПРОГРАММА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8"/>
          <w:szCs w:val="28"/>
        </w:rPr>
        <w:outlineLvl w:val="1"/>
      </w:pPr>
      <w:r>
        <w:rPr>
          <w:b/>
          <w:sz w:val="28"/>
          <w:szCs w:val="28"/>
        </w:rPr>
        <w:t xml:space="preserve">«КУЛЬТУРА»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Срок реализации: 2026 - 2028 годы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widowControl w:val="o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</w:p>
    <w:p>
      <w:pPr>
        <w:widowControl w:val="o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</w:p>
    <w:p>
      <w:pPr>
        <w:widowControl w:val="o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  <w:r>
        <w:rPr>
          <w:rFonts w:eastAsia="Times New Roman"/>
          <w:sz w:val="28"/>
          <w:szCs w:val="28"/>
        </w:rPr>
      </w:r>
    </w:p>
    <w:p>
      <w:pPr>
        <w:widowControl w:val="off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Ответственный исполнитель муниципальной программы –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widowControl w:val="off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Отдел культуры, спорта и молодежной политики администрации Печенгского муниципального округа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  <w:szCs w:val="28"/>
        </w:rPr>
        <w:outlineLvl w:val="1"/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/>
      <w:bookmarkStart w:id="0" w:name="P366"/>
      <w:r/>
      <w:bookmarkEnd w:id="0"/>
      <w:r>
        <w:rPr>
          <w:rFonts w:eastAsia="Times New Roman"/>
          <w:b/>
          <w:sz w:val="24"/>
        </w:rPr>
        <w:t xml:space="preserve">ПАСПОРТ</w:t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муниципальной программы Печенгского муниципального округа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jc w:val="both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jc w:val="center"/>
        <w:widowControl w:val="off"/>
        <w:rPr>
          <w:rFonts w:eastAsia="Times New Roman"/>
          <w:b/>
          <w:sz w:val="26"/>
          <w:szCs w:val="26"/>
          <w:u w:val="single"/>
        </w:rPr>
      </w:pPr>
      <w:r>
        <w:rPr>
          <w:rFonts w:eastAsia="Times New Roman"/>
          <w:b/>
          <w:sz w:val="26"/>
          <w:szCs w:val="26"/>
          <w:u w:val="single"/>
        </w:rPr>
        <w:t xml:space="preserve">«Культура»</w:t>
      </w:r>
      <w:r>
        <w:rPr>
          <w:rFonts w:eastAsia="Times New Roman"/>
          <w:b/>
          <w:sz w:val="26"/>
          <w:szCs w:val="26"/>
          <w:u w:val="single"/>
        </w:rPr>
      </w:r>
      <w:r>
        <w:rPr>
          <w:rFonts w:eastAsia="Times New Roman"/>
          <w:b/>
          <w:sz w:val="26"/>
          <w:szCs w:val="26"/>
          <w:u w:val="single"/>
        </w:rPr>
      </w:r>
    </w:p>
    <w:p>
      <w:pPr>
        <w:jc w:val="both"/>
        <w:widowControl w:val="off"/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Цель муниципальной программы</w:t>
            </w:r>
            <w:r>
              <w:rPr>
                <w:color w:val="ff0000"/>
                <w:sz w:val="24"/>
                <w:szCs w:val="24"/>
                <w:highlight w:val="yellow"/>
              </w:rPr>
            </w:r>
            <w:r>
              <w:rPr>
                <w:color w:val="ff0000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07"/>
              <w:ind w:left="0"/>
              <w:jc w:val="both"/>
              <w:widowControl w:val="off"/>
              <w:tabs>
                <w:tab w:val="left" w:pos="300" w:leader="none"/>
              </w:tabs>
              <w:rPr>
                <w:sz w:val="24"/>
                <w:szCs w:val="24"/>
                <w:highlight w:val="yellow"/>
              </w:rPr>
            </w:pPr>
            <w:r/>
            <w:bookmarkStart w:id="1" w:name="_Hlk127177178"/>
            <w:r>
              <w:rPr>
                <w:sz w:val="24"/>
                <w:szCs w:val="24"/>
              </w:rPr>
              <w:t xml:space="preserve">Формирование и удовлетворение культурных запросов и духовных потребностей населения путем создания условий для комплексного развития культурного потенциала</w:t>
            </w:r>
            <w:bookmarkEnd w:id="1"/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2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(подпрограмма) 1 «Комплексное развитие отрасли культуры, дополнительного образования в сфере культуры и искусства».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(Ответственный исполнитель направления (подпрограммы) – Отдел культуры, спорта и молодежной политики администрации Печенгского муниципального округа (далее – Отдел КСиМП)).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(подпрограмма) 2 «Наследие».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tabs>
                <w:tab w:val="left" w:pos="2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(Ответственные исполнители направления (подпрограммы) – Администрация Печенгского муниципального округа (далее – Администрация), Отдел КСиМП).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муниципальной программы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2026 - 2028 годы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Финансовое обеспечение муниципальной программы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8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89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 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194 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5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48,64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рублей</w:t>
            </w:r>
            <w:r>
              <w:rPr>
                <w:b/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</w:t>
            </w:r>
            <w:r>
              <w:rPr>
                <w:sz w:val="24"/>
                <w:szCs w:val="24"/>
              </w:rPr>
              <w:t xml:space="preserve">870 206 534,92</w:t>
            </w:r>
            <w:r>
              <w:rPr>
                <w:sz w:val="24"/>
                <w:szCs w:val="24"/>
              </w:rPr>
              <w:t xml:space="preserve">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324 828 880,92</w:t>
            </w:r>
            <w:r>
              <w:rPr>
                <w:sz w:val="24"/>
                <w:szCs w:val="24"/>
              </w:rPr>
              <w:t xml:space="preserve">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272 050 727,00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273 326 927,00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3 413 844,00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3 413 844,00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274 169,72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274 169,72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15 300 000,00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4 800 000,00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5 000 000,00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2028 год: 5 500 000,00 рублей.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2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Ожидаемые конечные результаты реализации муниципальной программы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Ожидаемые результаты реализации муниципальной программы к 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  <w:lang w:eastAsia="ru-RU"/>
              </w:rPr>
              <w:t xml:space="preserve">2029 году: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показатель независимой оценки качества условий оказания услуг в сфере культуры – на уровне не ниже 82,35 баллов;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численность обучающихся образовательных организаций в сфере культуры (среднегодовая) – 642 человека в 2028 году;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увеличение численности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 до 820 человек;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увеличение численности участников клубных формирований – до 1130 человек в 2028 году;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рост числа посещений культурно-массовых мероприятий,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проводимых муниципальными культурно-досуговыми учреждениями до 143430 посещений;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увеличение доли экспонируемых музейных предметов за отчетный период от общего количества предметов музейного фонда до 25,0 процентов;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сохранение динамики увеличения числа посещений библиотек (в стационарных условиях) на уровне 0,02 %;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сохранение отношения средней заработной платы работн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 на уровне 2024 года – 95%);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сохранение доли учреж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дений культуры и учреждений дополнительного образования в сфере культуры и искусства, в отношении которых осуществлены мероприятия по укреплению материально - технической базы и проведению текущих ремонтов, на уровне 100 % от общего числа таких учреждений;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пгт. Никель,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  <w:t xml:space="preserve">ул. Октябрьская, д. 1 (ДК «Восход») - 1 ед. в 2026 году;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12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увеличение доли объектов культурного наследия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находящихся в удовлетворительном состоянии.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КСиМП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</w:t>
            </w:r>
            <w:r>
              <w:rPr>
                <w:strike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КСиМП, подведомственные Отделу КСиМП учреждения, Администрация, муниципальное бюджетное учреждение «Ремонтно-эксплуатационная служба» (далее – МБУ «РЭС»)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Государственная программа Мурманской области «Культура»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7"/>
        <w:numPr>
          <w:ilvl w:val="0"/>
          <w:numId w:val="26"/>
        </w:numPr>
        <w:ind w:left="0" w:firstLine="0"/>
        <w:jc w:val="center"/>
        <w:tabs>
          <w:tab w:val="left" w:pos="993" w:leader="none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Приоритеты и задачи муниципального управления в сфере реализации муниципальной программы «Культура»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Приоритеты муниципальной политики в сфере реализации муни</w:t>
      </w:r>
      <w:r>
        <w:rPr>
          <w:sz w:val="24"/>
          <w:szCs w:val="24"/>
        </w:rPr>
        <w:t xml:space="preserve">ципальной программы Печенгского муниципального округа «Культура» на 2026-2028 годы (далее – Программа) определены Законом Российской Федерации «Основы законодательства Российской Федерации о культуре», Стратегией государственной культурной политики на пери</w:t>
      </w:r>
      <w:r>
        <w:rPr>
          <w:sz w:val="24"/>
          <w:szCs w:val="24"/>
        </w:rPr>
        <w:t xml:space="preserve">од до 2030 года, в ежегодных посланиях Президента Российской Федерации Федеральному Собранию Российской Федерации, с учетом поручений Губернатора Мурманской области, на основании прогноза социально-экономического развития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указанными документами сформированы следующие задачи муниципальной политики в сфере реализации Программы: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качественный уровень развития учреждений культурно-досугового типа;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внедрение инновационных форм библиотечно-информационного обслуживания;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создание благоприятных условий для устойчивого развития дополнительного образования в сфере культуры.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Приоритеты государственной политики в сфере реализации Программы определены исходя из положений стратегических документов: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993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ab/>
        <w:t xml:space="preserve">Указа Президента Российской Федерации от 7 мая 2024 года № 309 </w:t>
      </w:r>
      <w:r>
        <w:rPr>
          <w:rFonts w:eastAsia="SimSun"/>
          <w:color w:val="000000"/>
          <w:sz w:val="24"/>
          <w:szCs w:val="24"/>
          <w:lang w:eastAsia="zh-CN" w:bidi="hi-IN"/>
        </w:rPr>
        <w:br/>
        <w:t xml:space="preserve">«О национальных целях развития Российской Федерации на период до 2030 года и на перспективу до 2036 года»;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993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ab/>
        <w:t xml:space="preserve">Стратегии государственной культурной политики на период до 2030 года, утвержденной распоряжением Правительства Российской Федерации от 11.09.2024 </w:t>
      </w:r>
      <w:r>
        <w:rPr>
          <w:rFonts w:eastAsia="SimSun"/>
          <w:color w:val="000000"/>
          <w:sz w:val="24"/>
          <w:szCs w:val="24"/>
          <w:lang w:eastAsia="zh-CN" w:bidi="hi-IN"/>
        </w:rPr>
        <w:br/>
        <w:t xml:space="preserve">№ 2501-р;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993" w:leader="none"/>
        </w:tabs>
        <w:rPr>
          <w:rFonts w:eastAsia="SimSun"/>
          <w:color w:val="000000"/>
          <w:sz w:val="24"/>
          <w:szCs w:val="24"/>
          <w:lang w:eastAsia="zh-CN" w:bidi="hi-IN"/>
        </w:rPr>
      </w:pPr>
      <w:r>
        <w:rPr>
          <w:rFonts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eastAsia="SimSun"/>
          <w:color w:val="000000"/>
          <w:sz w:val="24"/>
          <w:szCs w:val="24"/>
          <w:lang w:eastAsia="zh-CN" w:bidi="hi-IN"/>
        </w:rPr>
        <w:tab/>
        <w:t xml:space="preserve">иными нормативными правовыми документами федерального и регионального законодательства органов исполнительной власти, касающихся управления в сфере культуры.</w:t>
      </w:r>
      <w:r>
        <w:rPr>
          <w:rFonts w:eastAsia="SimSun"/>
          <w:color w:val="000000"/>
          <w:sz w:val="24"/>
          <w:szCs w:val="24"/>
          <w:lang w:eastAsia="zh-CN" w:bidi="hi-IN"/>
        </w:rPr>
      </w:r>
      <w:r>
        <w:rPr>
          <w:rFonts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Печенгском муниципальном округе Программа реализуется отделом КСиМП, при участии подведомственных ему учреждений.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Целью Программы является - формирование и удовлетворение культурных запросов и духовных потребностей населения путем создания условий для комплексного развития культурного потенциала.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ее достижения предполагается реализация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укрепление гражданской идентичности;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сохранение исторического и культурного наследия и его использование для воспитания и образования;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передача от поколения к поколению традиционных для российской цивилизации ценностей и норм, традиций, обычаев и образцов поведения;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создание условий для реализации каждым человеком его творческого потенциала;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обеспечение доступа граждан к знаниям, информации, культурным ценностям и благам.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реализации мероприятий Программы в трехлетнем периоде предполагается осуществлять работу по следующим направлениям: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обеспечение деятельности учреждений культуры;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осуществление государственной поддержки лучших муниципальных учреждений культуры, находящихся на территориях сельских населенных пунктов;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поддержка непрерывного образования и повышения квалификации творческих и управленческих кадров в сфере культуры для обеспечения организаций культуры высокопрофессиональными кадрами;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повышение вовлеченности граждан в деятельность в сфере культуры (создание условий для реализации творческого потенциала, воспитания на основе традиционных российских духовно-нравственных ценностей);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сохранение национального культурного наследия, содействие реализации талантливых и перспективных проектов в области культуры и искусства, воспитание, просвещение и поддержку молодого поколения;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увеличение уровня удовлетворенности граждан Печенгского муниципального округа доступностью и качеством услуг учреждений культуры;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создание и модернизация учреждений культурно-досугового типа;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обеспечение развития и укрепления материально-технической базы, оснащение музыкальными инструментами, оборудованием и учебными материалами образовательных организаций в сфере культуры;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реализация проектов по сохранению объектов культурного наследия;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  <w:t xml:space="preserve">создание культурно-образовательных и музейных комплексов.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822" w:left="1701" w:header="720" w:footer="720" w:gutter="0"/>
          <w:cols w:num="1" w:sep="0" w:space="720" w:equalWidth="1"/>
          <w:docGrid w:linePitch="360"/>
        </w:sect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/>
      <w:bookmarkStart w:id="2" w:name="P446"/>
      <w:r/>
      <w:bookmarkEnd w:id="2"/>
      <w:r>
        <w:rPr>
          <w:rFonts w:eastAsia="Times New Roman"/>
          <w:b/>
          <w:sz w:val="24"/>
        </w:rPr>
        <w:t xml:space="preserve">2. Перечень показателей муниципальной программы</w:t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p>
      <w:pPr>
        <w:jc w:val="center"/>
        <w:widowControl w:val="off"/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  <w:r>
        <w:rPr>
          <w:rFonts w:eastAsia="Times New Roman"/>
          <w:b/>
          <w:sz w:val="24"/>
        </w:rPr>
      </w:r>
    </w:p>
    <w:tbl>
      <w:tblPr>
        <w:tblW w:w="14743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103"/>
        <w:gridCol w:w="993"/>
        <w:gridCol w:w="992"/>
        <w:gridCol w:w="1134"/>
        <w:gridCol w:w="992"/>
        <w:gridCol w:w="992"/>
        <w:gridCol w:w="993"/>
        <w:gridCol w:w="99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Ед. изм.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Направленность показателя</w:t>
            </w:r>
            <w:r>
              <w:rPr>
                <w:rFonts w:eastAsia="Times New Roman"/>
                <w:sz w:val="19"/>
                <w:szCs w:val="19"/>
                <w:vertAlign w:val="superscript"/>
              </w:rPr>
              <w:t xml:space="preserve">1</w:t>
            </w:r>
            <w:r>
              <w:rPr>
                <w:rFonts w:eastAsia="Times New Roman"/>
                <w:sz w:val="19"/>
                <w:szCs w:val="19"/>
              </w:rPr>
              <w:t xml:space="preserve"> 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Значение 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Соисполнитель,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ответственный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 достижение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2024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2025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оценка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034" w:type="dxa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Муниципальная программа </w:t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  <w:t xml:space="preserve">«Культура»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  <w:p>
            <w:pPr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Цель муниципальной программы: </w:t>
            </w:r>
            <w:r>
              <w:rPr>
                <w:b/>
                <w:color w:val="000000"/>
                <w:u w:val="single"/>
              </w:rPr>
              <w:t xml:space="preserve">Формирование и удовлетворение культурных запросов и духовных потребностей населения путем создания условий для комплексного развития культурного потенциала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Результаты независимой оценки качества условий оказания услуг в сфере культуры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баллы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82,35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82,35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82,35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82,35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82,35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Отношение средней заработной платы работников учреждений культуры к с</w:t>
            </w:r>
            <w:r>
              <w:rPr>
                <w:rFonts w:eastAsia="Times New Roman"/>
              </w:rPr>
              <w:t xml:space="preserve">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 (сохранение заработной платы на уровне 2024 года – 95%)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Доля объектов культурного наследия</w:t>
            </w:r>
            <w:r>
              <w:rPr>
                <w:rFonts w:eastAsia="Times New Roman"/>
              </w:rPr>
              <w:t xml:space="preserve">,</w:t>
            </w:r>
            <w:r>
              <w:rPr>
                <w:rFonts w:eastAsia="Times New Roman"/>
              </w:rPr>
              <w:t xml:space="preserve"> находящихся в удовлетворительном состоянии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83,33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88,89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88,89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88,89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034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1 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Цель: Создание условий для обеспечения современной, доступной и динамично развивающейся культурно-образовательной среды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Численность обучающихся образовательных организаций в сфере культуры (среднегодовая)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человек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633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597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612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627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642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trike/>
              </w:rPr>
            </w:pPr>
            <w:r>
              <w:rPr>
                <w:rFonts w:eastAsia="Times New Roman"/>
              </w:rPr>
              <w:t xml:space="preserve">Численность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</w:t>
            </w:r>
            <w:r>
              <w:rPr>
                <w:rFonts w:eastAsia="Times New Roman"/>
                <w:strike/>
              </w:rPr>
            </w:r>
            <w:r>
              <w:rPr>
                <w:rFonts w:eastAsia="Times New Roman"/>
                <w:strike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человек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785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800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810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815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820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Численность участников клубных формирований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человек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1069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1080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1130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1.4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Число посещений культурно-массовых мероприятий, проводимых муниципальными культурно-досуговыми учреждениями 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единиц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143421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143425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143427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143429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143430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Доля экспонируемых музейных предметов за отчетный период от общего количества предметов музейного фонда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11,6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15,0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17,0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20,0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25,0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  «Историко - краеведческий музей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Динамика увеличения числа посещений библиотек (в стационарных условиях)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МБКПУ «Печенгское межпоселенческое библиотечное объединение»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Комплектование книжных фондов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МБКПУ «Печенгское межпоселенческое библиотечное объединение»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/>
            <w:bookmarkStart w:id="3" w:name="p125"/>
            <w:r/>
            <w:bookmarkEnd w:id="3"/>
            <w:r>
              <w:rPr>
                <w:rFonts w:eastAsia="Times New Roman"/>
              </w:rPr>
              <w:t xml:space="preserve">1.8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pStyle w:val="899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процент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  <w:rPr>
                <w:lang w:val="en-US"/>
              </w:rPr>
            </w:pPr>
            <w:r>
              <w:t xml:space="preserve">100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Подведомственные Отделу КСиМП учреждения</w:t>
            </w:r>
            <w:r/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1.9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пгт. Никель, ул. Октябрьская, д. 1 (ДК «Восход»)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trike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«Центр культуры Печенгского муниципального округа» (далее – МБУК «ЦКПМО»)</w:t>
            </w:r>
            <w:r>
              <w:rPr>
                <w:rFonts w:eastAsia="Times New Roman"/>
                <w:strike/>
              </w:rPr>
            </w:r>
            <w:r>
              <w:rPr>
                <w:rFonts w:eastAsia="Times New Roman"/>
                <w:strike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034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2 «Наследие»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Цель: Сохранение объектов культурного наследия.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 объектов культурного наследия, в отношении которых выполнен текущий ремонт и (или) осуществлено благоустройство территории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</w:rPr>
              <w:t xml:space="preserve">МБУ «РЭС»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</w:tr>
    </w:tbl>
    <w:p>
      <w:pPr>
        <w:pStyle w:val="898"/>
        <w:jc w:val="both"/>
        <w:spacing w:before="0" w:beforeAutospacing="0" w:after="0" w:afterAutospacing="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</w:p>
    <w:p>
      <w:pPr>
        <w:pStyle w:val="898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993" w:leader="none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3. Перечень структурных элементов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746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4452"/>
        <w:gridCol w:w="1276"/>
        <w:gridCol w:w="1842"/>
        <w:gridCol w:w="666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 выполнения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51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6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1 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0.1. Результаты независимой оценки качества условий оказания услуг в сфере культуры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</w:pPr>
            <w:r>
              <w:rPr>
                <w:rFonts w:eastAsia="Times New Roman"/>
              </w:rPr>
              <w:t xml:space="preserve">0.2. Отношение сре</w:t>
            </w:r>
            <w:r>
              <w:rPr>
                <w:rFonts w:eastAsia="Times New Roman"/>
              </w:rPr>
              <w:t xml:space="preserve">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</w:t>
            </w:r>
            <w:r/>
          </w:p>
          <w:p>
            <w:pPr>
              <w:jc w:val="both"/>
            </w:pPr>
            <w:r>
              <w:rPr>
                <w:rFonts w:eastAsia="Times New Roman"/>
              </w:rPr>
              <w:t xml:space="preserve">1.1. Численность обучающихся образовательных организаций в сфере культуры (среднегодовая)</w:t>
            </w:r>
            <w:r/>
          </w:p>
          <w:p>
            <w:pPr>
              <w:jc w:val="both"/>
            </w:pPr>
            <w:r>
              <w:rPr>
                <w:rFonts w:eastAsia="Times New Roman"/>
              </w:rPr>
              <w:t xml:space="preserve">1.2. Численность обучающихся образовательных организаций в сфере культуры, принявших участие в творческих мероприятиях, в том числе, в мероприятиях и конкурсах регионального, всероссийского, международного уровней</w:t>
            </w:r>
            <w:r/>
          </w:p>
          <w:p>
            <w:pPr>
              <w:jc w:val="both"/>
            </w:pPr>
            <w:r>
              <w:rPr>
                <w:rFonts w:eastAsia="Times New Roman"/>
              </w:rPr>
              <w:t xml:space="preserve">1.3. Численность участников клубных формирований</w:t>
            </w:r>
            <w:r/>
          </w:p>
          <w:p>
            <w:pPr>
              <w:jc w:val="both"/>
            </w:pPr>
            <w:r>
              <w:rPr>
                <w:rFonts w:eastAsia="Times New Roman"/>
              </w:rPr>
              <w:t xml:space="preserve">1.4. Число посещений культурно-массовых мероприятий, проводимых муниципальными культурно-досуговыми учреждениями</w:t>
            </w:r>
            <w:r/>
          </w:p>
          <w:p>
            <w:pPr>
              <w:jc w:val="both"/>
            </w:pPr>
            <w:r>
              <w:rPr>
                <w:rFonts w:eastAsia="Times New Roman"/>
              </w:rPr>
              <w:t xml:space="preserve">1.5. Доля экспонируемых музейных предметов за отчетный период от общего количества предметов музейного фонда</w:t>
            </w:r>
            <w:r/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1.6. Динамика увеличения числа посещений библиотек (в стационарных условиях)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</w:pPr>
            <w:r>
              <w:rPr>
                <w:rFonts w:eastAsia="Times New Roman"/>
              </w:rPr>
              <w:t xml:space="preserve">1.7. Комплектование книжных фондов</w:t>
            </w:r>
            <w:r/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/>
              </w:rPr>
              <w:t xml:space="preserve">1.8. Укрепление материально-технической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  <w:i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  <w:b/>
                <w:i/>
              </w:rPr>
              <w:t xml:space="preserve"> </w:t>
            </w:r>
            <w:r>
              <w:rPr>
                <w:rFonts w:eastAsia="Times New Roman"/>
              </w:rPr>
              <w:t xml:space="preserve">«Модернизация имущественного комплекса муниципальных учреждений»</w:t>
            </w:r>
            <w:r>
              <w:rPr>
                <w:rFonts w:eastAsia="Times New Roman"/>
                <w:b/>
                <w:i/>
              </w:rPr>
              <w:t xml:space="preserve"> </w:t>
            </w:r>
            <w:r>
              <w:rPr>
                <w:rFonts w:eastAsia="Times New Roman"/>
                <w:b/>
                <w:i/>
              </w:rPr>
            </w:r>
            <w:r>
              <w:rPr>
                <w:rFonts w:eastAsia="Times New Roman"/>
                <w:b/>
                <w:i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МБУК «ЦКПМО»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textDirection w:val="lrTb"/>
            <w:noWrap w:val="false"/>
          </w:tcPr>
          <w:p>
            <w:pPr>
              <w:jc w:val="both"/>
            </w:pPr>
            <w:r>
              <w:rPr>
                <w:rFonts w:eastAsia="Times New Roman"/>
              </w:rPr>
              <w:t xml:space="preserve">1.9.</w:t>
            </w:r>
            <w:r>
              <w:t xml:space="preserve"> </w:t>
            </w:r>
            <w:r>
              <w:rPr>
                <w:rFonts w:eastAsia="Times New Roman"/>
              </w:rPr>
              <w:t xml:space="preserve">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пгт. Никель, </w:t>
            </w:r>
            <w:r>
              <w:rPr>
                <w:rFonts w:eastAsia="Times New Roman"/>
              </w:rPr>
              <w:br/>
              <w:t xml:space="preserve">ул. Октябрьская, д. 1 (ДК «Восход»)</w:t>
            </w:r>
            <w:r/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6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2 «Наследие»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Комплекс пр</w:t>
            </w:r>
            <w:r>
              <w:rPr>
                <w:rFonts w:eastAsia="Times New Roman"/>
                <w:b/>
              </w:rPr>
              <w:t xml:space="preserve">оцессных</w:t>
            </w:r>
            <w:r>
              <w:rPr>
                <w:rFonts w:eastAsia="Times New Roman"/>
                <w:b/>
              </w:rPr>
              <w:t xml:space="preserve"> мероприятий </w:t>
            </w:r>
            <w:r>
              <w:rPr>
                <w:rFonts w:eastAsia="Times New Roman"/>
                <w:b/>
              </w:rPr>
              <w:t xml:space="preserve">3</w:t>
            </w:r>
            <w:r>
              <w:rPr>
                <w:rFonts w:eastAsia="Times New Roman"/>
                <w:b/>
                <w:i/>
              </w:rPr>
              <w:t xml:space="preserve"> </w:t>
            </w:r>
            <w:r>
              <w:rPr>
                <w:rFonts w:eastAsia="Times New Roman"/>
              </w:rPr>
              <w:t xml:space="preserve">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 «РЭС»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0.3. Доля объектов культурного наследия</w:t>
            </w:r>
            <w:r>
              <w:rPr>
                <w:rFonts w:eastAsia="Times New Roman"/>
              </w:rPr>
              <w:t xml:space="preserve">,</w:t>
            </w:r>
            <w:r>
              <w:rPr>
                <w:rFonts w:eastAsia="Times New Roman"/>
              </w:rPr>
              <w:t xml:space="preserve"> находящихся в удовлетворительном состоянии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2.1. Количество объектов культурного наследия, в отношении которых выполнен текущий ремонт и (или) осуществлено благоустройство территории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pStyle w:val="898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98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  <w:t xml:space="preserve">4. Перечень объектов капитального строительства </w:t>
      </w:r>
      <w:r>
        <w:rPr>
          <w:b/>
        </w:rPr>
      </w:r>
      <w:r>
        <w:rPr>
          <w:b/>
        </w:rPr>
      </w:r>
    </w:p>
    <w:p>
      <w:pPr>
        <w:pStyle w:val="898"/>
        <w:contextualSpacing/>
        <w:ind w:firstLine="284"/>
        <w:jc w:val="center"/>
        <w:spacing w:before="168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Style w:val="906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93"/>
        <w:gridCol w:w="1470"/>
        <w:gridCol w:w="1150"/>
        <w:gridCol w:w="1288"/>
        <w:gridCol w:w="1645"/>
        <w:gridCol w:w="1035"/>
        <w:gridCol w:w="1405"/>
        <w:gridCol w:w="1405"/>
        <w:gridCol w:w="1405"/>
        <w:gridCol w:w="1379"/>
      </w:tblGrid>
      <w:tr>
        <w:tblPrEx/>
        <w:trPr>
          <w:trHeight w:val="228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199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объекта капитального строительства</w:t>
            </w:r>
            <w:r/>
          </w:p>
        </w:tc>
        <w:tc>
          <w:tcPr>
            <w:tcW w:w="147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Соисполнитель, заказчик</w:t>
            </w:r>
            <w:r/>
          </w:p>
        </w:tc>
        <w:tc>
          <w:tcPr>
            <w:tcW w:w="115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Проектная мощность</w:t>
            </w:r>
            <w:r/>
          </w:p>
        </w:tc>
        <w:tc>
          <w:tcPr>
            <w:tcW w:w="128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Сроки и этапы выполнения работ</w:t>
            </w:r>
            <w:r/>
          </w:p>
        </w:tc>
        <w:tc>
          <w:tcPr>
            <w:tcW w:w="1645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Общая стоимость объекта, рублей</w:t>
            </w:r>
            <w:r/>
          </w:p>
        </w:tc>
        <w:tc>
          <w:tcPr>
            <w:gridSpan w:val="5"/>
            <w:tcW w:w="6629" w:type="dxa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финансирования, рублей</w:t>
            </w:r>
            <w:r/>
          </w:p>
        </w:tc>
      </w:tr>
      <w:tr>
        <w:tblPrEx/>
        <w:trPr>
          <w:trHeight w:val="685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jc w:val="center"/>
            </w:pPr>
            <w:r>
              <w:t xml:space="preserve">Год/ источник</w:t>
            </w:r>
            <w:r/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/>
          </w:p>
        </w:tc>
        <w:tc>
          <w:tcPr>
            <w:tcW w:w="1379" w:type="dxa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/>
          </w:p>
        </w:tc>
      </w:tr>
      <w:tr>
        <w:tblPrEx/>
        <w:trPr>
          <w:trHeight w:val="228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5"/>
            <w:tcW w:w="7546" w:type="dxa"/>
            <w:vMerge w:val="restart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Муниципальная программа </w:t>
            </w:r>
            <w:r>
              <w:rPr>
                <w:b/>
              </w:rPr>
              <w:t xml:space="preserve">«Культура»               </w:t>
            </w:r>
            <w:r>
              <w:rPr>
                <w:b/>
              </w:rPr>
              <w:t xml:space="preserve">                                                 Комплекс проектных мероприятий 2. </w:t>
            </w:r>
            <w:r>
              <w:rPr>
                <w:b/>
              </w:rPr>
              <w:t xml:space="preserve">«</w:t>
            </w:r>
            <w:r>
              <w:rPr>
                <w:b/>
              </w:rPr>
              <w:t xml:space="preserve">Модернизация имущественного комплекса муниципальных учреждений</w:t>
            </w:r>
            <w:r>
              <w:rPr>
                <w:b/>
              </w:rP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b/>
                <w:color w:val="000000"/>
                <w:sz w:val="18"/>
                <w:szCs w:val="18"/>
              </w:rPr>
              <w:t xml:space="preserve">16 120 974,37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16 120 974,37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546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16 120 974,37   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16 120 974,37   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546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546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5"/>
            <w:tcW w:w="7546" w:type="dxa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28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W w:w="1993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"Разработка проектно-сметной документации на реконструкцию здания МБУК </w:t>
            </w:r>
            <w:r>
              <w:t xml:space="preserve">«</w:t>
            </w:r>
            <w:r>
              <w:t xml:space="preserve">Центр культуры Печенгского муниципального округа</w:t>
            </w:r>
            <w:r>
              <w:t xml:space="preserve">»</w:t>
            </w:r>
            <w:r>
              <w:t xml:space="preserve">, расположенного по адресу: Мурманская область,</w:t>
            </w:r>
            <w:r>
              <w:t xml:space="preserve"> </w:t>
            </w:r>
            <w:r>
              <w:t xml:space="preserve">пгт. Никель, ул. Октябрьская, д.1 (ДК </w:t>
            </w:r>
            <w:r>
              <w:t xml:space="preserve">«</w:t>
            </w:r>
            <w:r>
              <w:t xml:space="preserve">Восход</w:t>
            </w:r>
            <w:r>
              <w:t xml:space="preserve">»</w:t>
            </w:r>
            <w:bookmarkStart w:id="4" w:name="_GoBack"/>
            <w:r/>
            <w:bookmarkEnd w:id="4"/>
            <w:r>
              <w:t xml:space="preserve">)</w:t>
            </w:r>
            <w:r/>
          </w:p>
        </w:tc>
        <w:tc>
          <w:tcPr>
            <w:tcW w:w="1470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Отдел КСиМП</w:t>
            </w:r>
            <w:r/>
          </w:p>
        </w:tc>
        <w:tc>
          <w:tcPr>
            <w:shd w:val="clear" w:color="auto" w:fill="auto"/>
            <w:tcW w:w="1150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rPr>
                <w:color w:val="2c2d2e"/>
                <w:shd w:val="clear" w:color="auto" w:fill="ffffff"/>
              </w:rPr>
              <w:t xml:space="preserve">4 595,8 м.кв.</w:t>
            </w:r>
            <w:r/>
          </w:p>
        </w:tc>
        <w:tc>
          <w:tcPr>
            <w:tcW w:w="1288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2026</w:t>
            </w:r>
            <w:r>
              <w:t xml:space="preserve"> </w:t>
            </w:r>
            <w:r/>
          </w:p>
        </w:tc>
        <w:tc>
          <w:tcPr>
            <w:tcW w:w="1645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16 120 974,37</w:t>
            </w:r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16 120 974,37  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16 120 974,37   </w:t>
            </w:r>
            <w:r>
              <w:rPr>
                <w:b/>
                <w:bCs/>
                <w:color w:val="000000"/>
                <w:sz w:val="18"/>
                <w:szCs w:val="18"/>
              </w:rPr>
            </w:r>
            <w:r>
              <w:rPr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0,00</w: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</w:tr>
      <w:tr>
        <w:tblPrEx/>
        <w:trPr>
          <w:trHeight w:val="228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16 120 974,37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16 120 974,37   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54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99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7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4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5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0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37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5. Перечень мер налогового регулирования (налоговых расходов) в сфере реализации муниципальной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544"/>
        <w:gridCol w:w="1418"/>
        <w:gridCol w:w="1417"/>
        <w:gridCol w:w="1418"/>
        <w:gridCol w:w="2551"/>
        <w:gridCol w:w="354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меры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 выпадающих доходов бюджета округа (руб.)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Основание применения меры налогового регулирования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План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98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Освобождение от н</w:t>
            </w:r>
            <w:r>
              <w:rPr>
                <w:sz w:val="20"/>
                <w:szCs w:val="20"/>
              </w:rPr>
              <w:t xml:space="preserve">алогообложения земельным налогом учреждения культуры, финансируемые из бюджета муниципального образования Печенгский муниципальный округ, в отношении земельных участков, предоставленных для непосредственного выполнения возложенных на эти учреждения функций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214 177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214 177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214 177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ind w:right="142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Подпункт 4.1 пункта 4 решения Совета депутатов Печенгского муниципального округа от 23.10.2020 № 39 «Об установлении земельного налога на территории муниципального образования Печенгский муниципальный округ Мурманской области» </w:t>
            </w:r>
            <w:r>
              <w:t xml:space="preserve">(в ред. от 13.02.2026)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t xml:space="preserve">0.9. 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spacing w:line="288" w:lineRule="atLeast"/>
        <w:rPr>
          <w:rFonts w:eastAsia="Times New Roman"/>
          <w:b/>
          <w:sz w:val="24"/>
          <w:szCs w:val="24"/>
          <w:highlight w:val="yellow"/>
        </w:rPr>
      </w:pPr>
      <w:r>
        <w:rPr>
          <w:rFonts w:eastAsia="Times New Roman"/>
          <w:b/>
          <w:sz w:val="24"/>
          <w:szCs w:val="24"/>
          <w:highlight w:val="yellow"/>
        </w:rPr>
      </w:r>
      <w:r>
        <w:rPr>
          <w:rFonts w:eastAsia="Times New Roman"/>
          <w:b/>
          <w:sz w:val="24"/>
          <w:szCs w:val="24"/>
          <w:highlight w:val="yellow"/>
        </w:rPr>
      </w:r>
      <w:r>
        <w:rPr>
          <w:rFonts w:eastAsia="Times New Roman"/>
          <w:b/>
          <w:sz w:val="24"/>
          <w:szCs w:val="24"/>
          <w:highlight w:val="yellow"/>
        </w:rPr>
      </w:r>
    </w:p>
    <w:p>
      <w:pPr>
        <w:jc w:val="center"/>
        <w:spacing w:line="288" w:lineRule="atLeast"/>
        <w:rPr>
          <w:rFonts w:eastAsia="Times New Roman"/>
          <w:b/>
          <w:sz w:val="24"/>
          <w:szCs w:val="24"/>
          <w:highlight w:val="yellow"/>
        </w:rPr>
      </w:pPr>
      <w:r>
        <w:rPr>
          <w:rFonts w:eastAsia="Times New Roman"/>
          <w:b/>
          <w:sz w:val="24"/>
          <w:szCs w:val="24"/>
          <w:highlight w:val="yellow"/>
        </w:rPr>
      </w:r>
      <w:r>
        <w:rPr>
          <w:rFonts w:eastAsia="Times New Roman"/>
          <w:b/>
          <w:sz w:val="24"/>
          <w:szCs w:val="24"/>
          <w:highlight w:val="yellow"/>
        </w:rPr>
      </w:r>
      <w:r>
        <w:rPr>
          <w:rFonts w:eastAsia="Times New Roman"/>
          <w:b/>
          <w:sz w:val="24"/>
          <w:szCs w:val="24"/>
          <w:highlight w:val="yellow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6.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743" w:type="dxa"/>
        <w:tblInd w:w="-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3863"/>
        <w:gridCol w:w="1134"/>
        <w:gridCol w:w="1134"/>
        <w:gridCol w:w="1559"/>
        <w:gridCol w:w="1559"/>
        <w:gridCol w:w="1418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</w:t>
            </w:r>
            <w:r>
              <w:rPr>
                <w:rFonts w:eastAsia="Times New Roman"/>
                <w:b/>
                <w:u w:val="single"/>
              </w:rPr>
              <w:t xml:space="preserve">«Культура»</w:t>
            </w:r>
            <w:r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889 194 548,64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333 316 894,64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870 206 534,92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324 828 880,92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272 050 727,00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273 326 927,00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3 413 844,00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3 413 844,00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15 300 000,00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4 800 000,00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5 000 000,00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5 500 000,00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879 194 548,64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323 316 894,64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860 206 534,92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  <w:lang w:val="en-US"/>
              </w:rPr>
              <w:t xml:space="preserve">314 828 880</w:t>
            </w:r>
            <w:r>
              <w:rPr>
                <w:rFonts w:eastAsia="Times New Roman"/>
                <w:szCs w:val="18"/>
              </w:rPr>
              <w:t xml:space="preserve">,92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3 413 844,00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3 413 844,00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10 000 000,00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10 000 000,00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10 000 000,00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10 000 000,00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1 </w:t>
            </w:r>
            <w:r>
              <w:rPr>
                <w:rFonts w:eastAsia="Times New Roman"/>
              </w:rPr>
              <w:t xml:space="preserve">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877 874 548,64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321 996 894,64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858 886 534,92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313 508 880,92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3 413 844,00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3 413 844,00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861 753 574,27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305 875 920,27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842 765 560,55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297 387 906,55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3 413 844,00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3 413 844,00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«ЦКПМО»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«Наследие»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11 320 000,00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11 320 000,00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8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11 320 000,00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11 320 000,00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3</w:t>
            </w:r>
            <w:r>
              <w:rPr>
                <w:rFonts w:eastAsia="Times New Roman"/>
              </w:rPr>
              <w:t xml:space="preserve"> 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11 320 000,00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11 320 000,00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11 320 000,00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11 320 000,00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</w:tbl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7. Механизмы управления рисками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5000" w:type="pct"/>
        <w:tblInd w:w="-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1712"/>
        <w:gridCol w:w="3079"/>
        <w:gridCol w:w="3124"/>
        <w:gridCol w:w="4080"/>
        <w:gridCol w:w="162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Ожидаемые последствия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Меры по предотвращению наступления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Меры реагирования при наличии признаков наступления риска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Периодичность мониторинга рисков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8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Правовой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7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Недостаточное нормативное правовое обеспечение реализации программы, непринятие или несвоевременное принятие необходимых нормативных актов в связи с изменением федерального законодательства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3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Мониторинг изменений федерального и регионального законодательства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Внесение изменений или принятие необходимых муниципальных нормативных правовых актов в соответствии с изменениями федерального и регионального  законодательства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Постоянно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8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Финансово-экономические риски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7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Нарушение сроков выполнения мероприятий и недостижение запланированных результатов, вызванные невыполнением в полном объеме исполнителями мероприя</w:t>
            </w:r>
            <w:r>
              <w:rPr>
                <w:rFonts w:eastAsia="Times New Roman"/>
              </w:rPr>
              <w:t xml:space="preserve">тий (результатов), реализация которых предусмотрена Программой (муниципальными учреждениями, органами местного самоуправления, подрядчиками по муниципальным контрактам, получателями целевых субсидий и грантов), принятых по программе финансовых обязательств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3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Мониторинг реализации мероприятий (результатов) и своевременности исполнения обязательств, принятых на себя соответствующими получателями бюджетных средств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Внесение изменений или расторжение соглашений о предоставлении целевых бюджетных средств, применение штрафных санкций.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Внесение изменений в части уточнения целевых значений показателей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Ежеквартально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8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" w:type="pc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Административный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7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Нарушение сроков и недостижение запланированных мероприятий (результатов), вызванные неэффективной системой управления или введением различных ограничительных мер)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3" w:type="pct"/>
            <w:textDirection w:val="lrTb"/>
            <w:noWrap w:val="false"/>
          </w:tcPr>
          <w:p>
            <w:pPr>
              <w:pStyle w:val="898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Перераспределение объемов финансирования в зависимости от динамики и темпов достижения поставленных целей и внешних факторов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98"/>
              <w:jc w:val="both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" w:type="pct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Корректировка показателей, а также мероприятий (результатов) Программы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0" w:type="pc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Ежеквартально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ind w:left="360"/>
        <w:jc w:val="center"/>
        <w:widowControl w:val="off"/>
        <w:tabs>
          <w:tab w:val="left" w:pos="0" w:leader="none"/>
        </w:tabs>
        <w:rPr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851" w:bottom="993" w:left="1701" w:header="720" w:footer="720" w:gutter="0"/>
          <w:cols w:num="1" w:sep="0" w:space="720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60"/>
        <w:jc w:val="center"/>
        <w:widowControl w:val="off"/>
        <w:tabs>
          <w:tab w:val="left" w:pos="0" w:leader="none"/>
        </w:tabs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8. Порядок взаимодействия </w:t>
      </w:r>
      <w:r>
        <w:rPr>
          <w:rFonts w:eastAsia="Times New Roman"/>
          <w:b/>
          <w:sz w:val="24"/>
          <w:szCs w:val="24"/>
        </w:rPr>
        <w:t xml:space="preserve">Ответственного исполнителя, Соисполнителей и участников муниципальной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r/>
      <w:bookmarkStart w:id="5" w:name="Par3713"/>
      <w:r/>
      <w:bookmarkEnd w:id="5"/>
      <w:r/>
      <w:r/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Мониторинг и контроль реализации муниципальной программы осуществляется ответственным исполнителем программы – Отдел КСиМП: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</w:rPr>
        <w:t xml:space="preserve"> обеспечивает сов</w:t>
      </w:r>
      <w:r>
        <w:rPr>
          <w:rFonts w:eastAsia="Times New Roman"/>
          <w:sz w:val="24"/>
        </w:rPr>
        <w:t xml:space="preserve">местно с Соисполнителями разработку проекта муниципальной программы,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eastAsia="Times New Roman"/>
          <w:sz w:val="24"/>
          <w:szCs w:val="24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18.09.2025 № 1488 (далее – Порядок);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</w:rPr>
        <w:t xml:space="preserve">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 осуществляет мониторинг реализации муниципальной программы и подготовку отчетов о ходе реализации муниципальной программы в соответствии с требованиями Порядка.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Соисполнители муниципальной программы: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 обеспечивают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 несут ответственность за достижение плановых значений показателей муниципальной программы в части, их касающейся;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 формирует предложения по разработке проекта муниципальной программы, внесению изменений в муниципальную программу;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 в пределах своей компетенции участвуют в разработке плана реализации муниципальной программы, направляют финансовому управлению администрации Печенгского муниципального округа соответствующие предложения;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709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- представляют в отдел КСиМП в электронном виде в срок и по формам, установленным Порядком, всю необходимую информацию для проведения мониторинга и оценки эффективности муниципальной программы.</w:t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pStyle w:val="898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Участники муниципальной программы:</w:t>
      </w:r>
      <w:r/>
    </w:p>
    <w:p>
      <w:pPr>
        <w:pStyle w:val="898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- осуществляют реализацию мероприятий муниципальной программы, участниками которых они являются;</w:t>
      </w:r>
      <w:r/>
    </w:p>
    <w:p>
      <w:pPr>
        <w:pStyle w:val="898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- представляют ответственному исполнителю муницип</w:t>
      </w:r>
      <w: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/>
    </w:p>
    <w:p>
      <w:pPr>
        <w:pStyle w:val="898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- 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898"/>
        <w:ind w:firstLine="709"/>
        <w:jc w:val="both"/>
        <w:spacing w:before="0" w:beforeAutospacing="0" w:after="0" w:afterAutospacing="0" w:line="288" w:lineRule="atLeast"/>
      </w:pPr>
      <w: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/>
    </w:p>
    <w:p>
      <w:pPr>
        <w:pStyle w:val="898"/>
        <w:ind w:firstLine="709"/>
        <w:jc w:val="both"/>
        <w:spacing w:before="0" w:beforeAutospacing="0" w:after="0" w:afterAutospacing="0" w:line="288" w:lineRule="atLeast"/>
      </w:pPr>
      <w: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Порядком.</w:t>
      </w:r>
      <w:r/>
    </w:p>
    <w:p>
      <w:pPr>
        <w:ind w:firstLine="567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567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567"/>
        <w:jc w:val="both"/>
        <w:tabs>
          <w:tab w:val="left" w:pos="993" w:leader="none"/>
        </w:tabs>
        <w:rPr>
          <w:rFonts w:eastAsia="Times New Roman"/>
          <w:sz w:val="24"/>
        </w:r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p>
      <w:pPr>
        <w:ind w:firstLine="567"/>
        <w:jc w:val="both"/>
        <w:tabs>
          <w:tab w:val="left" w:pos="993" w:leader="none"/>
        </w:tabs>
        <w:rPr>
          <w:rFonts w:eastAsia="Times New Roman"/>
          <w:sz w:val="24"/>
        </w:rPr>
        <w:sectPr>
          <w:footnotePr/>
          <w:endnotePr/>
          <w:type w:val="nextPage"/>
          <w:pgSz w:w="11905" w:h="16838" w:orient="portrait"/>
          <w:pgMar w:top="1135" w:right="565" w:bottom="1701" w:left="1276" w:header="720" w:footer="720" w:gutter="0"/>
          <w:cols w:num="1" w:sep="0" w:space="720" w:equalWidth="1"/>
          <w:docGrid w:linePitch="360"/>
        </w:sectPr>
      </w:pP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  <w:r>
        <w:rPr>
          <w:rFonts w:eastAsia="Times New Roman"/>
          <w:sz w:val="24"/>
        </w:rPr>
      </w:r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>
        <w:tblPrEx/>
        <w:trPr/>
        <w:tc>
          <w:tcPr>
            <w:shd w:val="clear" w:color="auto" w:fill="auto"/>
            <w:tcW w:w="222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</w:tr>
    </w:tbl>
    <w:p>
      <w:pPr>
        <w:ind w:firstLine="709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9. Сведения об источниках и методике расчета значений показателей муниципальной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firstLine="709"/>
        <w:jc w:val="both"/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tbl>
      <w:tblPr>
        <w:tblW w:w="14743" w:type="dxa"/>
        <w:tblInd w:w="-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3273"/>
        <w:gridCol w:w="1121"/>
        <w:gridCol w:w="1417"/>
        <w:gridCol w:w="2977"/>
        <w:gridCol w:w="2268"/>
        <w:gridCol w:w="1276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показателя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Единица измерения, временная характеристика</w:t>
            </w:r>
            <w:r>
              <w:rPr>
                <w:rFonts w:eastAsia="Times New Roman"/>
                <w:vertAlign w:val="superscript"/>
              </w:rPr>
              <w:t xml:space="preserve">4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Алгоритм расчета (формула)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Базовые показатели (используемые в формуле)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Метод сбора информации,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код формы отчетности</w:t>
            </w:r>
            <w:r>
              <w:rPr>
                <w:rFonts w:eastAsia="Times New Roman"/>
                <w:vertAlign w:val="superscript"/>
              </w:rPr>
              <w:t xml:space="preserve">5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получения фактических значений показателей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Ответственный исполнитель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033" w:type="dxa"/>
            <w:vAlign w:val="center"/>
            <w:textDirection w:val="lrTb"/>
            <w:noWrap w:val="false"/>
          </w:tcPr>
          <w:p>
            <w:pPr>
              <w:jc w:val="both"/>
              <w:spacing w:line="288" w:lineRule="atLeas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Муниципальная программа «Культура» 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Результаты независимой оценки качества условий оказания услуг в сфере культуры</w:t>
            </w:r>
            <w:r>
              <w:rPr>
                <w:rFonts w:eastAsia="Times New Roman"/>
                <w:color w:val="ff0000"/>
                <w:highlight w:val="yellow"/>
              </w:rPr>
            </w:r>
            <w:r>
              <w:rPr>
                <w:rFonts w:eastAsia="Times New Roman"/>
                <w:color w:val="ff000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баллы,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  <w:p>
            <w:pPr>
              <w:jc w:val="center"/>
              <w:rPr>
                <w:rFonts w:eastAsia="Times New Roman"/>
                <w:color w:val="ff0000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ежегодно</w:t>
            </w:r>
            <w:r>
              <w:rPr>
                <w:rFonts w:eastAsia="Times New Roman"/>
                <w:color w:val="ff0000"/>
                <w:highlight w:val="yellow"/>
              </w:rPr>
            </w:r>
            <w:r>
              <w:rPr>
                <w:rFonts w:eastAsia="Times New Roman"/>
                <w:color w:val="ff000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х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х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Данные Министерства культуры Мурманской области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Апрель, ежегодно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Отдел КСиМП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ind w:right="155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Отношение сред</w:t>
            </w:r>
            <w:r>
              <w:rPr>
                <w:rFonts w:eastAsia="Times New Roman"/>
              </w:rPr>
              <w:t xml:space="preserve">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Iзпк =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Зк / З * 100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right="141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Зк - размер среднемесячной номинальной начисленной заработной платы работников муниципальных учреждений культуры, рублей;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141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 - размер среднемесячной номинальной начисленной заработной платы по экономике, рублей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Статистические данные форм федерального статистического наблюдения № П-4,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ЗП-культура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 12 января года, следующего за отчетным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Доля объектов культурного наследия находящихся в удовлетворительном состоянии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Процент, 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 данные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 окончанию финансового года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Отдел КСиМП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033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  <w:color w:val="000000" w:themeColor="text1"/>
              </w:rPr>
            </w:pPr>
            <w:r>
              <w:rPr>
                <w:rFonts w:eastAsia="Times New Roman"/>
                <w:b/>
                <w:color w:val="000000" w:themeColor="text1"/>
              </w:rPr>
            </w:r>
            <w:r>
              <w:rPr>
                <w:rFonts w:eastAsia="Times New Roman"/>
                <w:b/>
                <w:color w:val="000000" w:themeColor="text1"/>
              </w:rPr>
            </w:r>
            <w:r>
              <w:rPr>
                <w:rFonts w:eastAsia="Times New Roman"/>
                <w:b/>
                <w:color w:val="000000" w:themeColor="text1"/>
              </w:rPr>
            </w:r>
          </w:p>
          <w:p>
            <w:pPr>
              <w:rPr>
                <w:rFonts w:eastAsia="Times New Roman"/>
                <w:b/>
                <w:color w:val="000000" w:themeColor="text1"/>
              </w:rPr>
            </w:pPr>
            <w:r>
              <w:rPr>
                <w:rFonts w:eastAsia="Times New Roman"/>
                <w:b/>
                <w:color w:val="000000" w:themeColor="text1"/>
              </w:rPr>
              <w:t xml:space="preserve">Направление (подпрограмма) 1 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  <w:b/>
                <w:color w:val="000000" w:themeColor="text1"/>
              </w:rPr>
            </w:r>
            <w:r>
              <w:rPr>
                <w:rFonts w:eastAsia="Times New Roman"/>
                <w:b/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000000" w:themeColor="text1"/>
              </w:rPr>
              <w:t xml:space="preserve">Численность обучающихся образовательных организаций в сфере культуры (среднегодовая)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человек,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  <w:p>
            <w:pPr>
              <w:jc w:val="center"/>
              <w:rPr>
                <w:rFonts w:eastAsia="Times New Roman"/>
                <w:color w:val="ff0000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ежегодно</w:t>
            </w:r>
            <w:r>
              <w:rPr>
                <w:rFonts w:eastAsia="Times New Roman"/>
                <w:color w:val="ff0000"/>
                <w:highlight w:val="yellow"/>
              </w:rPr>
            </w:r>
            <w:r>
              <w:rPr>
                <w:rFonts w:eastAsia="Times New Roman"/>
                <w:color w:val="ff000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</w:t>
            </w:r>
            <w:r>
              <w:rPr>
                <w:rFonts w:eastAsia="Times New Roman"/>
                <w:vertAlign w:val="subscript"/>
              </w:rPr>
              <w:t xml:space="preserve">ср</w:t>
            </w:r>
            <w:r>
              <w:rPr>
                <w:rFonts w:eastAsia="Times New Roman"/>
              </w:rPr>
              <w:t xml:space="preserve">= (Ч</w:t>
            </w:r>
            <w:r>
              <w:rPr>
                <w:rFonts w:eastAsia="Times New Roman"/>
                <w:vertAlign w:val="subscript"/>
              </w:rPr>
              <w:t xml:space="preserve">начУГ</w:t>
            </w:r>
            <w:r>
              <w:rPr>
                <w:rFonts w:eastAsia="Times New Roman"/>
              </w:rPr>
              <w:t xml:space="preserve">+Ч</w:t>
            </w:r>
            <w:r>
              <w:rPr>
                <w:rFonts w:eastAsia="Times New Roman"/>
                <w:vertAlign w:val="subscript"/>
              </w:rPr>
              <w:t xml:space="preserve">начПГ</w:t>
            </w:r>
            <w:r>
              <w:rPr>
                <w:rFonts w:eastAsia="Times New Roman"/>
              </w:rPr>
              <w:t xml:space="preserve">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/2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</w:t>
            </w:r>
            <w:r>
              <w:rPr>
                <w:rFonts w:eastAsia="Times New Roman"/>
                <w:vertAlign w:val="subscript"/>
              </w:rPr>
              <w:t xml:space="preserve">ср</w:t>
            </w:r>
            <w:r>
              <w:rPr>
                <w:rFonts w:eastAsia="Times New Roman"/>
              </w:rPr>
              <w:t xml:space="preserve"> - </w:t>
            </w:r>
            <w:r>
              <w:rPr>
                <w:rFonts w:eastAsia="Times New Roman"/>
                <w:color w:val="000000" w:themeColor="text1"/>
              </w:rPr>
              <w:t xml:space="preserve">численность обучающихся образовательных организаций в сфере культуры (среднегодовая);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contextualSpacing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</w:t>
            </w:r>
            <w:r>
              <w:rPr>
                <w:rFonts w:eastAsia="Times New Roman"/>
                <w:vertAlign w:val="subscript"/>
              </w:rPr>
              <w:t xml:space="preserve">начУГ</w:t>
            </w:r>
            <w:r>
              <w:rPr>
                <w:rFonts w:eastAsia="Times New Roman"/>
              </w:rPr>
              <w:t xml:space="preserve"> – численность обучающихся на начало учебного года (гр.3 стр.07+08);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contextualSpacing/>
              <w:rPr>
                <w:rFonts w:eastAsia="Times New Roman"/>
                <w:color w:val="ff0000"/>
              </w:rPr>
            </w:pPr>
            <w:r>
              <w:rPr>
                <w:rFonts w:eastAsia="Times New Roman"/>
              </w:rPr>
              <w:t xml:space="preserve">Ч</w:t>
            </w:r>
            <w:r>
              <w:rPr>
                <w:rFonts w:eastAsia="Times New Roman"/>
                <w:vertAlign w:val="subscript"/>
              </w:rPr>
              <w:t xml:space="preserve">начПГ</w:t>
            </w:r>
            <w:r>
              <w:rPr>
                <w:rFonts w:eastAsia="Times New Roman"/>
              </w:rPr>
              <w:t xml:space="preserve"> – численность обучающихся на начало прошлого учебного года (гр.3 стр.67)</w:t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Статистические данные формы федерального статистического наблюдения № 1-ДШИ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5 октября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ind w:right="155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Численность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человек,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color w:val="000000" w:themeColor="text1"/>
              </w:rPr>
              <w:t xml:space="preserve">ежегодно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green"/>
              </w:rPr>
            </w:pPr>
            <w:r>
              <w:rPr>
                <w:rFonts w:eastAsia="Times New Roman"/>
              </w:rPr>
              <w:t xml:space="preserve">гр.7 стр.69</w:t>
            </w:r>
            <w:r>
              <w:rPr>
                <w:rFonts w:eastAsia="Times New Roman"/>
                <w:highlight w:val="green"/>
              </w:rPr>
            </w:r>
            <w:r>
              <w:rPr>
                <w:rFonts w:eastAsia="Times New Roman"/>
                <w:highlight w:val="gree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Статистические данные формы федерального статистического наблюдения № 1-ДШИ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 октября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Численность участников клубных формирований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человек,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color w:val="000000" w:themeColor="text1"/>
              </w:rPr>
              <w:t xml:space="preserve">ежегодно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гр.3 стр.03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right="141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Статистические данные формы федерального статистического наблюдения № 7-НК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февраля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122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1.4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Число посещений культурно-массовых мероприятий, проводимых  муниципальными культурно-досуговыми учреждениями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гр.3 стр.06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Статистические данные формы федерального статистического наблюдения № 7-НК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15 февраля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Доля экспонируемых музейных предметов за отчетный период от общего количества предметов музейного фонда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Мэкс / Мобщ                                          * 100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Мэкс - количество экспонируемых музейных предметов за отчетный период, ед.;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Статистические данные формы федерального статистического наблюдения № 8-НК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20 января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 «Историко - краеведческий музей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65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Мобщ - общее количество предметов музейного фонда, ед.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Динамика увеличения числа  посещений библиотек (в стационарных условиях)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(Тг – Пг) / Пг * 100%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Тг - число посещений в текущем году, ед;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ind w:right="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Статистические данные формы федерального статистического наблюдения №  6-НК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февраля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после отчетного периода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МБКПУ «Печенгское межпоселенческое библиотечное объединение»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94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7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Пг - число посещений в предыдущем году, ед.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1.7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ind w:right="155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Комплектование книжных фондов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Процент,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2026 год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данные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31 декабря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МБКПУ «Печенгское межпоселенческое библиотечное объединение»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1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</w:rPr>
              <w:t xml:space="preserve">1.8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textDirection w:val="lrTb"/>
            <w:noWrap w:val="false"/>
          </w:tcPr>
          <w:p>
            <w:pPr>
              <w:pStyle w:val="899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искусства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 числа таких учреждений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Процент,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</w:rPr>
              <w:t xml:space="preserve">ежегодно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 данные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 окончанию финансового года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 xml:space="preserve">подведомственные отделу КСиМП учреждения</w:t>
            </w:r>
            <w:r>
              <w:rPr>
                <w:rFonts w:eastAsia="Times New Roman"/>
                <w:lang w:val="en-US"/>
              </w:rPr>
            </w:r>
            <w:r>
              <w:rPr>
                <w:rFonts w:eastAsia="Times New Roman"/>
                <w:lang w:val="en-US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1.9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</w:t>
            </w:r>
            <w:r>
              <w:rPr>
                <w:rFonts w:eastAsia="Times New Roman"/>
              </w:rPr>
              <w:br/>
              <w:t xml:space="preserve">пгт. Никель, ул. Октябрьская, д. 1 (ДК «Восход»)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год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Ведомственные  данные (дата акта выполненных работ (приемки работ))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 окончанию финансового года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«ЦКПМО»</w:t>
            </w:r>
            <w:r>
              <w:rPr>
                <w:rFonts w:eastAsia="Times New Roman"/>
                <w:lang w:val="en-US"/>
              </w:rPr>
            </w:r>
            <w:r>
              <w:rPr>
                <w:rFonts w:eastAsia="Times New Roman"/>
                <w:lang w:val="en-US"/>
              </w:rPr>
            </w:r>
          </w:p>
        </w:tc>
      </w:tr>
      <w:tr>
        <w:tblPrEx/>
        <w:trPr>
          <w:trHeight w:val="547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gridSpan w:val="7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033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Times New Roman"/>
                <w:b/>
                <w:color w:val="000000" w:themeColor="text1"/>
              </w:rPr>
            </w:pPr>
            <w:r>
              <w:rPr>
                <w:rFonts w:eastAsia="Times New Roman"/>
                <w:b/>
                <w:color w:val="000000" w:themeColor="text1"/>
              </w:rPr>
              <w:t xml:space="preserve">Направление (подпрограмма) 2 «Наследие»</w:t>
            </w:r>
            <w:r>
              <w:rPr>
                <w:rFonts w:eastAsia="Times New Roman"/>
                <w:b/>
                <w:color w:val="000000" w:themeColor="text1"/>
              </w:rPr>
            </w:r>
            <w:r>
              <w:rPr>
                <w:rFonts w:eastAsia="Times New Roman"/>
                <w:b/>
                <w:color w:val="000000" w:themeColor="text1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 объектов культурного наследия, в отношении которых выполнен текущий ремонт и (или) осуществлено благоустройство территории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год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х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t xml:space="preserve"> </w:t>
            </w:r>
            <w:r>
              <w:rPr>
                <w:rFonts w:eastAsia="Times New Roman"/>
              </w:rPr>
              <w:t xml:space="preserve">Ведомственные  данные (дата акта выполненных работ (приемки работ))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 окончанию финансового года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 </w:t>
            </w:r>
            <w:r>
              <w:rPr>
                <w:rFonts w:eastAsia="Times New Roman"/>
              </w:rPr>
              <w:t xml:space="preserve">Отдел КСиМП, МБУ «РЭС»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</w:tr>
    </w:tbl>
    <w:p>
      <w:pPr>
        <w:contextualSpacing/>
        <w:jc w:val="both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p>
      <w:pPr>
        <w:contextualSpacing/>
        <w:jc w:val="both"/>
        <w:spacing w:line="288" w:lineRule="atLeast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  <w:vertAlign w:val="superscript"/>
        </w:rPr>
        <w:t xml:space="preserve">4</w:t>
      </w:r>
      <w:r>
        <w:rPr>
          <w:rFonts w:eastAsia="Times New Roman"/>
          <w:sz w:val="18"/>
          <w:szCs w:val="18"/>
        </w:rPr>
        <w:t xml:space="preserve">Ежегодно, нарастающим итогом, убывающим итогом. </w:t>
      </w:r>
      <w:r>
        <w:rPr>
          <w:rFonts w:eastAsia="Times New Roman"/>
          <w:sz w:val="18"/>
          <w:szCs w:val="18"/>
        </w:rPr>
      </w:r>
      <w:r>
        <w:rPr>
          <w:rFonts w:eastAsia="Times New Roman"/>
          <w:sz w:val="18"/>
          <w:szCs w:val="18"/>
        </w:rPr>
      </w:r>
    </w:p>
    <w:p>
      <w:pPr>
        <w:contextualSpacing/>
        <w:spacing w:before="168" w:line="288" w:lineRule="atLeast"/>
        <w:rPr>
          <w:rFonts w:eastAsia="Times New Roman"/>
          <w:sz w:val="18"/>
          <w:szCs w:val="18"/>
        </w:rPr>
        <w:sectPr>
          <w:footnotePr/>
          <w:endnotePr/>
          <w:type w:val="nextPage"/>
          <w:pgSz w:w="16838" w:h="11905" w:orient="landscape"/>
          <w:pgMar w:top="851" w:right="851" w:bottom="851" w:left="1701" w:header="720" w:footer="720" w:gutter="0"/>
          <w:cols w:num="1" w:sep="0" w:space="720" w:equalWidth="1"/>
          <w:docGrid w:linePitch="360"/>
        </w:sectPr>
      </w:pPr>
      <w:r>
        <w:rPr>
          <w:rFonts w:eastAsia="Times New Roman"/>
          <w:sz w:val="18"/>
          <w:szCs w:val="18"/>
          <w:vertAlign w:val="superscript"/>
        </w:rPr>
        <w:t xml:space="preserve">5</w:t>
      </w:r>
      <w:r>
        <w:rPr>
          <w:rFonts w:eastAsia="Times New Roman"/>
          <w:sz w:val="18"/>
          <w:szCs w:val="18"/>
        </w:rPr>
        <w:t xml:space="preserve">Указываются методы: статистическая отчетность, социологический опрос, </w:t>
      </w:r>
      <w:r>
        <w:rPr>
          <w:rFonts w:eastAsia="Times New Roman"/>
          <w:sz w:val="18"/>
          <w:szCs w:val="18"/>
        </w:rPr>
        <w:t xml:space="preserve">прочие (указать).».</w:t>
      </w:r>
      <w:r>
        <w:rPr>
          <w:rFonts w:eastAsia="Times New Roman"/>
          <w:sz w:val="18"/>
          <w:szCs w:val="18"/>
        </w:rPr>
      </w:r>
      <w:r>
        <w:rPr>
          <w:rFonts w:eastAsia="Times New Roman"/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num w:numId="1">
    <w:abstractNumId w:val="8"/>
  </w:num>
  <w:num w:numId="2">
    <w:abstractNumId w:val="2"/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1"/>
  </w:num>
  <w:num w:numId="6">
    <w:abstractNumId w:val="7"/>
  </w:num>
  <w:num w:numId="7">
    <w:abstractNumId w:val="18"/>
  </w:num>
  <w:num w:numId="8">
    <w:abstractNumId w:val="12"/>
  </w:num>
  <w:num w:numId="9">
    <w:abstractNumId w:val="4"/>
  </w:num>
  <w:num w:numId="10">
    <w:abstractNumId w:val="19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4"/>
  </w:num>
  <w:num w:numId="15">
    <w:abstractNumId w:val="13"/>
  </w:num>
  <w:num w:numId="16">
    <w:abstractNumId w:val="15"/>
  </w:num>
  <w:num w:numId="17">
    <w:abstractNumId w:val="0"/>
  </w:num>
  <w:num w:numId="18">
    <w:abstractNumId w:val="20"/>
  </w:num>
  <w:num w:numId="19">
    <w:abstractNumId w:val="10"/>
  </w:num>
  <w:num w:numId="20">
    <w:abstractNumId w:val="16"/>
  </w:num>
  <w:num w:numId="21">
    <w:abstractNumId w:val="22"/>
  </w:num>
  <w:num w:numId="22">
    <w:abstractNumId w:val="23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7"/>
  </w:num>
  <w:num w:numId="26">
    <w:abstractNumId w:val="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 w:default="1">
    <w:name w:val="Normal"/>
    <w:qFormat/>
    <w:rPr>
      <w:rFonts w:eastAsia="Calibri"/>
    </w:rPr>
  </w:style>
  <w:style w:type="paragraph" w:styleId="707">
    <w:name w:val="Heading 1"/>
    <w:basedOn w:val="706"/>
    <w:next w:val="706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35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36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3">
    <w:name w:val="Heading 7"/>
    <w:basedOn w:val="706"/>
    <w:next w:val="706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6"/>
    <w:next w:val="706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5">
    <w:name w:val="Heading 9"/>
    <w:basedOn w:val="706"/>
    <w:next w:val="706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Heading 1 Char"/>
    <w:basedOn w:val="716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Heading 2 Char"/>
    <w:basedOn w:val="716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716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Heading 5 Char"/>
    <w:basedOn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Heading 6 Char"/>
    <w:basedOn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Heading 7 Char"/>
    <w:basedOn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Heading 8 Char"/>
    <w:basedOn w:val="716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Heading 9 Char"/>
    <w:basedOn w:val="716"/>
    <w:uiPriority w:val="9"/>
    <w:rPr>
      <w:rFonts w:ascii="Arial" w:hAnsi="Arial" w:eastAsia="Arial" w:cs="Arial"/>
      <w:i/>
      <w:iCs/>
      <w:sz w:val="21"/>
      <w:szCs w:val="21"/>
    </w:rPr>
  </w:style>
  <w:style w:type="character" w:styleId="728" w:customStyle="1">
    <w:name w:val="Title Char"/>
    <w:basedOn w:val="716"/>
    <w:uiPriority w:val="10"/>
    <w:rPr>
      <w:sz w:val="48"/>
      <w:szCs w:val="48"/>
    </w:rPr>
  </w:style>
  <w:style w:type="character" w:styleId="729" w:customStyle="1">
    <w:name w:val="Subtitle Char"/>
    <w:basedOn w:val="716"/>
    <w:uiPriority w:val="11"/>
    <w:rPr>
      <w:sz w:val="24"/>
      <w:szCs w:val="24"/>
    </w:rPr>
  </w:style>
  <w:style w:type="character" w:styleId="730" w:customStyle="1">
    <w:name w:val="Quote Char"/>
    <w:uiPriority w:val="29"/>
    <w:rPr>
      <w:i/>
    </w:rPr>
  </w:style>
  <w:style w:type="character" w:styleId="731" w:customStyle="1">
    <w:name w:val="Intense Quote Char"/>
    <w:uiPriority w:val="30"/>
    <w:rPr>
      <w:i/>
    </w:rPr>
  </w:style>
  <w:style w:type="character" w:styleId="732" w:customStyle="1">
    <w:name w:val="Footnote Text Char"/>
    <w:uiPriority w:val="99"/>
    <w:rPr>
      <w:sz w:val="18"/>
    </w:rPr>
  </w:style>
  <w:style w:type="character" w:styleId="733" w:customStyle="1">
    <w:name w:val="Endnote Text Char"/>
    <w:uiPriority w:val="99"/>
    <w:rPr>
      <w:sz w:val="20"/>
    </w:rPr>
  </w:style>
  <w:style w:type="character" w:styleId="734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basedOn w:val="716"/>
    <w:link w:val="708"/>
    <w:rPr>
      <w:rFonts w:ascii="Arial" w:hAnsi="Arial" w:eastAsia="Arial" w:cs="Arial"/>
      <w:sz w:val="34"/>
    </w:rPr>
  </w:style>
  <w:style w:type="character" w:styleId="736" w:customStyle="1">
    <w:name w:val="Заголовок 3 Знак"/>
    <w:basedOn w:val="716"/>
    <w:link w:val="70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Title"/>
    <w:basedOn w:val="706"/>
    <w:next w:val="706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 w:customStyle="1">
    <w:name w:val="Название Знак"/>
    <w:basedOn w:val="716"/>
    <w:link w:val="743"/>
    <w:uiPriority w:val="10"/>
    <w:rPr>
      <w:sz w:val="48"/>
      <w:szCs w:val="48"/>
    </w:rPr>
  </w:style>
  <w:style w:type="paragraph" w:styleId="745">
    <w:name w:val="Subtitle"/>
    <w:basedOn w:val="706"/>
    <w:next w:val="706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 w:customStyle="1">
    <w:name w:val="Подзаголовок Знак"/>
    <w:basedOn w:val="716"/>
    <w:link w:val="745"/>
    <w:uiPriority w:val="11"/>
    <w:rPr>
      <w:sz w:val="24"/>
      <w:szCs w:val="24"/>
    </w:rPr>
  </w:style>
  <w:style w:type="paragraph" w:styleId="747">
    <w:name w:val="Quote"/>
    <w:basedOn w:val="706"/>
    <w:next w:val="706"/>
    <w:link w:val="748"/>
    <w:uiPriority w:val="29"/>
    <w:qFormat/>
    <w:pPr>
      <w:ind w:left="720" w:right="720"/>
    </w:pPr>
    <w:rPr>
      <w:i/>
    </w:rPr>
  </w:style>
  <w:style w:type="character" w:styleId="748" w:customStyle="1">
    <w:name w:val="Цитата 2 Знак"/>
    <w:link w:val="747"/>
    <w:uiPriority w:val="29"/>
    <w:rPr>
      <w:i/>
    </w:rPr>
  </w:style>
  <w:style w:type="paragraph" w:styleId="749">
    <w:name w:val="Intense Quote"/>
    <w:basedOn w:val="706"/>
    <w:next w:val="706"/>
    <w:link w:val="75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 w:customStyle="1">
    <w:name w:val="Выделенная цитата Знак"/>
    <w:link w:val="749"/>
    <w:uiPriority w:val="30"/>
    <w:rPr>
      <w:i/>
    </w:rPr>
  </w:style>
  <w:style w:type="character" w:styleId="751" w:customStyle="1">
    <w:name w:val="Header Char"/>
    <w:basedOn w:val="716"/>
    <w:uiPriority w:val="99"/>
  </w:style>
  <w:style w:type="character" w:styleId="752" w:customStyle="1">
    <w:name w:val="Footer Char"/>
    <w:basedOn w:val="716"/>
    <w:uiPriority w:val="99"/>
  </w:style>
  <w:style w:type="paragraph" w:styleId="753">
    <w:name w:val="Caption"/>
    <w:basedOn w:val="706"/>
    <w:next w:val="706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1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1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1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1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1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1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1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1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1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1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1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1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1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1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1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1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1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1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1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1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1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1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1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1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1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1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1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1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1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1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1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1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1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1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1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1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1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1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1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1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1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1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1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1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1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1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1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1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1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1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1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1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1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1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1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1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1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1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1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1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1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1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1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1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1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1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1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1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1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1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1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1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1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1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1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1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1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1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1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1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1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1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1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1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1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1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1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1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1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1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1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1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1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1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1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1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1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1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1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1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1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1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1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1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1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1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1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1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1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1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1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1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1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nhideWhenUsed/>
    <w:rPr>
      <w:color w:val="0000ff" w:themeColor="hyperlink"/>
      <w:u w:val="single"/>
    </w:rPr>
  </w:style>
  <w:style w:type="paragraph" w:styleId="881">
    <w:name w:val="footnote text"/>
    <w:basedOn w:val="706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Текст сноски Знак"/>
    <w:link w:val="881"/>
    <w:uiPriority w:val="99"/>
    <w:rPr>
      <w:sz w:val="18"/>
    </w:rPr>
  </w:style>
  <w:style w:type="character" w:styleId="883">
    <w:name w:val="footnote reference"/>
    <w:basedOn w:val="716"/>
    <w:uiPriority w:val="99"/>
    <w:unhideWhenUsed/>
    <w:rPr>
      <w:vertAlign w:val="superscript"/>
    </w:rPr>
  </w:style>
  <w:style w:type="paragraph" w:styleId="884">
    <w:name w:val="endnote text"/>
    <w:basedOn w:val="706"/>
    <w:link w:val="885"/>
    <w:uiPriority w:val="99"/>
    <w:semiHidden/>
    <w:unhideWhenUsed/>
  </w:style>
  <w:style w:type="character" w:styleId="885" w:customStyle="1">
    <w:name w:val="Текст концевой сноски Знак"/>
    <w:link w:val="884"/>
    <w:uiPriority w:val="99"/>
    <w:rPr>
      <w:sz w:val="20"/>
    </w:rPr>
  </w:style>
  <w:style w:type="character" w:styleId="886">
    <w:name w:val="endnote reference"/>
    <w:basedOn w:val="716"/>
    <w:uiPriority w:val="99"/>
    <w:semiHidden/>
    <w:unhideWhenUsed/>
    <w:rPr>
      <w:vertAlign w:val="superscript"/>
    </w:rPr>
  </w:style>
  <w:style w:type="paragraph" w:styleId="887">
    <w:name w:val="toc 1"/>
    <w:basedOn w:val="706"/>
    <w:next w:val="706"/>
    <w:uiPriority w:val="39"/>
    <w:unhideWhenUsed/>
    <w:pPr>
      <w:spacing w:after="57"/>
    </w:pPr>
  </w:style>
  <w:style w:type="paragraph" w:styleId="888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89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90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91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92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93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94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95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06"/>
    <w:next w:val="706"/>
    <w:uiPriority w:val="99"/>
    <w:unhideWhenUsed/>
  </w:style>
  <w:style w:type="paragraph" w:styleId="898">
    <w:name w:val="Normal (Web)"/>
    <w:basedOn w:val="706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899" w:customStyle="1">
    <w:name w:val="Абзац списка1"/>
    <w:basedOn w:val="706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00">
    <w:name w:val="Balloon Text"/>
    <w:basedOn w:val="706"/>
    <w:link w:val="901"/>
    <w:rPr>
      <w:rFonts w:ascii="Calibri" w:hAnsi="Calibri"/>
      <w:sz w:val="16"/>
      <w:szCs w:val="16"/>
    </w:rPr>
  </w:style>
  <w:style w:type="character" w:styleId="901" w:customStyle="1">
    <w:name w:val="Текст выноски Знак"/>
    <w:link w:val="900"/>
    <w:rPr>
      <w:rFonts w:ascii="Calibri" w:hAnsi="Calibri" w:eastAsia="Calibri"/>
      <w:sz w:val="16"/>
      <w:szCs w:val="16"/>
    </w:rPr>
  </w:style>
  <w:style w:type="paragraph" w:styleId="902">
    <w:name w:val="Header"/>
    <w:basedOn w:val="706"/>
    <w:link w:val="903"/>
    <w:uiPriority w:val="99"/>
    <w:pPr>
      <w:tabs>
        <w:tab w:val="center" w:pos="4677" w:leader="none"/>
        <w:tab w:val="right" w:pos="9355" w:leader="none"/>
      </w:tabs>
    </w:pPr>
  </w:style>
  <w:style w:type="character" w:styleId="903" w:customStyle="1">
    <w:name w:val="Верхний колонтитул Знак"/>
    <w:link w:val="902"/>
    <w:uiPriority w:val="99"/>
    <w:rPr>
      <w:rFonts w:eastAsia="Calibri"/>
    </w:rPr>
  </w:style>
  <w:style w:type="paragraph" w:styleId="904">
    <w:name w:val="Footer"/>
    <w:basedOn w:val="706"/>
    <w:link w:val="905"/>
    <w:uiPriority w:val="99"/>
    <w:pPr>
      <w:tabs>
        <w:tab w:val="center" w:pos="4677" w:leader="none"/>
        <w:tab w:val="right" w:pos="9355" w:leader="none"/>
      </w:tabs>
    </w:pPr>
  </w:style>
  <w:style w:type="character" w:styleId="905" w:customStyle="1">
    <w:name w:val="Нижний колонтитул Знак"/>
    <w:link w:val="904"/>
    <w:uiPriority w:val="99"/>
    <w:rPr>
      <w:rFonts w:eastAsia="Calibri"/>
    </w:rPr>
  </w:style>
  <w:style w:type="table" w:styleId="906">
    <w:name w:val="Table Grid"/>
    <w:basedOn w:val="71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7">
    <w:name w:val="List Paragraph"/>
    <w:basedOn w:val="706"/>
    <w:qFormat/>
    <w:pPr>
      <w:contextualSpacing/>
      <w:ind w:left="720"/>
    </w:pPr>
  </w:style>
  <w:style w:type="paragraph" w:styleId="908" w:customStyle="1">
    <w:name w:val="Знак Знак2"/>
    <w:basedOn w:val="70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09">
    <w:name w:val="Body Text 2"/>
    <w:basedOn w:val="706"/>
    <w:link w:val="910"/>
    <w:pPr>
      <w:spacing w:after="120" w:line="480" w:lineRule="auto"/>
    </w:pPr>
  </w:style>
  <w:style w:type="character" w:styleId="910" w:customStyle="1">
    <w:name w:val="Основной текст 2 Знак"/>
    <w:basedOn w:val="716"/>
    <w:link w:val="909"/>
    <w:rPr>
      <w:rFonts w:eastAsia="Calibri"/>
    </w:rPr>
  </w:style>
  <w:style w:type="table" w:styleId="911" w:customStyle="1">
    <w:name w:val="Сетка таблицы1"/>
    <w:basedOn w:val="717"/>
    <w:next w:val="90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2">
    <w:name w:val="No Spacing"/>
    <w:qFormat/>
    <w:rPr>
      <w:rFonts w:ascii="Calibri" w:hAnsi="Calibri" w:eastAsia="Calibri"/>
      <w:sz w:val="22"/>
      <w:szCs w:val="22"/>
      <w:lang w:eastAsia="en-US"/>
    </w:rPr>
  </w:style>
  <w:style w:type="table" w:styleId="913" w:customStyle="1">
    <w:name w:val="Сетка таблицы2"/>
    <w:basedOn w:val="717"/>
    <w:next w:val="90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4">
    <w:name w:val="Plain Table 1"/>
    <w:basedOn w:val="717"/>
    <w:uiPriority w:val="59"/>
    <w:rPr>
      <w:rFonts w:ascii="Calibri" w:hAnsi="Calibri" w:eastAsia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5">
    <w:name w:val="Plain Table 2"/>
    <w:basedOn w:val="717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6">
    <w:name w:val="Plain Table 3"/>
    <w:basedOn w:val="717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17">
    <w:name w:val="Plain Table 4"/>
    <w:basedOn w:val="717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Plain Table 5"/>
    <w:basedOn w:val="717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19">
    <w:name w:val="Grid Table 1 Light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Grid Table 2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3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4"/>
    <w:basedOn w:val="717"/>
    <w:uiPriority w:val="5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23">
    <w:name w:val="Grid Table 5 Dark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24">
    <w:name w:val="Grid Table 6 Colorful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5">
    <w:name w:val="Grid Table 7 Colorful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6">
    <w:name w:val="List Table 1 Light"/>
    <w:basedOn w:val="717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List Table 2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28">
    <w:name w:val="List Table 3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4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5 Dark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>
    <w:name w:val="List Table 6 Colorful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2">
    <w:name w:val="List Table 7 Colorful"/>
    <w:basedOn w:val="717"/>
    <w:uiPriority w:val="99"/>
    <w:rPr>
      <w:rFonts w:ascii="Calibri" w:hAnsi="Calibri" w:eastAsia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933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34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35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36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37" w:customStyle="1">
    <w:name w:val="МОН Знак"/>
    <w:link w:val="938"/>
    <w:rPr>
      <w:sz w:val="24"/>
      <w:szCs w:val="24"/>
    </w:rPr>
  </w:style>
  <w:style w:type="paragraph" w:styleId="938" w:customStyle="1">
    <w:name w:val="МОН"/>
    <w:basedOn w:val="706"/>
    <w:link w:val="937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39">
    <w:name w:val="Strong"/>
    <w:qFormat/>
    <w:rPr>
      <w:b/>
      <w:bCs/>
    </w:rPr>
  </w:style>
  <w:style w:type="character" w:styleId="940" w:customStyle="1">
    <w:name w:val="Основной текст_"/>
    <w:link w:val="941"/>
    <w:rPr>
      <w:spacing w:val="-1"/>
      <w:sz w:val="26"/>
      <w:szCs w:val="26"/>
      <w:shd w:val="clear" w:color="auto" w:fill="ffffff"/>
    </w:rPr>
  </w:style>
  <w:style w:type="paragraph" w:styleId="941" w:customStyle="1">
    <w:name w:val="Основной текст2"/>
    <w:basedOn w:val="706"/>
    <w:link w:val="940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42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43" w:customStyle="1">
    <w:name w:val="32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44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45">
    <w:name w:val="Body Text Indent"/>
    <w:basedOn w:val="706"/>
    <w:link w:val="946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46" w:customStyle="1">
    <w:name w:val="Основной текст с отступом Знак"/>
    <w:basedOn w:val="716"/>
    <w:link w:val="945"/>
    <w:rPr>
      <w:sz w:val="24"/>
      <w:szCs w:val="24"/>
      <w:lang w:eastAsia="en-US"/>
    </w:rPr>
  </w:style>
  <w:style w:type="character" w:styleId="947">
    <w:name w:val="Emphasis"/>
    <w:qFormat/>
    <w:rPr>
      <w:i/>
      <w:iCs/>
    </w:rPr>
  </w:style>
  <w:style w:type="paragraph" w:styleId="948" w:customStyle="1">
    <w:name w:val="Содержимое таблицы"/>
    <w:basedOn w:val="706"/>
    <w:pPr>
      <w:widowControl w:val="off"/>
      <w:suppressLineNumbers/>
    </w:pPr>
    <w:rPr>
      <w:sz w:val="24"/>
      <w:szCs w:val="24"/>
      <w:lang w:eastAsia="ar-SA"/>
    </w:rPr>
  </w:style>
  <w:style w:type="paragraph" w:styleId="949" w:customStyle="1">
    <w:name w:val="consplusnormal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0" w:customStyle="1">
    <w:name w:val="a2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1" w:customStyle="1">
    <w:name w:val="15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2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3" w:customStyle="1">
    <w:name w:val="h1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4" w:customStyle="1">
    <w:name w:val="msonospacing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5" w:customStyle="1">
    <w:name w:val="ac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6">
    <w:name w:val="Body Text 3"/>
    <w:basedOn w:val="706"/>
    <w:link w:val="95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7" w:customStyle="1">
    <w:name w:val="Основной текст 3 Знак"/>
    <w:basedOn w:val="716"/>
    <w:link w:val="956"/>
    <w:rPr>
      <w:sz w:val="24"/>
      <w:szCs w:val="24"/>
    </w:rPr>
  </w:style>
  <w:style w:type="paragraph" w:styleId="958">
    <w:name w:val="HTML Bottom of Form"/>
    <w:basedOn w:val="706"/>
    <w:next w:val="706"/>
    <w:link w:val="959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959" w:customStyle="1">
    <w:name w:val="z-Конец формы Знак"/>
    <w:basedOn w:val="716"/>
    <w:link w:val="958"/>
    <w:rPr>
      <w:rFonts w:ascii="Arial" w:hAnsi="Arial"/>
      <w:vanish/>
      <w:sz w:val="16"/>
      <w:szCs w:val="16"/>
    </w:rPr>
  </w:style>
  <w:style w:type="paragraph" w:styleId="960" w:customStyle="1">
    <w:name w:val="Style16"/>
    <w:basedOn w:val="706"/>
    <w:pPr>
      <w:widowControl w:val="off"/>
    </w:pPr>
    <w:rPr>
      <w:rFonts w:eastAsia="Times New Roman"/>
      <w:sz w:val="24"/>
      <w:szCs w:val="24"/>
    </w:rPr>
  </w:style>
  <w:style w:type="character" w:styleId="96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2">
    <w:name w:val="Body Text"/>
    <w:basedOn w:val="706"/>
    <w:link w:val="963"/>
    <w:uiPriority w:val="99"/>
    <w:pPr>
      <w:spacing w:after="120"/>
    </w:pPr>
    <w:rPr>
      <w:rFonts w:eastAsia="Times New Roman"/>
      <w:sz w:val="24"/>
      <w:szCs w:val="24"/>
    </w:rPr>
  </w:style>
  <w:style w:type="character" w:styleId="963" w:customStyle="1">
    <w:name w:val="Основной текст Знак"/>
    <w:basedOn w:val="716"/>
    <w:link w:val="962"/>
    <w:uiPriority w:val="99"/>
    <w:rPr>
      <w:sz w:val="24"/>
      <w:szCs w:val="24"/>
    </w:rPr>
  </w:style>
  <w:style w:type="paragraph" w:styleId="964">
    <w:name w:val="Body Text Indent 2"/>
    <w:basedOn w:val="706"/>
    <w:link w:val="965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965" w:customStyle="1">
    <w:name w:val="Основной текст с отступом 2 Знак"/>
    <w:basedOn w:val="716"/>
    <w:link w:val="964"/>
    <w:rPr>
      <w:sz w:val="24"/>
      <w:szCs w:val="24"/>
    </w:rPr>
  </w:style>
  <w:style w:type="character" w:styleId="966" w:customStyle="1">
    <w:name w:val="Заголовок №2_"/>
    <w:link w:val="967"/>
    <w:rPr>
      <w:b/>
      <w:bCs/>
      <w:sz w:val="26"/>
      <w:szCs w:val="26"/>
      <w:shd w:val="clear" w:color="auto" w:fill="ffffff"/>
    </w:rPr>
  </w:style>
  <w:style w:type="paragraph" w:styleId="967" w:customStyle="1">
    <w:name w:val="Заголовок №2"/>
    <w:basedOn w:val="706"/>
    <w:link w:val="966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968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969" w:customStyle="1">
    <w:name w:val="msonormalcxspmiddle"/>
    <w:basedOn w:val="70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970" w:customStyle="1">
    <w:name w:val="Нет списка1"/>
    <w:next w:val="718"/>
    <w:semiHidden/>
    <w:unhideWhenUsed/>
  </w:style>
  <w:style w:type="paragraph" w:styleId="971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972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973" w:customStyle="1">
    <w:name w:val="Обычный (веб)18"/>
    <w:basedOn w:val="706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974" w:customStyle="1">
    <w:name w:val="Знак Знак2 Знак Знак Знак Знак Знак Знак"/>
    <w:basedOn w:val="70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75">
    <w:name w:val="Body Text Indent 3"/>
    <w:basedOn w:val="706"/>
    <w:link w:val="976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976" w:customStyle="1">
    <w:name w:val="Основной текст с отступом 3 Знак"/>
    <w:basedOn w:val="716"/>
    <w:link w:val="975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977" w:customStyle="1">
    <w:name w:val="1"/>
    <w:basedOn w:val="70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78" w:customStyle="1">
    <w:name w:val="blk"/>
  </w:style>
  <w:style w:type="character" w:styleId="97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0" w:customStyle="1">
    <w:name w:val="Знак Знак2 Знак Знак Знак Знак Знак Знак Знак Знак Знак Знак Знак Знак Знак Знак Знак Знак"/>
    <w:basedOn w:val="70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81">
    <w:name w:val="FollowedHyperlink"/>
    <w:basedOn w:val="716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BF0845-DDCB-4622-9876-C5DC86B3A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38</cp:revision>
  <dcterms:created xsi:type="dcterms:W3CDTF">2026-05-25T10:48:00Z</dcterms:created>
  <dcterms:modified xsi:type="dcterms:W3CDTF">2026-08-25T13:21:43Z</dcterms:modified>
</cp:coreProperties>
</file>