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2686050</wp:posOffset>
                </wp:positionH>
                <wp:positionV relativeFrom="paragraph">
                  <wp:posOffset>20320</wp:posOffset>
                </wp:positionV>
                <wp:extent cx="609600" cy="755650"/>
                <wp:effectExtent l="0" t="0" r="0" b="6350"/>
                <wp:wrapNone/>
                <wp:docPr id="1" name="Рисунок 2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1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61312;o:allowoverlap:true;o:allowincell:true;mso-position-horizontal-relative:text;margin-left:211.50pt;mso-position-horizontal:absolute;mso-position-vertical-relative:text;margin-top:1.6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1" o:title=""/>
              </v:shape>
            </w:pict>
          </mc:Fallback>
        </mc:AlternateContent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  <w:t xml:space="preserve">АДМИНИСТРАЦИЯ 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МУРМАНСКОЙ ОБЛАСТИ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  <w:t xml:space="preserve">ПОСТАНОВЛЕНИЕ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от 26.08.2026                                                                                                                             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      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№ 1707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п.г.т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. Никель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</w:p>
    <w:p>
      <w:pPr>
        <w:jc w:val="center"/>
        <w:spacing w:after="0" w:line="240" w:lineRule="auto"/>
        <w:tabs>
          <w:tab w:val="left" w:pos="4860" w:leader="none"/>
          <w:tab w:val="left" w:pos="9355" w:leader="none"/>
        </w:tabs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  <w:t xml:space="preserve">Об установлении публичного сервитута</w:t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Руководствуясь Земельным кодексом Российской Федерации, Федеральным законом </w:t>
        <w:br/>
        <w:t xml:space="preserve">от 25.10.2001 № 137-ФЗ «О введении в действие Земельного кодекса Российской Федерации», на основании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ходатайства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Публичного акционерного общества «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Россети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Северо-Запад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»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</w:t>
        <w:br/>
        <w:t xml:space="preserve">от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06.07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.202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6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, схемы расположения границ публичного сервитута,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  <w:t xml:space="preserve">ПОСТАНОВЛЯЮ: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numPr>
          <w:ilvl w:val="0"/>
          <w:numId w:val="2"/>
        </w:numPr>
        <w:contextualSpacing/>
        <w:ind w:left="0" w:firstLine="709"/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Утвердить границы публичного сервитута в соответствии с прилагаемой схемой расположения границ публичного сервитута согласно приложению.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ind w:firstLine="708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Установить публичный сервитут в интересах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Публичного акционерного общества «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Россети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Северо-Запад»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(ИНН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7802312751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, ОГРН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1047855175785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) (далее по тексту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ПАО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«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Россети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Северо-Запад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»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)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для строительства ЛЭП 35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кВ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от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двухцепной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ВЛ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35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кВ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М-105/М -106 до РУ 35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кВ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новой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однотрансформаторной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ПС 35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кВ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Валла-Тунтури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и ПС 35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кВ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Валла-Тунтури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, расположенный по адресу: Мурманская область,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Печенгский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муниципальный округ, </w:t>
        <w:br/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г.п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. Печенга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,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в отношении земельн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ых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участк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ов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с кадастровым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и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номер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а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м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и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51:03:0010102:272, 51:03:0010102:285</w:t>
      </w:r>
      <w:r>
        <w:rPr>
          <w:rFonts w:ascii="Times New Roman" w:hAnsi="Times New Roman" w:cs="Times New Roman"/>
          <w:sz w:val="24"/>
          <w:szCs w:val="24"/>
        </w:rPr>
        <w:t xml:space="preserve"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местоположение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:</w:t>
      </w:r>
      <w:r>
        <w:rPr>
          <w:rFonts w:ascii="Times New Roman" w:hAnsi="Times New Roman" w:cs="Times New Roman"/>
          <w:sz w:val="24"/>
          <w:szCs w:val="24"/>
        </w:rPr>
        <w:t xml:space="preserve"> Мурманская обл., муниципальный округ </w:t>
      </w:r>
      <w:r>
        <w:rPr>
          <w:rFonts w:ascii="Times New Roman" w:hAnsi="Times New Roman" w:cs="Times New Roman"/>
          <w:sz w:val="24"/>
          <w:szCs w:val="24"/>
        </w:rPr>
        <w:t xml:space="preserve">Печенгский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, площадью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109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кв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. м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, в границах, указанных в прилагаемой схеме расположения границ публичного сервитута.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numPr>
          <w:ilvl w:val="0"/>
          <w:numId w:val="2"/>
        </w:numPr>
        <w:contextualSpacing/>
        <w:ind w:left="0" w:firstLine="709"/>
        <w:jc w:val="both"/>
        <w:spacing w:after="0" w:line="240" w:lineRule="auto"/>
        <w:tabs>
          <w:tab w:val="left" w:pos="993" w:leader="none"/>
          <w:tab w:val="left" w:pos="1276" w:leader="none"/>
        </w:tabs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Установить срок действия публичного сервитута –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49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(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сорок девять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) лет.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numPr>
          <w:ilvl w:val="0"/>
          <w:numId w:val="2"/>
        </w:numPr>
        <w:contextualSpacing/>
        <w:ind w:left="0" w:firstLine="709"/>
        <w:jc w:val="both"/>
        <w:spacing w:after="0" w:line="240" w:lineRule="auto"/>
        <w:tabs>
          <w:tab w:val="left" w:pos="993" w:leader="none"/>
          <w:tab w:val="left" w:pos="1276" w:leader="none"/>
        </w:tabs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Порядок установления зон с особыми условиями использования территории и содержание ограничений прав на части земельных участков в границах таких зон определяются в с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оответствии с Правилами установления охранных зон объектов электросетевого хозяйства и особых условий использования земельных участков, расположенных в границах таких зон, утвержденными Постановлением Правительства Российской Федерации от 24.02.2009 № 160.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numPr>
          <w:ilvl w:val="0"/>
          <w:numId w:val="2"/>
        </w:numPr>
        <w:contextualSpacing/>
        <w:ind w:left="0" w:firstLine="709"/>
        <w:jc w:val="both"/>
        <w:spacing w:after="0" w:line="240" w:lineRule="auto"/>
        <w:tabs>
          <w:tab w:val="left" w:pos="993" w:leader="none"/>
          <w:tab w:val="left" w:pos="1276" w:leader="none"/>
        </w:tabs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Плата за публичный сервитут в отношении земельных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участков, находящихся в частной собственности или находящихся в государственной или муниципальной собственности и предоставленных гражданам или юридическим лицам, определяется в соответствии с пунктом 7 статьи 39.46 Земельного кодекса Российской Федерации.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contextualSpacing/>
        <w:ind w:firstLine="709"/>
        <w:jc w:val="both"/>
        <w:spacing w:after="0" w:line="240" w:lineRule="auto"/>
        <w:tabs>
          <w:tab w:val="left" w:pos="993" w:leader="none"/>
          <w:tab w:val="left" w:pos="1276" w:leader="none"/>
        </w:tabs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Возмещение правообладателям земельны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х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участков убытков, прич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и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ненных осуществлением публичного сервитута, осуществляется в порядке, предусмотренном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действующим законодательством Российской Федерации.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numPr>
          <w:ilvl w:val="0"/>
          <w:numId w:val="2"/>
        </w:numPr>
        <w:contextualSpacing/>
        <w:ind w:left="0" w:firstLine="709"/>
        <w:jc w:val="both"/>
        <w:spacing w:after="0" w:line="240" w:lineRule="auto"/>
        <w:tabs>
          <w:tab w:val="left" w:pos="993" w:leader="none"/>
          <w:tab w:val="left" w:pos="1276" w:leader="none"/>
        </w:tabs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ПАО «</w:t>
      </w:r>
      <w:r>
        <w:rPr>
          <w:rFonts w:ascii="Times New Roman" w:hAnsi="Times New Roman" w:cs="Times New Roman"/>
          <w:sz w:val="24"/>
          <w:szCs w:val="24"/>
        </w:rPr>
        <w:t xml:space="preserve">Россети</w:t>
      </w:r>
      <w:r>
        <w:rPr>
          <w:rFonts w:ascii="Times New Roman" w:hAnsi="Times New Roman" w:cs="Times New Roman"/>
          <w:sz w:val="24"/>
          <w:szCs w:val="24"/>
        </w:rPr>
        <w:t xml:space="preserve"> Северо-Запад»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привести земельный участок в состояние, пригодное для его использования в соответствии с разрешенным использованием, в срок не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позднее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чем три месяца после завершения строительства, капитального или текущего ремонта, реконструкции, эксплуатации, консервации, сноса инженерного сооружения, для размещения которого был установлен публичный сервитут.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numPr>
          <w:ilvl w:val="0"/>
          <w:numId w:val="2"/>
        </w:numPr>
        <w:ind w:left="0"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Комитету по управлению имуществом администрации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Печенгского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муниципального округа (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В.А. Веверица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) в течение пяти рабочих дней со дня подписания настоящего постановления: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numPr>
          <w:ilvl w:val="0"/>
          <w:numId w:val="3"/>
        </w:numPr>
        <w:ind w:left="0"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направить в орган регистрации прав копию настоящего постановления и заявление о государственной регистрации прав (публичного сервитута);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numPr>
          <w:ilvl w:val="0"/>
          <w:numId w:val="3"/>
        </w:numPr>
        <w:ind w:left="0"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направить обладателю публичного сервитута копию настоящего постановления, све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дения о лицах, являющихся правообладателями земельных участков, сведения о лицах, подавших заявления об учете их прав (обременений прав) на земельные участки, способах связи с ними, копии документов, подтверждающих права указанных лиц на земельные участки.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numPr>
          <w:ilvl w:val="0"/>
          <w:numId w:val="2"/>
        </w:numPr>
        <w:contextualSpacing/>
        <w:ind w:left="0" w:firstLine="709"/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Настоящее постановление вступает в силу после его подписания.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numPr>
          <w:ilvl w:val="0"/>
          <w:numId w:val="2"/>
        </w:numPr>
        <w:contextualSpacing/>
        <w:ind w:left="0" w:firstLine="709"/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Настоящее постановление подлежит размещению на сайте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Печенгского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муниципального округа </w:t>
      </w:r>
      <w:hyperlink r:id="rId12" w:tooltip="http://pechengamr.gov-murman.ru/" w:history="1">
        <w:r>
          <w:rPr>
            <w:rFonts w:ascii="Times New Roman" w:hAnsi="Times New Roman" w:eastAsia="Times New Roman" w:cs="Times New Roman"/>
            <w:sz w:val="24"/>
            <w:szCs w:val="24"/>
            <w:u w:val="single"/>
            <w:lang w:eastAsia="ru-RU"/>
          </w:rPr>
          <w:t xml:space="preserve">http://pechengamr.gov-murman.ru/</w:t>
        </w:r>
      </w:hyperlink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Глав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а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Печенгского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муниципального округа            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                             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           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  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 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 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А.С.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Пеньшин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/>
      <w:bookmarkStart w:id="0" w:name="_GoBack"/>
      <w:r/>
      <w:bookmarkEnd w:id="0"/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  <w:t xml:space="preserve">Лаврущик</w:t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  <w:t xml:space="preserve"> С.С</w:t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  <w:t xml:space="preserve">, </w:t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  <w:t xml:space="preserve">5-05-79</w:t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  <w:br w:type="page" w:clear="all"/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ind w:left="5529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Приложение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left="5529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к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постановлению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администрации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Печенгского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муниципального округа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left="5529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от 26.08.2026 № 1707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rPr>
          <w:rFonts w:ascii="Times New Roman" w:hAnsi="Times New Roman" w:cs="Times New Roman"/>
          <w:sz w:val="24"/>
          <w:szCs w:val="26"/>
        </w:rPr>
      </w:pPr>
      <w:r>
        <w:rPr>
          <w:rFonts w:ascii="Times New Roman" w:hAnsi="Times New Roman" w:cs="Times New Roman"/>
          <w:sz w:val="24"/>
          <w:szCs w:val="26"/>
        </w:rPr>
      </w:r>
      <w:r>
        <w:rPr>
          <w:rFonts w:ascii="Times New Roman" w:hAnsi="Times New Roman" w:cs="Times New Roman"/>
          <w:sz w:val="24"/>
          <w:szCs w:val="26"/>
        </w:rPr>
      </w:r>
      <w:r>
        <w:rPr>
          <w:rFonts w:ascii="Times New Roman" w:hAnsi="Times New Roman" w:cs="Times New Roman"/>
          <w:sz w:val="24"/>
          <w:szCs w:val="26"/>
        </w:rPr>
      </w:r>
    </w:p>
    <w:p>
      <w:pPr>
        <w:jc w:val="center"/>
        <w:rPr>
          <w:i/>
          <w:sz w:val="24"/>
        </w:rPr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5534025" cy="7839075"/>
                <wp:effectExtent l="0" t="0" r="9525" b="9525"/>
                <wp:docPr id="2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3"/>
                        <a:stretch/>
                      </pic:blipFill>
                      <pic:spPr bwMode="auto">
                        <a:xfrm>
                          <a:off x="0" y="0"/>
                          <a:ext cx="5534025" cy="78390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" o:spid="_x0000_s1" type="#_x0000_t75" style="width:435.75pt;height:617.25pt;mso-wrap-distance-left:0.00pt;mso-wrap-distance-top:0.00pt;mso-wrap-distance-right:0.00pt;mso-wrap-distance-bottom:0.00pt;" stroked="false">
                <v:path textboxrect="0,0,0,0"/>
                <v:imagedata r:id="rId13" o:title=""/>
              </v:shape>
            </w:pict>
          </mc:Fallback>
        </mc:AlternateContent>
      </w:r>
      <w:r>
        <w:rPr>
          <w:i/>
          <w:sz w:val="24"/>
        </w:rPr>
      </w:r>
      <w:r>
        <w:rPr>
          <w:i/>
          <w:sz w:val="24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sectPr>
      <w:headerReference w:type="default" r:id="rId9"/>
      <w:footnotePr/>
      <w:endnotePr/>
      <w:type w:val="nextPage"/>
      <w:pgSz w:w="11906" w:h="16838" w:orient="portrait"/>
      <w:pgMar w:top="993" w:right="567" w:bottom="426" w:left="1276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Tahoma">
    <w:panose1 w:val="020B0604030504040204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60"/>
      <w:spacing w:line="14" w:lineRule="auto"/>
      <w:rPr>
        <w:i/>
        <w:sz w:val="20"/>
      </w:rPr>
    </w:pPr>
    <w:r>
      <w:rPr>
        <w:i/>
        <w:sz w:val="20"/>
      </w:rPr>
    </w:r>
    <w:r>
      <w:rPr>
        <w:i/>
        <w:sz w:val="20"/>
      </w:rPr>
    </w:r>
    <w:r>
      <w:rPr>
        <w:i/>
        <w:sz w:val="20"/>
      </w:rPr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space"/>
      <w:lvlText w:val="–"/>
      <w:lvlJc w:val="left"/>
      <w:pPr>
        <w:ind w:left="720" w:hanging="360"/>
      </w:pPr>
      <w:rPr>
        <w:rFonts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5"/>
      <w:numFmt w:val="decimal"/>
      <w:isLgl/>
      <w:suff w:val="tab"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51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isLgl w:val="false"/>
      <w:suff w:val="tab"/>
      <w:lvlText w:val="o"/>
      <w:lvlJc w:val="left"/>
      <w:pPr>
        <w:ind w:left="3172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isLgl w:val="false"/>
      <w:suff w:val="tab"/>
      <w:lvlText w:val="▪"/>
      <w:lvlJc w:val="left"/>
      <w:pPr>
        <w:ind w:left="3892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isLgl w:val="false"/>
      <w:suff w:val="tab"/>
      <w:lvlText w:val="•"/>
      <w:lvlJc w:val="left"/>
      <w:pPr>
        <w:ind w:left="4612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isLgl w:val="false"/>
      <w:suff w:val="tab"/>
      <w:lvlText w:val="o"/>
      <w:lvlJc w:val="left"/>
      <w:pPr>
        <w:ind w:left="5332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isLgl w:val="false"/>
      <w:suff w:val="tab"/>
      <w:lvlText w:val="▪"/>
      <w:lvlJc w:val="left"/>
      <w:pPr>
        <w:ind w:left="6052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isLgl w:val="false"/>
      <w:suff w:val="tab"/>
      <w:lvlText w:val="•"/>
      <w:lvlJc w:val="left"/>
      <w:pPr>
        <w:ind w:left="6772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isLgl w:val="false"/>
      <w:suff w:val="tab"/>
      <w:lvlText w:val="o"/>
      <w:lvlJc w:val="left"/>
      <w:pPr>
        <w:ind w:left="7492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isLgl w:val="false"/>
      <w:suff w:val="tab"/>
      <w:lvlText w:val="▪"/>
      <w:lvlJc w:val="left"/>
      <w:pPr>
        <w:ind w:left="8212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75">
    <w:name w:val="Heading 1 Char"/>
    <w:basedOn w:val="850"/>
    <w:link w:val="848"/>
    <w:uiPriority w:val="9"/>
    <w:rPr>
      <w:rFonts w:ascii="Arial" w:hAnsi="Arial" w:eastAsia="Arial" w:cs="Arial"/>
      <w:sz w:val="40"/>
      <w:szCs w:val="40"/>
    </w:rPr>
  </w:style>
  <w:style w:type="character" w:styleId="676">
    <w:name w:val="Heading 2 Char"/>
    <w:basedOn w:val="850"/>
    <w:link w:val="849"/>
    <w:uiPriority w:val="9"/>
    <w:rPr>
      <w:rFonts w:ascii="Arial" w:hAnsi="Arial" w:eastAsia="Arial" w:cs="Arial"/>
      <w:sz w:val="34"/>
    </w:rPr>
  </w:style>
  <w:style w:type="paragraph" w:styleId="677">
    <w:name w:val="Heading 3"/>
    <w:basedOn w:val="847"/>
    <w:next w:val="847"/>
    <w:link w:val="67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8">
    <w:name w:val="Heading 3 Char"/>
    <w:basedOn w:val="850"/>
    <w:link w:val="677"/>
    <w:uiPriority w:val="9"/>
    <w:rPr>
      <w:rFonts w:ascii="Arial" w:hAnsi="Arial" w:eastAsia="Arial" w:cs="Arial"/>
      <w:sz w:val="30"/>
      <w:szCs w:val="30"/>
    </w:rPr>
  </w:style>
  <w:style w:type="paragraph" w:styleId="679">
    <w:name w:val="Heading 4"/>
    <w:basedOn w:val="847"/>
    <w:next w:val="847"/>
    <w:link w:val="68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80">
    <w:name w:val="Heading 4 Char"/>
    <w:basedOn w:val="850"/>
    <w:link w:val="679"/>
    <w:uiPriority w:val="9"/>
    <w:rPr>
      <w:rFonts w:ascii="Arial" w:hAnsi="Arial" w:eastAsia="Arial" w:cs="Arial"/>
      <w:b/>
      <w:bCs/>
      <w:sz w:val="26"/>
      <w:szCs w:val="26"/>
    </w:rPr>
  </w:style>
  <w:style w:type="paragraph" w:styleId="681">
    <w:name w:val="Heading 5"/>
    <w:basedOn w:val="847"/>
    <w:next w:val="847"/>
    <w:link w:val="68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82">
    <w:name w:val="Heading 5 Char"/>
    <w:basedOn w:val="850"/>
    <w:link w:val="681"/>
    <w:uiPriority w:val="9"/>
    <w:rPr>
      <w:rFonts w:ascii="Arial" w:hAnsi="Arial" w:eastAsia="Arial" w:cs="Arial"/>
      <w:b/>
      <w:bCs/>
      <w:sz w:val="24"/>
      <w:szCs w:val="24"/>
    </w:rPr>
  </w:style>
  <w:style w:type="paragraph" w:styleId="683">
    <w:name w:val="Heading 6"/>
    <w:basedOn w:val="847"/>
    <w:next w:val="847"/>
    <w:link w:val="68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84">
    <w:name w:val="Heading 6 Char"/>
    <w:basedOn w:val="850"/>
    <w:link w:val="683"/>
    <w:uiPriority w:val="9"/>
    <w:rPr>
      <w:rFonts w:ascii="Arial" w:hAnsi="Arial" w:eastAsia="Arial" w:cs="Arial"/>
      <w:b/>
      <w:bCs/>
      <w:sz w:val="22"/>
      <w:szCs w:val="22"/>
    </w:rPr>
  </w:style>
  <w:style w:type="paragraph" w:styleId="685">
    <w:name w:val="Heading 7"/>
    <w:basedOn w:val="847"/>
    <w:next w:val="847"/>
    <w:link w:val="68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86">
    <w:name w:val="Heading 7 Char"/>
    <w:basedOn w:val="850"/>
    <w:link w:val="68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87">
    <w:name w:val="Heading 8"/>
    <w:basedOn w:val="847"/>
    <w:next w:val="847"/>
    <w:link w:val="68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8">
    <w:name w:val="Heading 8 Char"/>
    <w:basedOn w:val="850"/>
    <w:link w:val="687"/>
    <w:uiPriority w:val="9"/>
    <w:rPr>
      <w:rFonts w:ascii="Arial" w:hAnsi="Arial" w:eastAsia="Arial" w:cs="Arial"/>
      <w:i/>
      <w:iCs/>
      <w:sz w:val="22"/>
      <w:szCs w:val="22"/>
    </w:rPr>
  </w:style>
  <w:style w:type="paragraph" w:styleId="689">
    <w:name w:val="Heading 9"/>
    <w:basedOn w:val="847"/>
    <w:next w:val="847"/>
    <w:link w:val="69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>
    <w:name w:val="Heading 9 Char"/>
    <w:basedOn w:val="85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691">
    <w:name w:val="List Paragraph"/>
    <w:basedOn w:val="847"/>
    <w:uiPriority w:val="34"/>
    <w:qFormat/>
    <w:pPr>
      <w:contextualSpacing/>
      <w:ind w:left="720"/>
    </w:pPr>
  </w:style>
  <w:style w:type="paragraph" w:styleId="692">
    <w:name w:val="Title"/>
    <w:basedOn w:val="847"/>
    <w:next w:val="847"/>
    <w:link w:val="69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93">
    <w:name w:val="Title Char"/>
    <w:basedOn w:val="850"/>
    <w:link w:val="692"/>
    <w:uiPriority w:val="10"/>
    <w:rPr>
      <w:sz w:val="48"/>
      <w:szCs w:val="48"/>
    </w:rPr>
  </w:style>
  <w:style w:type="paragraph" w:styleId="694">
    <w:name w:val="Subtitle"/>
    <w:basedOn w:val="847"/>
    <w:next w:val="847"/>
    <w:link w:val="695"/>
    <w:uiPriority w:val="11"/>
    <w:qFormat/>
    <w:pPr>
      <w:spacing w:before="200" w:after="200"/>
    </w:pPr>
    <w:rPr>
      <w:sz w:val="24"/>
      <w:szCs w:val="24"/>
    </w:rPr>
  </w:style>
  <w:style w:type="character" w:styleId="695">
    <w:name w:val="Subtitle Char"/>
    <w:basedOn w:val="850"/>
    <w:link w:val="694"/>
    <w:uiPriority w:val="11"/>
    <w:rPr>
      <w:sz w:val="24"/>
      <w:szCs w:val="24"/>
    </w:rPr>
  </w:style>
  <w:style w:type="paragraph" w:styleId="696">
    <w:name w:val="Quote"/>
    <w:basedOn w:val="847"/>
    <w:next w:val="847"/>
    <w:link w:val="697"/>
    <w:uiPriority w:val="29"/>
    <w:qFormat/>
    <w:pPr>
      <w:ind w:left="720" w:right="720"/>
    </w:pPr>
    <w:rPr>
      <w:i/>
    </w:rPr>
  </w:style>
  <w:style w:type="character" w:styleId="697">
    <w:name w:val="Quote Char"/>
    <w:link w:val="696"/>
    <w:uiPriority w:val="29"/>
    <w:rPr>
      <w:i/>
    </w:rPr>
  </w:style>
  <w:style w:type="paragraph" w:styleId="698">
    <w:name w:val="Intense Quote"/>
    <w:basedOn w:val="847"/>
    <w:next w:val="847"/>
    <w:link w:val="699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9">
    <w:name w:val="Intense Quote Char"/>
    <w:link w:val="698"/>
    <w:uiPriority w:val="30"/>
    <w:rPr>
      <w:i/>
    </w:rPr>
  </w:style>
  <w:style w:type="character" w:styleId="700">
    <w:name w:val="Header Char"/>
    <w:basedOn w:val="850"/>
    <w:link w:val="862"/>
    <w:uiPriority w:val="99"/>
  </w:style>
  <w:style w:type="character" w:styleId="701">
    <w:name w:val="Footer Char"/>
    <w:basedOn w:val="850"/>
    <w:link w:val="864"/>
    <w:uiPriority w:val="99"/>
  </w:style>
  <w:style w:type="paragraph" w:styleId="702">
    <w:name w:val="Caption"/>
    <w:basedOn w:val="847"/>
    <w:next w:val="84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03">
    <w:name w:val="Caption Char"/>
    <w:basedOn w:val="702"/>
    <w:link w:val="864"/>
    <w:uiPriority w:val="99"/>
  </w:style>
  <w:style w:type="table" w:styleId="704">
    <w:name w:val="Table Grid"/>
    <w:basedOn w:val="851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5">
    <w:name w:val="Table Grid Light"/>
    <w:basedOn w:val="85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6">
    <w:name w:val="Plain Table 1"/>
    <w:basedOn w:val="85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85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1 Light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>
    <w:name w:val="Grid Table 1 Light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>
    <w:name w:val="Grid Table 1 Light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1 Light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>
    <w:name w:val="Grid Table 1 Light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>
    <w:name w:val="Grid Table 1 Light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2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2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2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2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2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2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3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3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3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3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Grid Table 3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Grid Table 3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8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>
    <w:name w:val="Grid Table 4 - Accent 1"/>
    <w:basedOn w:val="8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34">
    <w:name w:val="Grid Table 4 - Accent 2"/>
    <w:basedOn w:val="8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35">
    <w:name w:val="Grid Table 4 - Accent 3"/>
    <w:basedOn w:val="8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36">
    <w:name w:val="Grid Table 4 - Accent 4"/>
    <w:basedOn w:val="8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37">
    <w:name w:val="Grid Table 4 - Accent 5"/>
    <w:basedOn w:val="8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8">
    <w:name w:val="Grid Table 4 - Accent 6"/>
    <w:basedOn w:val="8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9">
    <w:name w:val="Grid Table 5 Dark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40">
    <w:name w:val="Grid Table 5 Dark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41">
    <w:name w:val="Grid Table 5 Dark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42">
    <w:name w:val="Grid Table 5 Dark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43">
    <w:name w:val="Grid Table 5 Dark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44">
    <w:name w:val="Grid Table 5 Dark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45">
    <w:name w:val="Grid Table 5 Dark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46">
    <w:name w:val="Grid Table 6 Colorful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47">
    <w:name w:val="Grid Table 6 Colorful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8">
    <w:name w:val="Grid Table 6 Colorful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9">
    <w:name w:val="Grid Table 6 Colorful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50">
    <w:name w:val="Grid Table 6 Colorful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51">
    <w:name w:val="Grid Table 6 Colorful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52">
    <w:name w:val="Grid Table 6 Colorful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53">
    <w:name w:val="Grid Table 7 Colorful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Grid Table 7 Colorful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Grid Table 7 Colorful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Grid Table 7 Colorful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7 Colorful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Grid Table 7 Colorful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Grid Table 7 Colorful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List Table 1 Light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1 Light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List Table 1 Light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List Table 1 Light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1 Light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List Table 1 Light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List Table 1 Light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8">
    <w:name w:val="List Table 2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9">
    <w:name w:val="List Table 2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70">
    <w:name w:val="List Table 2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71">
    <w:name w:val="List Table 2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72">
    <w:name w:val="List Table 2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73">
    <w:name w:val="List Table 2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3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3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3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3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3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3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4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>
    <w:name w:val="List Table 4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>
    <w:name w:val="List Table 4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4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>
    <w:name w:val="List Table 4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>
    <w:name w:val="List Table 4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9">
    <w:name w:val="List Table 5 Dark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0">
    <w:name w:val="List Table 5 Dark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1">
    <w:name w:val="List Table 5 Dark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2">
    <w:name w:val="List Table 5 Dark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3">
    <w:name w:val="List Table 5 Dark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4">
    <w:name w:val="List Table 5 Dark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5">
    <w:name w:val="List Table 6 Colorful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96">
    <w:name w:val="List Table 6 Colorful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97">
    <w:name w:val="List Table 6 Colorful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8">
    <w:name w:val="List Table 6 Colorful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9">
    <w:name w:val="List Table 6 Colorful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00">
    <w:name w:val="List Table 6 Colorful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01">
    <w:name w:val="List Table 6 Colorful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02">
    <w:name w:val="List Table 7 Colorful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03">
    <w:name w:val="List Table 7 Colorful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04">
    <w:name w:val="List Table 7 Colorful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05">
    <w:name w:val="List Table 7 Colorful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06">
    <w:name w:val="List Table 7 Colorful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07">
    <w:name w:val="List Table 7 Colorful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08">
    <w:name w:val="List Table 7 Colorful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09">
    <w:name w:val="Lined - Accent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0">
    <w:name w:val="Lined - Accent 1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11">
    <w:name w:val="Lined - Accent 2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12">
    <w:name w:val="Lined - Accent 3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13">
    <w:name w:val="Lined - Accent 4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14">
    <w:name w:val="Lined - Accent 5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5">
    <w:name w:val="Lined - Accent 6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6">
    <w:name w:val="Bordered &amp; Lined - Accent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7">
    <w:name w:val="Bordered &amp; Lined - Accent 1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18">
    <w:name w:val="Bordered &amp; Lined - Accent 2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19">
    <w:name w:val="Bordered &amp; Lined - Accent 3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20">
    <w:name w:val="Bordered &amp; Lined - Accent 4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21">
    <w:name w:val="Bordered &amp; Lined - Accent 5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22">
    <w:name w:val="Bordered &amp; Lined - Accent 6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23">
    <w:name w:val="Bordered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24">
    <w:name w:val="Bordered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25">
    <w:name w:val="Bordered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26">
    <w:name w:val="Bordered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27">
    <w:name w:val="Bordered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8">
    <w:name w:val="Bordered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9">
    <w:name w:val="Bordered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30">
    <w:name w:val="footnote text"/>
    <w:basedOn w:val="847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>
    <w:name w:val="Footnote Text Char"/>
    <w:link w:val="830"/>
    <w:uiPriority w:val="99"/>
    <w:rPr>
      <w:sz w:val="18"/>
    </w:rPr>
  </w:style>
  <w:style w:type="character" w:styleId="832">
    <w:name w:val="footnote reference"/>
    <w:basedOn w:val="850"/>
    <w:uiPriority w:val="99"/>
    <w:unhideWhenUsed/>
    <w:rPr>
      <w:vertAlign w:val="superscript"/>
    </w:rPr>
  </w:style>
  <w:style w:type="paragraph" w:styleId="833">
    <w:name w:val="endnote text"/>
    <w:basedOn w:val="847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>
    <w:name w:val="Endnote Text Char"/>
    <w:link w:val="833"/>
    <w:uiPriority w:val="99"/>
    <w:rPr>
      <w:sz w:val="20"/>
    </w:rPr>
  </w:style>
  <w:style w:type="character" w:styleId="835">
    <w:name w:val="endnote reference"/>
    <w:basedOn w:val="850"/>
    <w:uiPriority w:val="99"/>
    <w:semiHidden/>
    <w:unhideWhenUsed/>
    <w:rPr>
      <w:vertAlign w:val="superscript"/>
    </w:rPr>
  </w:style>
  <w:style w:type="paragraph" w:styleId="836">
    <w:name w:val="toc 1"/>
    <w:basedOn w:val="847"/>
    <w:next w:val="847"/>
    <w:uiPriority w:val="39"/>
    <w:unhideWhenUsed/>
    <w:pPr>
      <w:ind w:left="0" w:right="0" w:firstLine="0"/>
      <w:spacing w:after="57"/>
    </w:pPr>
  </w:style>
  <w:style w:type="paragraph" w:styleId="837">
    <w:name w:val="toc 2"/>
    <w:basedOn w:val="847"/>
    <w:next w:val="847"/>
    <w:uiPriority w:val="39"/>
    <w:unhideWhenUsed/>
    <w:pPr>
      <w:ind w:left="283" w:right="0" w:firstLine="0"/>
      <w:spacing w:after="57"/>
    </w:pPr>
  </w:style>
  <w:style w:type="paragraph" w:styleId="838">
    <w:name w:val="toc 3"/>
    <w:basedOn w:val="847"/>
    <w:next w:val="847"/>
    <w:uiPriority w:val="39"/>
    <w:unhideWhenUsed/>
    <w:pPr>
      <w:ind w:left="567" w:right="0" w:firstLine="0"/>
      <w:spacing w:after="57"/>
    </w:pPr>
  </w:style>
  <w:style w:type="paragraph" w:styleId="839">
    <w:name w:val="toc 4"/>
    <w:basedOn w:val="847"/>
    <w:next w:val="847"/>
    <w:uiPriority w:val="39"/>
    <w:unhideWhenUsed/>
    <w:pPr>
      <w:ind w:left="850" w:right="0" w:firstLine="0"/>
      <w:spacing w:after="57"/>
    </w:pPr>
  </w:style>
  <w:style w:type="paragraph" w:styleId="840">
    <w:name w:val="toc 5"/>
    <w:basedOn w:val="847"/>
    <w:next w:val="847"/>
    <w:uiPriority w:val="39"/>
    <w:unhideWhenUsed/>
    <w:pPr>
      <w:ind w:left="1134" w:right="0" w:firstLine="0"/>
      <w:spacing w:after="57"/>
    </w:pPr>
  </w:style>
  <w:style w:type="paragraph" w:styleId="841">
    <w:name w:val="toc 6"/>
    <w:basedOn w:val="847"/>
    <w:next w:val="847"/>
    <w:uiPriority w:val="39"/>
    <w:unhideWhenUsed/>
    <w:pPr>
      <w:ind w:left="1417" w:right="0" w:firstLine="0"/>
      <w:spacing w:after="57"/>
    </w:pPr>
  </w:style>
  <w:style w:type="paragraph" w:styleId="842">
    <w:name w:val="toc 7"/>
    <w:basedOn w:val="847"/>
    <w:next w:val="847"/>
    <w:uiPriority w:val="39"/>
    <w:unhideWhenUsed/>
    <w:pPr>
      <w:ind w:left="1701" w:right="0" w:firstLine="0"/>
      <w:spacing w:after="57"/>
    </w:pPr>
  </w:style>
  <w:style w:type="paragraph" w:styleId="843">
    <w:name w:val="toc 8"/>
    <w:basedOn w:val="847"/>
    <w:next w:val="847"/>
    <w:uiPriority w:val="39"/>
    <w:unhideWhenUsed/>
    <w:pPr>
      <w:ind w:left="1984" w:right="0" w:firstLine="0"/>
      <w:spacing w:after="57"/>
    </w:pPr>
  </w:style>
  <w:style w:type="paragraph" w:styleId="844">
    <w:name w:val="toc 9"/>
    <w:basedOn w:val="847"/>
    <w:next w:val="847"/>
    <w:uiPriority w:val="39"/>
    <w:unhideWhenUsed/>
    <w:pPr>
      <w:ind w:left="2268" w:right="0" w:firstLine="0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847"/>
    <w:next w:val="847"/>
    <w:uiPriority w:val="99"/>
    <w:unhideWhenUsed/>
    <w:pPr>
      <w:spacing w:after="0" w:afterAutospacing="0"/>
    </w:pPr>
  </w:style>
  <w:style w:type="paragraph" w:styleId="847" w:default="1">
    <w:name w:val="Normal"/>
    <w:qFormat/>
  </w:style>
  <w:style w:type="paragraph" w:styleId="848">
    <w:name w:val="Heading 1"/>
    <w:basedOn w:val="847"/>
    <w:next w:val="847"/>
    <w:link w:val="856"/>
    <w:uiPriority w:val="9"/>
    <w:qFormat/>
    <w:pPr>
      <w:keepLines/>
      <w:keepNext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849">
    <w:name w:val="Heading 2"/>
    <w:basedOn w:val="847"/>
    <w:next w:val="847"/>
    <w:link w:val="857"/>
    <w:uiPriority w:val="9"/>
    <w:unhideWhenUsed/>
    <w:qFormat/>
    <w:pPr>
      <w:keepLines/>
      <w:keepNext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850" w:default="1">
    <w:name w:val="Default Paragraph Font"/>
    <w:uiPriority w:val="1"/>
    <w:semiHidden/>
    <w:unhideWhenUsed/>
  </w:style>
  <w:style w:type="table" w:styleId="85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52" w:default="1">
    <w:name w:val="No List"/>
    <w:uiPriority w:val="99"/>
    <w:semiHidden/>
    <w:unhideWhenUsed/>
  </w:style>
  <w:style w:type="paragraph" w:styleId="853">
    <w:name w:val="Normal (Web)"/>
    <w:basedOn w:val="847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854">
    <w:name w:val="Hyperlink"/>
    <w:basedOn w:val="850"/>
    <w:uiPriority w:val="99"/>
    <w:unhideWhenUsed/>
    <w:rPr>
      <w:color w:val="0000ff" w:themeColor="hyperlink"/>
      <w:u w:val="single"/>
    </w:rPr>
  </w:style>
  <w:style w:type="paragraph" w:styleId="855">
    <w:name w:val="No Spacing"/>
    <w:uiPriority w:val="1"/>
    <w:qFormat/>
    <w:pPr>
      <w:spacing w:after="0" w:line="240" w:lineRule="auto"/>
    </w:pPr>
  </w:style>
  <w:style w:type="character" w:styleId="856" w:customStyle="1">
    <w:name w:val="Заголовок 1 Знак"/>
    <w:basedOn w:val="850"/>
    <w:link w:val="848"/>
    <w:uiPriority w:val="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857" w:customStyle="1">
    <w:name w:val="Заголовок 2 Знак"/>
    <w:basedOn w:val="850"/>
    <w:link w:val="849"/>
    <w:uiPriority w:val="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858">
    <w:name w:val="Balloon Text"/>
    <w:basedOn w:val="847"/>
    <w:link w:val="859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859" w:customStyle="1">
    <w:name w:val="Текст выноски Знак"/>
    <w:basedOn w:val="850"/>
    <w:link w:val="858"/>
    <w:uiPriority w:val="99"/>
    <w:semiHidden/>
    <w:rPr>
      <w:rFonts w:ascii="Tahoma" w:hAnsi="Tahoma" w:cs="Tahoma"/>
      <w:sz w:val="16"/>
      <w:szCs w:val="16"/>
    </w:rPr>
  </w:style>
  <w:style w:type="paragraph" w:styleId="860">
    <w:name w:val="Body Text"/>
    <w:basedOn w:val="847"/>
    <w:link w:val="861"/>
    <w:uiPriority w:val="99"/>
    <w:semiHidden/>
    <w:unhideWhenUsed/>
    <w:pPr>
      <w:spacing w:after="120"/>
    </w:pPr>
  </w:style>
  <w:style w:type="character" w:styleId="861" w:customStyle="1">
    <w:name w:val="Основной текст Знак"/>
    <w:basedOn w:val="850"/>
    <w:link w:val="860"/>
    <w:uiPriority w:val="99"/>
    <w:semiHidden/>
  </w:style>
  <w:style w:type="paragraph" w:styleId="862">
    <w:name w:val="Header"/>
    <w:basedOn w:val="847"/>
    <w:link w:val="863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63" w:customStyle="1">
    <w:name w:val="Верхний колонтитул Знак"/>
    <w:basedOn w:val="850"/>
    <w:link w:val="862"/>
    <w:uiPriority w:val="99"/>
  </w:style>
  <w:style w:type="paragraph" w:styleId="864">
    <w:name w:val="Footer"/>
    <w:basedOn w:val="847"/>
    <w:link w:val="865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65" w:customStyle="1">
    <w:name w:val="Нижний колонтитул Знак"/>
    <w:basedOn w:val="850"/>
    <w:link w:val="864"/>
    <w:uiPriority w:val="99"/>
  </w:style>
  <w:style w:type="paragraph" w:styleId="866">
    <w:name w:val="Body Text 2"/>
    <w:basedOn w:val="847"/>
    <w:link w:val="867"/>
    <w:uiPriority w:val="99"/>
    <w:semiHidden/>
    <w:unhideWhenUsed/>
    <w:pPr>
      <w:spacing w:after="120" w:line="480" w:lineRule="auto"/>
    </w:pPr>
  </w:style>
  <w:style w:type="character" w:styleId="867" w:customStyle="1">
    <w:name w:val="Основной текст 2 Знак"/>
    <w:basedOn w:val="850"/>
    <w:link w:val="866"/>
    <w:uiPriority w:val="99"/>
    <w:semiHidden/>
  </w:style>
  <w:style w:type="table" w:styleId="868" w:customStyle="1">
    <w:name w:val="Table Normal"/>
    <w:uiPriority w:val="2"/>
    <w:semiHidden/>
    <w:unhideWhenUsed/>
    <w:qFormat/>
    <w:pPr>
      <w:spacing w:after="0" w:line="240" w:lineRule="auto"/>
      <w:widowControl w:val="off"/>
    </w:pPr>
    <w:rPr>
      <w:lang w:val="en-US"/>
    </w:rPr>
    <w:tblPr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paragraph" w:styleId="869" w:customStyle="1">
    <w:name w:val="Table Paragraph"/>
    <w:basedOn w:val="847"/>
    <w:uiPriority w:val="1"/>
    <w:qFormat/>
    <w:pPr>
      <w:spacing w:after="0" w:line="240" w:lineRule="auto"/>
      <w:widowControl w:val="off"/>
    </w:pPr>
    <w:rPr>
      <w:rFonts w:ascii="Times New Roman" w:hAnsi="Times New Roman" w:eastAsia="Times New Roman" w:cs="Times New Roman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customXml" Target="../customXml/item1.xml" /><Relationship Id="rId11" Type="http://schemas.openxmlformats.org/officeDocument/2006/relationships/image" Target="media/image1.png"/><Relationship Id="rId12" Type="http://schemas.openxmlformats.org/officeDocument/2006/relationships/hyperlink" Target="http://pechengamr.gov-murman.ru/" TargetMode="External"/><Relationship Id="rId13" Type="http://schemas.openxmlformats.org/officeDocument/2006/relationships/image" Target="media/image2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98C40B-7FD5-4467-BCF4-1661B03663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SPecialiST RePack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Колесникова Маргарита Григорьевна</dc:creator>
  <cp:revision>60</cp:revision>
  <dcterms:created xsi:type="dcterms:W3CDTF">2020-03-06T09:43:00Z</dcterms:created>
  <dcterms:modified xsi:type="dcterms:W3CDTF">2026-08-31T14:14:56Z</dcterms:modified>
</cp:coreProperties>
</file>