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2691765</wp:posOffset>
                </wp:positionH>
                <wp:positionV relativeFrom="paragraph">
                  <wp:posOffset>102235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1.95pt;mso-position-horizontal:absolute;mso-position-vertical-relative:text;margin-top:8.0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28"/>
        </w:rPr>
      </w:r>
    </w:p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jc w:val="center"/>
        <w:widowControl w:val="off"/>
        <w:rPr>
          <w:b/>
          <w:bCs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bCs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РАСПОРЯЖЕНИЕ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27.08.2026                                                                                                                            № 95</w: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п.г.т</w:t>
      </w:r>
      <w:r>
        <w:rPr>
          <w:b/>
          <w:sz w:val="24"/>
          <w:szCs w:val="24"/>
        </w:rPr>
        <w:t xml:space="preserve">. Никель</w: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rFonts w:eastAsiaTheme="minorHAnsi"/>
          <w:b/>
          <w:bCs/>
          <w:color w:val="auto"/>
          <w:lang w:eastAsia="en-US"/>
        </w:rPr>
      </w:pPr>
      <w:r>
        <w:rPr>
          <w:rFonts w:eastAsiaTheme="minorHAnsi"/>
          <w:b/>
          <w:bCs/>
          <w:color w:val="auto"/>
          <w:lang w:eastAsia="en-US"/>
        </w:rPr>
        <w:t xml:space="preserve">О</w:t>
      </w:r>
      <w:r>
        <w:rPr>
          <w:rFonts w:eastAsiaTheme="minorHAnsi"/>
          <w:b/>
          <w:bCs/>
          <w:color w:val="auto"/>
          <w:lang w:eastAsia="en-US"/>
        </w:rPr>
        <w:t xml:space="preserve">б утверждении плана мероприятий («дорожной карты») по содействию развитию конкуренции в </w:t>
      </w:r>
      <w:r>
        <w:rPr>
          <w:rFonts w:eastAsiaTheme="minorHAnsi"/>
          <w:b/>
          <w:bCs/>
          <w:color w:val="auto"/>
          <w:lang w:eastAsia="en-US"/>
        </w:rPr>
        <w:t xml:space="preserve">Печенгском</w:t>
      </w:r>
      <w:r>
        <w:rPr>
          <w:rFonts w:eastAsiaTheme="minorHAnsi"/>
          <w:b/>
          <w:bCs/>
          <w:color w:val="auto"/>
          <w:lang w:eastAsia="en-US"/>
        </w:rPr>
        <w:t xml:space="preserve"> муниципальном округе до 2030 года </w:t>
      </w:r>
      <w:r>
        <w:rPr>
          <w:rFonts w:eastAsiaTheme="minorHAnsi"/>
          <w:b/>
          <w:bCs/>
          <w:color w:val="auto"/>
          <w:lang w:eastAsia="en-US"/>
        </w:rPr>
      </w:r>
    </w:p>
    <w:p>
      <w:pPr>
        <w:widowControl w:val="off"/>
        <w:rPr>
          <w:color w:val="auto"/>
          <w:sz w:val="24"/>
          <w:szCs w:val="24"/>
        </w:rPr>
        <w:outlineLvl w:val="3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color w:val="auto"/>
          <w:sz w:val="24"/>
          <w:szCs w:val="24"/>
        </w:rPr>
        <w:outlineLvl w:val="3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  <w:outlineLvl w:val="3"/>
      </w:pPr>
      <w:r>
        <w:rPr>
          <w:color w:val="auto"/>
          <w:sz w:val="24"/>
          <w:szCs w:val="24"/>
        </w:rPr>
        <w:t xml:space="preserve">В соответствии с подпунктом 5 распоряжения Правительства Российской Федерации от 08.10.2025 № 2816-р «Об утверждении Нац</w:t>
      </w:r>
      <w:r>
        <w:rPr>
          <w:color w:val="auto"/>
          <w:sz w:val="24"/>
          <w:szCs w:val="24"/>
        </w:rPr>
        <w:t xml:space="preserve">ионального плана («дорожной карты») развития конкуренции в Российской Федерации на 2026 - 2030 годы», в целях реализации распоряжения Правительства Российской Федерации от 17.04.2019 № 768-р </w:t>
      </w:r>
      <w:r>
        <w:rPr>
          <w:color w:val="auto"/>
          <w:sz w:val="24"/>
          <w:szCs w:val="24"/>
        </w:rPr>
        <w:br/>
        <w:t xml:space="preserve">«Об утверждении стандарта развития конкуренции в субъектах Росси</w:t>
      </w:r>
      <w:r>
        <w:rPr>
          <w:color w:val="auto"/>
          <w:sz w:val="24"/>
          <w:szCs w:val="24"/>
        </w:rPr>
        <w:t xml:space="preserve">йской Федерации», 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  <w:outlineLvl w:val="3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 Утвердить прилагаемый перечень рынков товаров, работ, услуг для целей содействия развитию конкуренции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 до 2030 года.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 Утвердить прилагаемый план мероприятий («дорожную карту») по содействию развитию</w:t>
      </w:r>
      <w:r>
        <w:rPr>
          <w:color w:val="auto"/>
          <w:sz w:val="24"/>
          <w:szCs w:val="24"/>
        </w:rPr>
        <w:t xml:space="preserve"> конкуренции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 до 2030 года с перечнем рынков товаров, работ, услуг Печенгского муниципального округа и соответствующими плановыми значениями ключевых показателей развития конкуренции.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распоряжение вступает в си</w:t>
      </w:r>
      <w:r>
        <w:rPr>
          <w:sz w:val="24"/>
          <w:szCs w:val="24"/>
        </w:rPr>
        <w:t xml:space="preserve">лу после его подписания.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распоряжение разместить на сайте Печенгского муниципального округа https://pechengamr.gov-murman.ru/.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t xml:space="preserve">Швец Г.В., 6-20-41</w:t>
      </w:r>
      <w:r/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Утвержден</w:t>
      </w:r>
      <w:r>
        <w:rPr>
          <w:sz w:val="24"/>
          <w:szCs w:val="24"/>
        </w:rPr>
      </w:r>
    </w:p>
    <w:p>
      <w:pPr>
        <w:ind w:left="5528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распоряжением администрации</w:t>
      </w:r>
      <w:r>
        <w:rPr>
          <w:sz w:val="24"/>
          <w:szCs w:val="24"/>
        </w:rPr>
      </w:r>
    </w:p>
    <w:p>
      <w:pPr>
        <w:ind w:left="5528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от 27.08.2026 № 95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рынков товаров, работ, услуг для целей</w: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содействия развитию конкуренции в </w:t>
      </w:r>
      <w:r>
        <w:rPr>
          <w:b/>
          <w:sz w:val="24"/>
          <w:szCs w:val="24"/>
        </w:rPr>
        <w:t xml:space="preserve">Печенгском</w:t>
      </w:r>
      <w:r>
        <w:rPr>
          <w:b/>
          <w:sz w:val="24"/>
          <w:szCs w:val="24"/>
        </w:rPr>
        <w:t xml:space="preserve"> муниципальном округе</w: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 2030 года</w:t>
      </w:r>
      <w:r>
        <w:rPr>
          <w:b/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17"/>
        <w:tblW w:w="0" w:type="auto"/>
        <w:tblLook w:val="04A0" w:firstRow="1" w:lastRow="0" w:firstColumn="1" w:lastColumn="0" w:noHBand="0" w:noVBand="1"/>
      </w:tblPr>
      <w:tblGrid>
        <w:gridCol w:w="846"/>
        <w:gridCol w:w="8612"/>
      </w:tblGrid>
      <w:tr>
        <w:tblPrEx/>
        <w:trPr/>
        <w:tc>
          <w:tcPr>
            <w:tcW w:w="84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861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Рынок производства и реализации сельскохозяйственной продукции, в том числе продукции крестьянских (фермерских) хозяйств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4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</w:p>
        </w:tc>
        <w:tc>
          <w:tcPr>
            <w:tcW w:w="861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Рынок услуг связи, в том числе широкополосного доступа к информационно-телекоммуникационной сети Интернет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4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</w:p>
        </w:tc>
        <w:tc>
          <w:tcPr>
            <w:tcW w:w="861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Рынок оказания медицинских услуг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4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</w:p>
        </w:tc>
        <w:tc>
          <w:tcPr>
            <w:tcW w:w="861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Рынок услуг розничной торговли лекарственными препаратами, медицинскими изделиями и сопутствующими товарами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4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</w:p>
        </w:tc>
        <w:tc>
          <w:tcPr>
            <w:tcW w:w="861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Рынок оказания услуг по перевозке пассажиров автомобильным транспортом по муниципальным и межмуниципальным маршрутам регулярных перевозок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4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</w:p>
        </w:tc>
        <w:tc>
          <w:tcPr>
            <w:tcW w:w="861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Рынок добычи общераспространенных полезных ископаемых на участках недр местного значения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4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</w:p>
        </w:tc>
        <w:tc>
          <w:tcPr>
            <w:tcW w:w="861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Рынок торговли пр</w:t>
            </w:r>
            <w:r>
              <w:rPr>
                <w:sz w:val="24"/>
                <w:szCs w:val="24"/>
              </w:rPr>
              <w:t xml:space="preserve">одовольственными товарами в неспециализированных магазинах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4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</w:p>
        </w:tc>
        <w:tc>
          <w:tcPr>
            <w:tcW w:w="861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Рынок гостиничных услуг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4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</w:p>
        </w:tc>
        <w:tc>
          <w:tcPr>
            <w:tcW w:w="861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Рынок оказания услуг по общественному питанию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4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</w:r>
          </w:p>
        </w:tc>
        <w:tc>
          <w:tcPr>
            <w:tcW w:w="861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Рынок внутреннего и въездного туризма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340"/>
        <w:rPr>
          <w:sz w:val="24"/>
          <w:szCs w:val="24"/>
        </w:rPr>
      </w:pP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специ</w:t>
      </w:r>
      <w:r>
        <w:rPr>
          <w:sz w:val="24"/>
          <w:szCs w:val="24"/>
        </w:rPr>
        <w:t xml:space="preserve">                                                                                                  Г.</w:t>
      </w:r>
      <w:r>
        <w:rPr>
          <w:sz w:val="24"/>
          <w:szCs w:val="24"/>
        </w:rPr>
      </w:r>
    </w:p>
    <w:p>
      <w:pPr>
        <w:ind w:left="11340"/>
        <w:rPr>
          <w:sz w:val="24"/>
          <w:szCs w:val="24"/>
        </w:rPr>
        <w:sectPr>
          <w:headerReference w:type="even" r:id="rId9"/>
          <w:footnotePr/>
          <w:endnotePr/>
          <w:type w:val="nextPage"/>
          <w:pgSz w:w="11906" w:h="16838" w:orient="portrait"/>
          <w:pgMar w:top="646" w:right="737" w:bottom="720" w:left="1701" w:header="720" w:footer="720" w:gutter="0"/>
          <w:pgNumType w:start="1"/>
          <w:cols w:num="1" w:sep="0" w:space="720" w:equalWidth="1"/>
          <w:docGrid w:linePitch="360"/>
          <w:titlePg/>
        </w:sect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340"/>
        <w:rPr>
          <w:sz w:val="24"/>
          <w:szCs w:val="24"/>
        </w:rPr>
      </w:pPr>
      <w:r>
        <w:rPr>
          <w:sz w:val="24"/>
          <w:szCs w:val="24"/>
        </w:rPr>
        <w:t xml:space="preserve">Утвержден</w:t>
      </w:r>
      <w:r>
        <w:rPr>
          <w:sz w:val="24"/>
          <w:szCs w:val="24"/>
        </w:rPr>
      </w:r>
    </w:p>
    <w:p>
      <w:pPr>
        <w:ind w:left="11340"/>
        <w:rPr>
          <w:sz w:val="24"/>
          <w:szCs w:val="24"/>
        </w:rPr>
      </w:pPr>
      <w:r>
        <w:rPr>
          <w:sz w:val="24"/>
          <w:szCs w:val="24"/>
        </w:rPr>
        <w:t xml:space="preserve">распоряжением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</w:r>
    </w:p>
    <w:p>
      <w:pPr>
        <w:ind w:left="11340"/>
        <w:rPr>
          <w:sz w:val="24"/>
          <w:szCs w:val="24"/>
        </w:rPr>
      </w:pPr>
      <w:r>
        <w:rPr>
          <w:sz w:val="24"/>
          <w:szCs w:val="24"/>
        </w:rPr>
        <w:t xml:space="preserve">от 27.08.2026 № </w:t>
      </w:r>
      <w:r>
        <w:rPr>
          <w:sz w:val="24"/>
          <w:szCs w:val="24"/>
        </w:rPr>
        <w:t xml:space="preserve">95</w:t>
      </w:r>
      <w:r>
        <w:rPr>
          <w:sz w:val="24"/>
          <w:szCs w:val="24"/>
        </w:rPr>
      </w:r>
    </w:p>
    <w:p>
      <w:pPr>
        <w:ind w:left="113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 («ДОРОЖНАЯ КАРТА») ПО СОДЕЙСТВИЮ РАЗВИТИЮ КОНКУРЕНЦИИ</w:t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ПЕЧЕНГСКОМ МУНИЦИПАЛЬНОМ ОКРУГЕ ДО 2030 ГОДА</w:t>
      </w:r>
      <w:r>
        <w:rPr>
          <w:b/>
          <w:sz w:val="24"/>
          <w:szCs w:val="24"/>
        </w:rPr>
      </w:r>
    </w:p>
    <w:p>
      <w:pPr>
        <w:ind w:hanging="10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I. Перечень рынков товаров, работ, услуг Печенгского муниципальног</w:t>
      </w:r>
      <w:r>
        <w:rPr>
          <w:b/>
          <w:sz w:val="24"/>
          <w:szCs w:val="24"/>
        </w:rPr>
        <w:t xml:space="preserve">о округа для целей содействия развитию конкуренции с плановыми значениями ключевых показателей развития конкуренции до 2030 года</w:t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5530" w:type="dxa"/>
        <w:tblInd w:w="-113" w:type="dxa"/>
        <w:tblLayout w:type="fixed"/>
        <w:tblCellMar>
          <w:top w:w="7" w:type="dxa"/>
          <w:right w:w="62" w:type="dxa"/>
        </w:tblCellMar>
        <w:tblLook w:val="04A0" w:firstRow="1" w:lastRow="0" w:firstColumn="1" w:lastColumn="0" w:noHBand="0" w:noVBand="1"/>
      </w:tblPr>
      <w:tblGrid>
        <w:gridCol w:w="644"/>
        <w:gridCol w:w="1558"/>
        <w:gridCol w:w="2267"/>
        <w:gridCol w:w="1276"/>
        <w:gridCol w:w="1134"/>
        <w:gridCol w:w="1134"/>
        <w:gridCol w:w="1275"/>
        <w:gridCol w:w="1276"/>
        <w:gridCol w:w="1276"/>
        <w:gridCol w:w="1422"/>
        <w:gridCol w:w="2268"/>
      </w:tblGrid>
      <w:tr>
        <w:tblPrEx/>
        <w:trPr>
          <w:trHeight w:val="931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4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Наименование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рынка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Ключевой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показатель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Целевое значение ключевого пока</w:t>
            </w:r>
            <w:r>
              <w:rPr>
                <w:b/>
                <w:sz w:val="22"/>
                <w:szCs w:val="22"/>
                <w:lang w:val="en-US"/>
              </w:rPr>
              <w:t xml:space="preserve">зателя</w:t>
            </w:r>
            <w:r>
              <w:rPr>
                <w:rStyle w:val="905"/>
                <w:b/>
                <w:sz w:val="22"/>
                <w:szCs w:val="22"/>
                <w:lang w:val="en-US"/>
              </w:rPr>
              <w:footnoteReference w:id="2"/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Фактическое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значение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на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</w:pPr>
            <w:r>
              <w:rPr>
                <w:b/>
                <w:lang w:val="en-US"/>
              </w:rPr>
              <w:t xml:space="preserve">31.12.202</w:t>
            </w:r>
            <w:r>
              <w:rPr>
                <w:b/>
              </w:rPr>
              <w:t xml:space="preserve">5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Плановое </w:t>
            </w:r>
            <w:r>
              <w:rPr>
                <w:b/>
                <w:sz w:val="22"/>
                <w:szCs w:val="22"/>
                <w:lang w:val="en-US"/>
              </w:rPr>
              <w:t xml:space="preserve">значение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на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</w:pPr>
            <w:r>
              <w:rPr>
                <w:b/>
                <w:lang w:val="en-US"/>
              </w:rPr>
              <w:t xml:space="preserve">31.12.202</w:t>
            </w:r>
            <w:r>
              <w:rPr>
                <w:b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Плановое </w:t>
            </w:r>
            <w:r>
              <w:rPr>
                <w:b/>
                <w:sz w:val="22"/>
                <w:szCs w:val="22"/>
                <w:lang w:val="en-US"/>
              </w:rPr>
              <w:t xml:space="preserve">значение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на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31.12.202</w:t>
            </w:r>
            <w:r>
              <w:rPr>
                <w:b/>
              </w:rPr>
              <w:t xml:space="preserve">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Плановое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значение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на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</w:pPr>
            <w:r>
              <w:rPr>
                <w:b/>
                <w:lang w:val="en-US"/>
              </w:rPr>
              <w:t xml:space="preserve">31.12.202</w:t>
            </w:r>
            <w:r>
              <w:rPr>
                <w:b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Плановое </w:t>
            </w:r>
            <w:r>
              <w:rPr>
                <w:b/>
                <w:sz w:val="22"/>
                <w:szCs w:val="22"/>
                <w:lang w:val="en-US"/>
              </w:rPr>
              <w:t xml:space="preserve">значение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на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31.12.202</w:t>
            </w:r>
            <w:r>
              <w:rPr>
                <w:b/>
              </w:rPr>
              <w:t xml:space="preserve">9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Плановое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значение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на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</w:pPr>
            <w:r>
              <w:rPr>
                <w:b/>
                <w:lang w:val="en-US"/>
              </w:rPr>
              <w:t xml:space="preserve">31.12.20</w:t>
            </w:r>
            <w:r>
              <w:rPr>
                <w:b/>
              </w:rPr>
              <w:t xml:space="preserve">30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Ответственный</w:t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исполнитель</w:t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79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4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8" w:type="dxa"/>
            <w:vMerge w:val="restart"/>
            <w:textDirection w:val="lrTb"/>
            <w:noWrap w:val="false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Рынок производства и реализации сельскохозяйственной продукции, в том числе продукции крестьянских (фермерских) хозяйств</w:t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Рост индекса конкуренции +1 рейтинговый класс индекса конкуренции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  <w:t xml:space="preserve"> администрации Печенгского муниципального округа (далее – сектор инвестиционной деятельности)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5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Кизмрег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45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50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Кс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8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4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 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8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услуг связи, в том числе услуг по </w:t>
            </w:r>
            <w:r>
              <w:rPr>
                <w:sz w:val="22"/>
                <w:szCs w:val="22"/>
              </w:rPr>
              <w:t xml:space="preserve">предоставлению </w:t>
            </w:r>
            <w:r>
              <w:rPr>
                <w:sz w:val="22"/>
                <w:szCs w:val="22"/>
              </w:rPr>
              <w:t xml:space="preserve">ши</w:t>
            </w:r>
            <w:r>
              <w:rPr>
                <w:sz w:val="22"/>
                <w:szCs w:val="22"/>
              </w:rPr>
              <w:t xml:space="preserve">рокополостного</w:t>
            </w:r>
            <w:r>
              <w:rPr>
                <w:sz w:val="22"/>
                <w:szCs w:val="22"/>
              </w:rPr>
              <w:t xml:space="preserve"> доступа к информационно-телекоммуникационной сети «Интернет»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Рост индекса конкуренции +1 рейтинговый класс индекса конкуренции</w:t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  <w:highlight w:val="yellow"/>
              </w:rPr>
            </w:r>
          </w:p>
        </w:tc>
      </w:tr>
      <w:tr>
        <w:tblPrEx/>
        <w:trPr>
          <w:trHeight w:val="705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Кизмрег</w:t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</w:tr>
      <w:tr>
        <w:tblPrEx/>
        <w:trPr>
          <w:trHeight w:val="690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Кпд</w:t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Кс</w:t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</w:tr>
      <w:tr>
        <w:tblPrEx/>
        <w:trPr>
          <w:trHeight w:val="100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4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Рынок оказания медицинских услуг</w:t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Рост индекса конкуренции +1 рейтинговый класс индекса конкуренции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экономического развития администрации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Печенгского 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муниципального 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округа 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(далее – ОЭР)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95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Кизмрег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20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Кпд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50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Кс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8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4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8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услуг розничной торговли лекарственными препаратами, медицинскими изделиями и сопутствующими товарами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Рост индекса конкуренции +1 рейтинговый класс индекса конкуренции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ОЭР, 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0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Кизмрег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75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35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Кс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21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4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оказания услуг по перевозке пассажиров автомобильным транспортом по муниципальным и межмуниципальным маршрутам регулярных перевозок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Рост индекса конкуренции +1 рейтинговый класс индекса конкуренции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887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Кизмрег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60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61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Кс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4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добычи общераспространенных полезных ископаемых на участках недр местного значения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Рост индекса конкуренции +1 рейтинговый класс индекса конкуренции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tabs>
                <w:tab w:val="left" w:pos="285" w:leader="none"/>
                <w:tab w:val="center" w:pos="55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15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Кизмрег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tabs>
                <w:tab w:val="left" w:pos="285" w:leader="none"/>
                <w:tab w:val="center" w:pos="55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810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tabs>
                <w:tab w:val="left" w:pos="285" w:leader="none"/>
                <w:tab w:val="center" w:pos="55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72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Кс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tabs>
                <w:tab w:val="left" w:pos="285" w:leader="none"/>
                <w:tab w:val="center" w:pos="55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4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Рынок торговли продовольственными товарами в </w:t>
            </w:r>
            <w:r>
              <w:rPr>
                <w:sz w:val="22"/>
                <w:szCs w:val="22"/>
              </w:rPr>
              <w:t xml:space="preserve">неспециализированных магазинах</w:t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Рост индекса конкуренции +1 рейтинговый класс индекса конкуренции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hanging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Сектор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инвестиционной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0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Кизмрег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hanging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35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hanging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85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Кс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hanging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04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4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гостиничных услуг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Рост индекса конкуренции +1 рейтинговый класс индекса конкуренции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hanging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Консультант 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приграничному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сотрудничеству администрации Печенгского муниципального округа (далее – консультант по приграничному сотрудничеству)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85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Кизмрег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hanging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25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Кпд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hanging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20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Кс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hanging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4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8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</w:t>
            </w:r>
            <w:r>
              <w:rPr>
                <w:sz w:val="22"/>
                <w:szCs w:val="22"/>
              </w:rPr>
              <w:t xml:space="preserve">оказания услуг по общественному питанию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Рост индекса конкуренции +1 рейтинговый класс индекса конкуренции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ВУ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инвестиционной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Кизмрег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75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75"/>
        </w:trPr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64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Кс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265"/>
        </w:trPr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64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558" w:type="dxa"/>
            <w:textDirection w:val="lrTb"/>
            <w:noWrap w:val="false"/>
          </w:tcPr>
          <w:p>
            <w:pPr>
              <w:tabs>
                <w:tab w:val="center" w:pos="270" w:leader="none"/>
                <w:tab w:val="center" w:pos="134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Рынок внутреннего и въездного туризма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</w:t>
            </w:r>
            <w:r>
              <w:rPr>
                <w:sz w:val="22"/>
                <w:szCs w:val="22"/>
              </w:rPr>
              <w:t xml:space="preserve">туристкого</w:t>
            </w:r>
            <w:r>
              <w:rPr>
                <w:sz w:val="22"/>
                <w:szCs w:val="22"/>
              </w:rPr>
              <w:t xml:space="preserve"> потока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округе, </w:t>
            </w:r>
            <w:r>
              <w:rPr>
                <w:sz w:val="22"/>
                <w:szCs w:val="22"/>
              </w:rPr>
              <w:t xml:space="preserve">тыс</w:t>
            </w:r>
            <w:r>
              <w:rPr>
                <w:sz w:val="22"/>
                <w:szCs w:val="22"/>
              </w:rPr>
              <w:t xml:space="preserve">.ч</w:t>
            </w:r>
            <w:r>
              <w:rPr>
                <w:sz w:val="22"/>
                <w:szCs w:val="22"/>
              </w:rPr>
              <w:t xml:space="preserve">ел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13,0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15,0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16,0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17,0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18,0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Консультант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приграничному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сотрудничеству</w:t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II. План мероприятий («дорожная карта») по содействию развитию конкуренции на рынках товаров, работ, услуг Печенгского муниципального округа </w:t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21007" w:type="dxa"/>
        <w:tblInd w:w="-108" w:type="dxa"/>
        <w:tblLayout w:type="fixed"/>
        <w:tblCellMar>
          <w:top w:w="7" w:type="dxa"/>
          <w:right w:w="10" w:type="dxa"/>
        </w:tblCellMar>
        <w:tblLook w:val="04A0" w:firstRow="1" w:lastRow="0" w:firstColumn="1" w:lastColumn="0" w:noHBand="0" w:noVBand="1"/>
      </w:tblPr>
      <w:tblGrid>
        <w:gridCol w:w="782"/>
        <w:gridCol w:w="3399"/>
        <w:gridCol w:w="39"/>
        <w:gridCol w:w="1791"/>
        <w:gridCol w:w="12"/>
        <w:gridCol w:w="132"/>
        <w:gridCol w:w="2538"/>
        <w:gridCol w:w="21"/>
        <w:gridCol w:w="111"/>
        <w:gridCol w:w="2301"/>
        <w:gridCol w:w="41"/>
        <w:gridCol w:w="1943"/>
        <w:gridCol w:w="20"/>
        <w:gridCol w:w="21"/>
        <w:gridCol w:w="22"/>
        <w:gridCol w:w="2494"/>
        <w:gridCol w:w="2670"/>
        <w:gridCol w:w="2670"/>
      </w:tblGrid>
      <w:tr>
        <w:tblPrEx/>
        <w:trPr>
          <w:gridAfter w:val="2"/>
          <w:trHeight w:val="931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п/п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Наименование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мероприятия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Проблема, на решение которой направлено мероприятие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Вид правового акта или показатель, характеризу</w:t>
            </w:r>
            <w:r>
              <w:rPr>
                <w:b/>
                <w:sz w:val="22"/>
                <w:szCs w:val="22"/>
              </w:rPr>
              <w:t xml:space="preserve">ющий реализацию мероприятия 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Результат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реализации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мероприятия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Сроки разработки и реализации мероприятия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Ответственные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исполнители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gridAfter w:val="2"/>
          <w:trHeight w:val="78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1.</w:t>
            </w: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gridSpan w:val="1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</w:t>
            </w:r>
            <w:r>
              <w:rPr>
                <w:b/>
                <w:sz w:val="22"/>
                <w:szCs w:val="22"/>
              </w:rPr>
              <w:t xml:space="preserve">производства и реализации сельскохозяйственной продукции, в том числе продукции крестьянских (фермерских) хозяйств.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I.  Исходная информация в отношении ситуации и проблематики на рынке.</w:t>
            </w:r>
            <w:r>
              <w:rPr>
                <w:b/>
                <w:sz w:val="22"/>
                <w:szCs w:val="22"/>
              </w:rPr>
            </w:r>
          </w:p>
          <w:p>
            <w:r>
              <w:t xml:space="preserve">         Особенности природно-климатических условий Крайнего </w:t>
            </w:r>
            <w:r>
              <w:t xml:space="preserve">Севера существенно влияют на формирование и развитие сельского хозяйства и ограничивают потенциальные возможности его развития по сравнению со средней полосой и юга России.</w:t>
            </w:r>
            <w:r/>
          </w:p>
          <w:p>
            <w:r>
              <w:t xml:space="preserve">В </w:t>
            </w:r>
            <w:r>
              <w:t xml:space="preserve">Печенгском</w:t>
            </w:r>
            <w:r>
              <w:t xml:space="preserve"> муниципальном округе осуществляет деятельность ИП Фортуна М.В. с июля </w:t>
            </w:r>
            <w:r>
              <w:t xml:space="preserve">2025 года по коду ОКВЭД 01.47 – разведение сельскохозяйственной птицы. На базе бывшего совхоза «Северный» имеется собственное хозяйство по разведению коз, кур и перепелов. К реализации поступает козий сыр, творог, молоко, перепелиное и куриное яйцо.  </w:t>
            </w:r>
            <w:r/>
          </w:p>
          <w:p>
            <w:pPr>
              <w:rPr>
                <w:b/>
                <w:sz w:val="22"/>
                <w:szCs w:val="22"/>
              </w:rPr>
            </w:pPr>
            <w:r>
              <w:t xml:space="preserve">    </w:t>
            </w:r>
            <w:r>
              <w:t xml:space="preserve">     </w:t>
            </w:r>
            <w:r>
              <w:rPr>
                <w:b/>
                <w:sz w:val="22"/>
                <w:szCs w:val="22"/>
                <w:lang w:val="en-US"/>
              </w:rPr>
              <w:t xml:space="preserve">II</w:t>
            </w:r>
            <w:r>
              <w:rPr>
                <w:b/>
                <w:sz w:val="22"/>
                <w:szCs w:val="22"/>
              </w:rPr>
              <w:t xml:space="preserve">.  Доля</w:t>
            </w:r>
            <w:r>
              <w:rPr>
                <w:b/>
                <w:sz w:val="22"/>
                <w:szCs w:val="22"/>
              </w:rPr>
              <w:t xml:space="preserve"> хозяйствующих субъектов частной формы собственности на рынке.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Государственные организации, задействованные на рынке агропромышленного комплекса на территории Печенгского муниципального округа, отсутствуют.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>
              <w:rPr>
                <w:b/>
                <w:sz w:val="22"/>
                <w:szCs w:val="22"/>
                <w:lang w:val="en-US"/>
              </w:rPr>
              <w:t xml:space="preserve">III</w:t>
            </w:r>
            <w:r>
              <w:rPr>
                <w:b/>
                <w:sz w:val="22"/>
                <w:szCs w:val="22"/>
              </w:rPr>
              <w:t xml:space="preserve">. Оценка состоян</w:t>
            </w:r>
            <w:r>
              <w:rPr>
                <w:b/>
                <w:sz w:val="22"/>
                <w:szCs w:val="22"/>
              </w:rPr>
              <w:t xml:space="preserve">ия конкурентной среды бизнес-объединениями и потребителями.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Оценка условий ведения бизнеса </w:t>
            </w:r>
            <w:r>
              <w:rPr>
                <w:sz w:val="22"/>
                <w:szCs w:val="22"/>
              </w:rPr>
              <w:t xml:space="preserve">бизнес-объединениями</w:t>
            </w:r>
            <w:r>
              <w:rPr>
                <w:sz w:val="22"/>
                <w:szCs w:val="22"/>
              </w:rPr>
              <w:t xml:space="preserve"> оценивается как очень высокая конкуренция.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Уровень удовлетворенности потребителей качеством оказания услуг частными организациями, уровнем цен на рынке – качеством 32,9%, ценой 28,4%.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b/>
                <w:sz w:val="22"/>
                <w:szCs w:val="22"/>
                <w:lang w:val="en-US"/>
              </w:rPr>
              <w:t xml:space="preserve">IV</w:t>
            </w:r>
            <w:r>
              <w:rPr>
                <w:b/>
                <w:sz w:val="22"/>
                <w:szCs w:val="22"/>
              </w:rPr>
              <w:t xml:space="preserve">.  Характерные</w:t>
            </w:r>
            <w:r>
              <w:rPr>
                <w:b/>
                <w:sz w:val="22"/>
                <w:szCs w:val="22"/>
              </w:rPr>
              <w:t xml:space="preserve"> особенности рынка.   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Особенности природно-климатических условий Крайнего Севера с</w:t>
            </w:r>
            <w:r>
              <w:rPr>
                <w:sz w:val="22"/>
                <w:szCs w:val="22"/>
              </w:rPr>
              <w:t xml:space="preserve">ущественно влияют на формирование и развитие сельского хозяйства в Заполярье и ограничивают потенциальные возможности его развития по сравнению с регионами средней полосы и юга России.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>
              <w:rPr>
                <w:b/>
                <w:sz w:val="22"/>
                <w:szCs w:val="22"/>
                <w:lang w:val="en-US"/>
              </w:rPr>
              <w:t xml:space="preserve">V</w:t>
            </w:r>
            <w:r>
              <w:rPr>
                <w:b/>
                <w:sz w:val="22"/>
                <w:szCs w:val="22"/>
              </w:rPr>
              <w:t xml:space="preserve">.  Меры</w:t>
            </w:r>
            <w:r>
              <w:rPr>
                <w:b/>
                <w:sz w:val="22"/>
                <w:szCs w:val="22"/>
              </w:rPr>
              <w:t xml:space="preserve"> по развитию рынка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Вовлечение субъектов малого</w:t>
            </w:r>
            <w:r>
              <w:rPr>
                <w:sz w:val="22"/>
                <w:szCs w:val="22"/>
              </w:rPr>
              <w:t xml:space="preserve"> и среднего предпринимательства в сферу агропромышленного комплекса посредством предоставления финансовой поддержки.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>
              <w:rPr>
                <w:b/>
                <w:sz w:val="22"/>
                <w:szCs w:val="22"/>
                <w:lang w:val="en-US"/>
              </w:rPr>
              <w:t xml:space="preserve">VI</w:t>
            </w:r>
            <w:r>
              <w:rPr>
                <w:b/>
                <w:sz w:val="22"/>
                <w:szCs w:val="22"/>
              </w:rPr>
              <w:t xml:space="preserve">. Перспективы развития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Основными перспективными направлениями развития рынка являются: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 осуществление мер госуд</w:t>
            </w:r>
            <w:r>
              <w:rPr>
                <w:sz w:val="22"/>
                <w:szCs w:val="22"/>
              </w:rPr>
              <w:t xml:space="preserve">арственной поддержки предприятий в сфере агропромышленного комплекса;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создание реестра НПА о мерах поддержки, размещение его в открытом доступе.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</w:p>
          <w:p>
            <w:pPr>
              <w:ind w:left="11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230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</w:t>
            </w:r>
            <w:r>
              <w:rPr>
                <w:sz w:val="22"/>
                <w:szCs w:val="22"/>
              </w:rPr>
              <w:t xml:space="preserve">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</w:t>
            </w:r>
            <w:r>
              <w:rPr>
                <w:sz w:val="22"/>
                <w:szCs w:val="22"/>
              </w:rPr>
              <w:t xml:space="preserve">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2026-2030 годы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ОЭР, 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230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методической помощи, информирование субъектов малого и среднего предпринимательства о формах и видах государственной поддержки, о порядках и условиях осуществления предпринимательской деятельности)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Низкая предпринимательская активность, низкий уро</w:t>
            </w:r>
            <w:r>
              <w:rPr>
                <w:sz w:val="22"/>
                <w:szCs w:val="22"/>
              </w:rPr>
              <w:t xml:space="preserve">вень компетенций объектов малого и среднего предпринимательства, а также лиц, планирующих начать </w:t>
            </w:r>
            <w:r>
              <w:rPr>
                <w:sz w:val="22"/>
                <w:szCs w:val="22"/>
              </w:rPr>
              <w:t xml:space="preserve">собственное</w:t>
            </w:r>
            <w:r>
              <w:rPr>
                <w:sz w:val="22"/>
                <w:szCs w:val="22"/>
              </w:rPr>
              <w:t xml:space="preserve"> д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Информирование в сети Интернет, письменные и устные консультации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объектов МСП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2026-2030 годы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64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ind w:left="36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ind w:right="132" w:firstLine="53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услуг связи, в том числе широкополосного доступа к информационно-телекоммуникационной сети Интернет</w:t>
            </w:r>
            <w:r>
              <w:rPr>
                <w:b/>
                <w:sz w:val="22"/>
                <w:szCs w:val="22"/>
              </w:rPr>
            </w:r>
          </w:p>
          <w:p>
            <w:pPr>
              <w:ind w:right="132" w:firstLine="53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92"/>
              <w:numPr>
                <w:ilvl w:val="0"/>
                <w:numId w:val="7"/>
              </w:numPr>
              <w:ind w:right="132" w:hanging="198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Исходная информация в отношении ситуации и проблематики на рынке</w:t>
            </w:r>
            <w:r>
              <w:rPr>
                <w:b/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в настоящее время рынок является развитым с умеренным уровнем конкуренции, на рынке фактически предоставляют услуги все крупнейшие федеральные операторы связи (МТС, Мегафон, Ростелеком, Т-</w:t>
            </w:r>
            <w:r>
              <w:rPr>
                <w:sz w:val="22"/>
                <w:szCs w:val="22"/>
              </w:rPr>
              <w:t xml:space="preserve">Мобайл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СберМобайл</w:t>
            </w:r>
            <w:r>
              <w:rPr>
                <w:sz w:val="22"/>
                <w:szCs w:val="22"/>
              </w:rPr>
              <w:t xml:space="preserve">, Теле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). На территории окру</w:t>
            </w:r>
            <w:r>
              <w:rPr>
                <w:sz w:val="22"/>
                <w:szCs w:val="22"/>
              </w:rPr>
              <w:t xml:space="preserve">га в настоящее время нет операторов связи, находящихся в муниципальной собственности. </w:t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Основными административными и экономическими барьерами для входа на рынок являются:</w:t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деятельность является лицензируемой в соответствии с действующим законодательством </w:t>
            </w:r>
            <w:r>
              <w:rPr>
                <w:sz w:val="22"/>
                <w:szCs w:val="22"/>
              </w:rPr>
              <w:t xml:space="preserve">(сложность/затянутость процедуры получения лицензий);</w:t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нестабильность российского законодательства, регулирующего предпринимательскую деятельность;</w:t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высокий уровень капитальных затрат для начала предоставления услуг;</w:t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высокие налоги;</w:t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высокий уровень к</w:t>
            </w:r>
            <w:r>
              <w:rPr>
                <w:sz w:val="22"/>
                <w:szCs w:val="22"/>
              </w:rPr>
              <w:t xml:space="preserve">апитальных затрат для начала предоставления услуг и высокий уровень насыщенности рынка.</w:t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Потребители в целом оценивают конкурентную среду удовлетворительно.</w:t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Предположительно рынок будет развиваться в основном с точки зрения повышения качества предоставляемы</w:t>
            </w:r>
            <w:r>
              <w:rPr>
                <w:sz w:val="22"/>
                <w:szCs w:val="22"/>
              </w:rPr>
              <w:t xml:space="preserve">х услуг, возможно также незначительное расширение территории оказания услуг в основном за счет развития сетей радиотелефонной связи последнего поколения и строительства распределительных кабельных сетей стационарных операторов в </w:t>
            </w:r>
            <w:r>
              <w:rPr>
                <w:color w:val="auto"/>
                <w:sz w:val="22"/>
                <w:szCs w:val="22"/>
              </w:rPr>
              <w:t xml:space="preserve">отдельных удаленных населён</w:t>
            </w:r>
            <w:r>
              <w:rPr>
                <w:color w:val="auto"/>
                <w:sz w:val="22"/>
                <w:szCs w:val="22"/>
              </w:rPr>
              <w:t xml:space="preserve">ных пунктах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Министерством цифрового развития, связи и массовых коммуникаций Российской Федерации оказывает содействие в рамках федеральных программ по устранению цифрового неравенства по подключению к сети Интернет малонаселенных и удаленных населенных пу</w:t>
            </w:r>
            <w:r>
              <w:rPr>
                <w:sz w:val="22"/>
                <w:szCs w:val="22"/>
              </w:rPr>
              <w:t xml:space="preserve">нктов.</w:t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Органы местного самоуправления и Министерство цифрового развития Мурманской области оказывают содействие операторам связи в процессе их деятельности по реализации собственных инвестиционных программ, направленных на развитие (модернизацию) инфрастру</w:t>
            </w:r>
            <w:r>
              <w:rPr>
                <w:sz w:val="22"/>
                <w:szCs w:val="22"/>
              </w:rPr>
              <w:t xml:space="preserve">ктуры связи, в пределах своих полномочий, преимущественно это связано с решением вопросов о предоставлении земельных участков для строительства сооружений связи, а также содействие в организации работы с управляющими компаниями (при создании домовых распре</w:t>
            </w:r>
            <w:r>
              <w:rPr>
                <w:sz w:val="22"/>
                <w:szCs w:val="22"/>
              </w:rPr>
              <w:t xml:space="preserve">делительных сетей</w:t>
            </w:r>
            <w:r>
              <w:rPr>
                <w:sz w:val="22"/>
                <w:szCs w:val="22"/>
              </w:rPr>
              <w:t xml:space="preserve"> в многоквартирных домах).</w:t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Конкуренция в сфере услуг связи и предоставления телекоммуникационных услуг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умеренная, рынок естественным образом поделен между действующими операторами связи.</w:t>
            </w:r>
            <w:r>
              <w:rPr>
                <w:sz w:val="22"/>
                <w:szCs w:val="22"/>
              </w:rPr>
            </w:r>
          </w:p>
          <w:p>
            <w:pPr>
              <w:ind w:left="534" w:right="132"/>
              <w:jc w:val="both"/>
            </w:pPr>
            <w:r>
              <w:rPr>
                <w:b/>
                <w:sz w:val="22"/>
                <w:szCs w:val="22"/>
              </w:rPr>
              <w:t xml:space="preserve">        II. Доля х</w:t>
            </w:r>
            <w:r>
              <w:rPr>
                <w:b/>
                <w:sz w:val="22"/>
                <w:szCs w:val="22"/>
              </w:rPr>
              <w:t xml:space="preserve">озяйствующих субъектов частной формы собственности на рынке.</w:t>
            </w:r>
            <w:r/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негосударственных организаций, представленных на рынке услуг связи, в том числе </w:t>
            </w:r>
            <w:r>
              <w:rPr>
                <w:sz w:val="22"/>
                <w:szCs w:val="22"/>
              </w:rPr>
              <w:t xml:space="preserve">широкополостного</w:t>
            </w:r>
            <w:r>
              <w:rPr>
                <w:sz w:val="22"/>
                <w:szCs w:val="22"/>
              </w:rPr>
              <w:t xml:space="preserve"> доступа к информационн</w:t>
            </w:r>
            <w:r>
              <w:rPr>
                <w:sz w:val="22"/>
                <w:szCs w:val="22"/>
              </w:rPr>
              <w:t xml:space="preserve">о-</w:t>
            </w:r>
            <w:r>
              <w:rPr>
                <w:sz w:val="22"/>
                <w:szCs w:val="22"/>
              </w:rPr>
              <w:t xml:space="preserve"> телекоммуникационной сети Интернет, на 01.01.2026 составляет 100%. 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</w:pPr>
            <w:r>
              <w:rPr>
                <w:b/>
                <w:sz w:val="22"/>
                <w:szCs w:val="22"/>
              </w:rPr>
              <w:t xml:space="preserve">      III. Оценка состояния конкурентной среды </w:t>
            </w:r>
            <w:r>
              <w:rPr>
                <w:b/>
                <w:sz w:val="22"/>
                <w:szCs w:val="22"/>
              </w:rPr>
              <w:t xml:space="preserve">бизнес-объединениями</w:t>
            </w:r>
            <w:r>
              <w:rPr>
                <w:b/>
                <w:sz w:val="22"/>
                <w:szCs w:val="22"/>
              </w:rPr>
              <w:t xml:space="preserve"> и потребителями.</w:t>
            </w:r>
            <w:r/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Согласно мониторинга</w:t>
            </w:r>
            <w:r>
              <w:rPr>
                <w:sz w:val="22"/>
                <w:szCs w:val="22"/>
              </w:rPr>
              <w:t xml:space="preserve"> состояния и развития конкурентной среды на рынках товаров, работ, услуг Мурманской области за 2025 год, конкурентная среда оценивается хозяйствующими </w:t>
            </w:r>
            <w:r>
              <w:rPr>
                <w:sz w:val="22"/>
                <w:szCs w:val="22"/>
              </w:rPr>
              <w:t xml:space="preserve">субъектами как высокая – 40 %, как и умеренная – 40%, а 20 % хозяйствующих субъектов считают, что нет конкуренции. 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 числа конкурентов показала, что 80% опрошенных отмечают слабое количество конкурентов, а 20 % считают, что число конкурентов высокое.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мнению опрошенных, в текущей деятельности нет ограничений (40%).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Мерами, предпринимаемыми хозяйствующими субъектами на указанном рынке в части повышения конкурентоспособности, являются: новые способы продвижения продукции (маркетинговые стратегии) (40%</w:t>
            </w:r>
            <w:r>
              <w:rPr>
                <w:sz w:val="22"/>
                <w:szCs w:val="22"/>
              </w:rPr>
              <w:t xml:space="preserve">), обучение и переподготовка персонала (20%), приобретение технического оборудования (60%), развитие и расширение системы представительств (торговой сети, сети филиалов) (0%), расширение ассортимента, ноу-хау (0%), не принималось никаких действий (20%).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Ур</w:t>
            </w:r>
            <w:r>
              <w:rPr>
                <w:sz w:val="22"/>
                <w:szCs w:val="22"/>
              </w:rPr>
              <w:t xml:space="preserve">овень удовлетворенности потребителей качеством оказания услуг связи, в том числе </w:t>
            </w:r>
            <w:r>
              <w:rPr>
                <w:sz w:val="22"/>
                <w:szCs w:val="22"/>
              </w:rPr>
              <w:t xml:space="preserve">широкополостным</w:t>
            </w:r>
            <w:r>
              <w:rPr>
                <w:sz w:val="22"/>
                <w:szCs w:val="22"/>
              </w:rPr>
              <w:t xml:space="preserve"> доступом к сети Интернет, составил 42,8% и состоянием ценовой доступности 40,5%.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Удовлетворены и скорее удовлетворены действиями органов власти 40% предпринима</w:t>
            </w:r>
            <w:r>
              <w:rPr>
                <w:sz w:val="22"/>
                <w:szCs w:val="22"/>
              </w:rPr>
              <w:t xml:space="preserve">телей.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b/>
                <w:sz w:val="22"/>
                <w:szCs w:val="22"/>
                <w:lang w:val="en-US"/>
              </w:rPr>
              <w:t xml:space="preserve">IV</w:t>
            </w:r>
            <w:r>
              <w:rPr>
                <w:b/>
                <w:sz w:val="22"/>
                <w:szCs w:val="22"/>
              </w:rPr>
              <w:t xml:space="preserve">. Характерные особенности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услуг связи по предоставлению </w:t>
            </w:r>
            <w:r>
              <w:rPr>
                <w:sz w:val="22"/>
                <w:szCs w:val="22"/>
              </w:rPr>
              <w:t xml:space="preserve">широкополостного</w:t>
            </w:r>
            <w:r>
              <w:rPr>
                <w:sz w:val="22"/>
                <w:szCs w:val="22"/>
              </w:rPr>
              <w:t xml:space="preserve"> доступа к сет</w:t>
            </w:r>
            <w:r>
              <w:rPr>
                <w:sz w:val="22"/>
                <w:szCs w:val="22"/>
              </w:rPr>
              <w:t xml:space="preserve">и Интернет характеризуется достаточно высокими первоначальными вложениями и длительной окупаемостью инвестиций при отсутствии соответствующей инфраструктуры. При действующих высоких ставках по кредитам хозяйствующие субъекты не готовы оказывать свои услуги</w:t>
            </w:r>
            <w:r>
              <w:rPr>
                <w:sz w:val="22"/>
                <w:szCs w:val="22"/>
              </w:rPr>
              <w:t xml:space="preserve"> в отдаленных населенных пунктах и развивать инфраструктуру связи за счет заемных и собственных средств. 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Государственная и муниципальная собственность интересует операторов связи в связи с необходимостью размещения антенно-мачтовых сооружений и базовых ст</w:t>
            </w:r>
            <w:r>
              <w:rPr>
                <w:sz w:val="22"/>
                <w:szCs w:val="22"/>
              </w:rPr>
              <w:t xml:space="preserve">анций. Для этих целей подбираются земельные участки и иные объекты недвижимости, барьеров и сложностей со стороны органов власти не </w:t>
            </w:r>
            <w:r>
              <w:rPr>
                <w:sz w:val="22"/>
                <w:szCs w:val="22"/>
              </w:rPr>
              <w:t xml:space="preserve">имеется.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b/>
                <w:sz w:val="22"/>
                <w:szCs w:val="22"/>
                <w:lang w:val="en-US"/>
              </w:rPr>
              <w:t xml:space="preserve">V</w:t>
            </w:r>
            <w:r>
              <w:rPr>
                <w:b/>
                <w:sz w:val="22"/>
                <w:szCs w:val="22"/>
              </w:rPr>
              <w:t xml:space="preserve">.  Меры</w:t>
            </w:r>
            <w:r>
              <w:rPr>
                <w:b/>
                <w:sz w:val="22"/>
                <w:szCs w:val="22"/>
              </w:rPr>
              <w:t xml:space="preserve"> по развитию рынка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поддержки в сфере связи юридическим лицам (за исключением государственных</w:t>
            </w:r>
            <w:r>
              <w:rPr>
                <w:sz w:val="22"/>
                <w:szCs w:val="22"/>
              </w:rPr>
              <w:t xml:space="preserve"> (муниципальных) учреждений), индивидуальным предпринимателям, оказывающим услуги в сфере связи, относящимся в соответствии с Федеральным законом от 07.07.2003 № 126-ФЗ «О связи» к операторам связи, оказывающим услуги  связи на основании соответствующей ли</w:t>
            </w:r>
            <w:r>
              <w:rPr>
                <w:sz w:val="22"/>
                <w:szCs w:val="22"/>
              </w:rPr>
              <w:t xml:space="preserve">цензии осуществляющим создание (модернизацию) сетей связи</w:t>
            </w:r>
            <w:r>
              <w:rPr>
                <w:b/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индивидуально с учетом социальной потребности населения.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</w:p>
          <w:p>
            <w:pPr>
              <w:ind w:firstLine="53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  <w:lang w:val="en-US"/>
              </w:rPr>
              <w:t xml:space="preserve">VI</w:t>
            </w:r>
            <w:r>
              <w:rPr>
                <w:b/>
                <w:sz w:val="22"/>
                <w:szCs w:val="22"/>
              </w:rPr>
              <w:t xml:space="preserve">. Перспективы развития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Основными перспективными направлениями развития рынка являются: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стимулирование развития услуг связи и д</w:t>
            </w:r>
            <w:r>
              <w:rPr>
                <w:sz w:val="22"/>
                <w:szCs w:val="22"/>
              </w:rPr>
              <w:t xml:space="preserve">оступа в сеть Интернет в отдаленных населенных пунктах;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сокращение числа пользователей услуг связи и сети Интернет, не имеющих возможности выбора поставщика.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gridAfter w:val="2"/>
          <w:trHeight w:val="208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</w:t>
            </w:r>
            <w:r>
              <w:rPr>
                <w:sz w:val="22"/>
                <w:szCs w:val="22"/>
              </w:rPr>
              <w:t xml:space="preserve">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2026 - 2030 годы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ОЭР, Сектор инвестиционной деятельности 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208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информационной поддержки хозяйствующим субъе</w:t>
            </w:r>
            <w:r>
              <w:rPr>
                <w:sz w:val="22"/>
                <w:szCs w:val="22"/>
              </w:rPr>
              <w:t xml:space="preserve">ктам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Недостаточная информированность заинтересованных лиц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по итогам года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информированности заинтересованных лиц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208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2.3.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имущественной поддержки хозяйствующим субъектам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Недостаточная информированность заинтересованных лиц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на сайте Печенгского муниципального округа актуальной информации об объектах недвижимого имущества, находящихся в муниципальной собственности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муниципального имущества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мере не</w:t>
            </w:r>
            <w:r>
              <w:rPr>
                <w:sz w:val="22"/>
                <w:szCs w:val="22"/>
              </w:rPr>
              <w:t xml:space="preserve">обходимости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Комитет по управлению имуществом администрации Печенгского муниципального округа (далее </w:t>
            </w:r>
            <w:r>
              <w:rPr>
                <w:sz w:val="22"/>
                <w:szCs w:val="22"/>
              </w:rPr>
              <w:t xml:space="preserve">–К</w:t>
            </w:r>
            <w:r>
              <w:rPr>
                <w:sz w:val="22"/>
                <w:szCs w:val="22"/>
              </w:rPr>
              <w:t xml:space="preserve">УИ)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69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3.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1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медицинских услуг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I. Исходная информация в отношении ситуации и проблематики на рынке.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в 2025 году произведена реорганизация </w:t>
            </w:r>
            <w:r>
              <w:rPr>
                <w:sz w:val="22"/>
                <w:szCs w:val="22"/>
              </w:rPr>
              <w:t xml:space="preserve">Печенгской</w:t>
            </w:r>
            <w:r>
              <w:rPr>
                <w:sz w:val="22"/>
                <w:szCs w:val="22"/>
              </w:rPr>
              <w:t xml:space="preserve"> центральной районной больницы путем присоединения к ГОБУЗ «Мурманская областная клиническая больница им. </w:t>
            </w:r>
            <w:r>
              <w:rPr>
                <w:sz w:val="22"/>
                <w:szCs w:val="22"/>
              </w:rPr>
              <w:t xml:space="preserve">П.А.Баяндина</w:t>
            </w:r>
            <w:r>
              <w:rPr>
                <w:sz w:val="22"/>
                <w:szCs w:val="22"/>
              </w:rPr>
              <w:t xml:space="preserve">». В </w:t>
            </w: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 Печенга функционирует филиал №7 Федерального государственн</w:t>
            </w:r>
            <w:r>
              <w:rPr>
                <w:sz w:val="22"/>
                <w:szCs w:val="22"/>
              </w:rPr>
              <w:t xml:space="preserve">ого казенного учреждения «1469 Военно-морской клинический госпиталь» Министерства обороны Российской Федерации. Также оказывают медицинские услуги 4 частных организаций и 10 индивидуальных предпринимателей, из них, оказывают стоматологические услуги 10 инд</w:t>
            </w:r>
            <w:r>
              <w:rPr>
                <w:sz w:val="22"/>
                <w:szCs w:val="22"/>
              </w:rPr>
              <w:t xml:space="preserve">ивидуальных предпринимателей и 1 общество с ограниченной ответственностью.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В настоящее время в отдаленных населенных пунктах Печенгского муниципального округа медицинская помощь оказывается в приспособленных помещениях, в </w:t>
            </w:r>
            <w:r>
              <w:rPr>
                <w:sz w:val="22"/>
                <w:szCs w:val="22"/>
              </w:rPr>
              <w:t xml:space="preserve">ФАПах</w:t>
            </w:r>
            <w:r>
              <w:rPr>
                <w:sz w:val="22"/>
                <w:szCs w:val="22"/>
              </w:rPr>
              <w:t xml:space="preserve"> и амбулатории, открыт</w:t>
            </w:r>
            <w:r>
              <w:rPr>
                <w:sz w:val="22"/>
                <w:szCs w:val="22"/>
              </w:rPr>
              <w:t xml:space="preserve">ых в рамках программы «Модернизации первичного звена здравоохранения», являющегося частью нацпроекта «Здравоохранение», а также стратегического регионального плана «На Севере – жить».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II. Доля хозяйствующих субъектов частной формы собственн</w:t>
            </w:r>
            <w:r>
              <w:rPr>
                <w:b/>
                <w:sz w:val="22"/>
                <w:szCs w:val="22"/>
              </w:rPr>
              <w:t xml:space="preserve">ости на рынке.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По состоянию на 01.01.2026 годы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функционирует 1 государственное и 1 федеральное медицинские учреждения,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 четырнадцать частных организаций и индивидуальных предпринимателей, оказывающих медицинск</w:t>
            </w:r>
            <w:r>
              <w:rPr>
                <w:sz w:val="22"/>
                <w:szCs w:val="22"/>
              </w:rPr>
              <w:t xml:space="preserve">ие услуги.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III. Оценка состояния конкурентной среды </w:t>
            </w:r>
            <w:r>
              <w:rPr>
                <w:b/>
                <w:sz w:val="22"/>
                <w:szCs w:val="22"/>
              </w:rPr>
              <w:t xml:space="preserve">бизнес-объединениями</w:t>
            </w:r>
            <w:r>
              <w:rPr>
                <w:b/>
                <w:sz w:val="22"/>
                <w:szCs w:val="22"/>
              </w:rPr>
              <w:t xml:space="preserve"> и потребителями.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t xml:space="preserve">           </w:t>
            </w:r>
            <w:r>
              <w:rPr>
                <w:sz w:val="22"/>
                <w:szCs w:val="22"/>
              </w:rPr>
              <w:t xml:space="preserve">80% хозяйствующих объектов оценивают рынок с высокой конкуренцией.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Самыми значимыми барьерами, препятствующими ведению полноценной</w:t>
            </w:r>
            <w:r>
              <w:rPr>
                <w:sz w:val="22"/>
                <w:szCs w:val="22"/>
              </w:rPr>
              <w:t xml:space="preserve"> предпринимательской деятельности на данном рынке услуг, являются высокие налоги- 60%, нестабильность российского законодательства – 20%, сложность (затянутость) процедуры получения лицензии – 40%.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Мерами, принимаемыми хозяйствующими субъектами н</w:t>
            </w:r>
            <w:r>
              <w:rPr>
                <w:sz w:val="22"/>
                <w:szCs w:val="22"/>
              </w:rPr>
              <w:t xml:space="preserve">а рынке в части повышения конкурентоспособности, являются: обучение и переподготовка персонала – 100%, новые способы продвижения продукции (маркетинговые стратегии) -100%, приобретение технического оборудования – 80%.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Уровень удовлетворенности по</w:t>
            </w:r>
            <w:r>
              <w:rPr>
                <w:sz w:val="22"/>
                <w:szCs w:val="22"/>
              </w:rPr>
              <w:t xml:space="preserve">требителей качеством оказания услуг частными организациями – 34,4 %, удовлетворенность уровнем цен на рынке составляет – 32,6%. Удовлетворенность предпринимателей действиями органов власти, составляет 100%.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</w:t>
            </w:r>
            <w:r>
              <w:rPr>
                <w:b/>
                <w:sz w:val="22"/>
                <w:szCs w:val="22"/>
                <w:lang w:val="en-US"/>
              </w:rPr>
              <w:t xml:space="preserve">IV</w:t>
            </w:r>
            <w:r>
              <w:rPr>
                <w:b/>
                <w:sz w:val="22"/>
                <w:szCs w:val="22"/>
              </w:rPr>
              <w:t xml:space="preserve">. Характерные особенности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Для осуществления медицинской деятельности существует необходимость обеспечения широкого спектра лицензионных требований на осуществление медицинской деятельности, необходимость соблюдения установленных на федеральном уровне требований к помещени</w:t>
            </w:r>
            <w:r>
              <w:rPr>
                <w:sz w:val="22"/>
                <w:szCs w:val="22"/>
              </w:rPr>
              <w:t xml:space="preserve">ям, в которых возможно оказание медицинских услуг, недостаток сотрудников определенного уровня квалификации, высокая стоимость современного высокотехнологичного медицинского оборудования, необходимость больших объемов инвестиций. Поэтому медицинские органи</w:t>
            </w:r>
            <w:r>
              <w:rPr>
                <w:sz w:val="22"/>
                <w:szCs w:val="22"/>
              </w:rPr>
              <w:t xml:space="preserve">зации частной системы </w:t>
            </w:r>
            <w:r>
              <w:rPr>
                <w:sz w:val="22"/>
                <w:szCs w:val="22"/>
              </w:rPr>
              <w:t xml:space="preserve">здравоохранения участвуют преимущественно в оказании видов медицинской помощи с низким уровнем финансовых затрат. 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</w:t>
            </w:r>
            <w:r>
              <w:rPr>
                <w:b/>
                <w:sz w:val="22"/>
                <w:szCs w:val="22"/>
                <w:lang w:val="en-US"/>
              </w:rPr>
              <w:t xml:space="preserve">V</w:t>
            </w:r>
            <w:r>
              <w:rPr>
                <w:b/>
                <w:sz w:val="22"/>
                <w:szCs w:val="22"/>
              </w:rPr>
              <w:t xml:space="preserve">. Меры по развитию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>
              <w:rPr>
                <w:sz w:val="22"/>
                <w:szCs w:val="22"/>
              </w:rPr>
              <w:t xml:space="preserve">Меры поддержки частных медицинских организаций: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включение негосуда</w:t>
            </w:r>
            <w:r>
              <w:rPr>
                <w:sz w:val="22"/>
                <w:szCs w:val="22"/>
              </w:rPr>
              <w:t xml:space="preserve">рственных медицинских организаций в реестр медицинских организаций, осуществляющих деятельность в сфере ОМС;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повышение доступности оказания медицинской помощи путем корректировки объемов оказания медицинской помощи.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>
              <w:rPr>
                <w:b/>
                <w:sz w:val="22"/>
                <w:szCs w:val="22"/>
                <w:lang w:val="en-US"/>
              </w:rPr>
              <w:t xml:space="preserve">VI</w:t>
            </w:r>
            <w:r>
              <w:rPr>
                <w:b/>
                <w:sz w:val="22"/>
                <w:szCs w:val="22"/>
              </w:rPr>
              <w:t xml:space="preserve">. Перспективы развития </w:t>
            </w:r>
            <w:r>
              <w:rPr>
                <w:b/>
                <w:sz w:val="22"/>
                <w:szCs w:val="22"/>
              </w:rPr>
              <w:t xml:space="preserve">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 xml:space="preserve">Основными перспективными направлениями развития рынка являются: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совершенствование и укрепление материально-технической базы системы здравоохранения;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постоянная работа по взаимодействию с представителями частного бизнеса;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- привлечение н</w:t>
            </w:r>
            <w:r>
              <w:rPr>
                <w:sz w:val="22"/>
                <w:szCs w:val="22"/>
              </w:rPr>
              <w:t xml:space="preserve">екоммерческих организаций к оказанию услуг в сфере здравоохранения.</w:t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</w:tr>
      <w:tr>
        <w:tblPrEx/>
        <w:trPr>
          <w:gridAfter w:val="2"/>
          <w:trHeight w:val="69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3438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  <w:highlight w:val="yellow"/>
              </w:rPr>
            </w:r>
          </w:p>
          <w:p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  <w:p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  <w:p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  <w:p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  <w:p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1935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</w:t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70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Аналитический отчет о результатах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мониторинга</w:t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342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</w:t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006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Ежегодно </w:t>
            </w:r>
            <w:r>
              <w:rPr>
                <w:sz w:val="22"/>
                <w:szCs w:val="22"/>
              </w:rPr>
              <w:br/>
              <w:t xml:space="preserve">2026 - 2030 годы</w:t>
            </w:r>
            <w:r>
              <w:rPr>
                <w:sz w:val="22"/>
                <w:szCs w:val="22"/>
                <w:highlight w:val="yellow"/>
              </w:rPr>
            </w:r>
          </w:p>
          <w:p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494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  <w:highlight w:val="yellow"/>
              </w:rPr>
            </w:r>
          </w:p>
        </w:tc>
      </w:tr>
      <w:tr>
        <w:tblPrEx/>
        <w:trPr>
          <w:trHeight w:val="69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343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информационной поддержки хозяйствующим субъектам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193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Недостаточная информированность заинтересованных лиц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7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по итогам года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34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информированности заинтересованных лиц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0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49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  <w:tc>
          <w:tcPr>
            <w:tcW w:w="267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7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69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3.3.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343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имущественной поддержки хозяйствующим субъектам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193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Недостаточная информированность заинтересованных лиц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7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на сайте Печенгского муниципального округа актуальной информации об объектах недвижимого имущества, находящихся в муниципальной собстве</w:t>
            </w:r>
            <w:r>
              <w:rPr>
                <w:sz w:val="22"/>
                <w:szCs w:val="22"/>
              </w:rPr>
              <w:t xml:space="preserve">нности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34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муниципального имущества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0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49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69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4. 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1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услуг розничной торговли лекарственными препаратами, медицинскими изделиями и сопутствующими товарами.</w:t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I. Исходная информация в отношении ситуации и проблематики на рынке</w:t>
            </w:r>
            <w:r>
              <w:rPr>
                <w:b/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розничная торговля лекарственными препаратами, медицинскими изделиями и сопутствующими товарами осуществляется негосударствен</w:t>
            </w:r>
            <w:r>
              <w:rPr>
                <w:sz w:val="22"/>
                <w:szCs w:val="22"/>
              </w:rPr>
              <w:t xml:space="preserve">ными аптечными организациями. 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настоящее время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рынок розничной торговли лекарственными средствами сформирован в г. Заполярный,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 Никель. В мае 2025 в </w:t>
            </w: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 Печенга открылся новый аптечный пункт, он работает на базе ам</w:t>
            </w:r>
            <w:r>
              <w:rPr>
                <w:sz w:val="22"/>
                <w:szCs w:val="22"/>
              </w:rPr>
              <w:t xml:space="preserve">булатории.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г. </w:t>
            </w:r>
            <w:r>
              <w:rPr>
                <w:sz w:val="22"/>
                <w:szCs w:val="22"/>
              </w:rPr>
              <w:t xml:space="preserve">Заполярный</w:t>
            </w:r>
            <w:r>
              <w:rPr>
                <w:sz w:val="22"/>
                <w:szCs w:val="22"/>
              </w:rPr>
              <w:t xml:space="preserve"> осуществляют деятельность 9 негосударственных аптечных пунктов отпуска фармацевтической продукции (из них 1 открылась в 2026 году), которые имеют лицензию на осуществление розничной торговли фармацевтической продукцией. В </w:t>
            </w: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 Ни</w:t>
            </w:r>
            <w:r>
              <w:rPr>
                <w:sz w:val="22"/>
                <w:szCs w:val="22"/>
              </w:rPr>
              <w:t xml:space="preserve">кель – 7 (из них: 2 аптеки открылись в 2025 году) и в </w:t>
            </w:r>
            <w:r>
              <w:rPr>
                <w:sz w:val="22"/>
                <w:szCs w:val="22"/>
              </w:rPr>
              <w:t xml:space="preserve">н.п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Луостари</w:t>
            </w:r>
            <w:r>
              <w:rPr>
                <w:sz w:val="22"/>
                <w:szCs w:val="22"/>
              </w:rPr>
              <w:t xml:space="preserve">, также в 2025 году открылась аптека «Апрель». Приведенные данные свидетельствуют о высоком уровне развития конкуренции на товарном рынке.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>
              <w:rPr>
                <w:b/>
                <w:sz w:val="22"/>
                <w:szCs w:val="22"/>
              </w:rPr>
              <w:t xml:space="preserve">II. Доля хозяйствующих субъектов частной </w:t>
            </w:r>
            <w:r>
              <w:rPr>
                <w:b/>
                <w:sz w:val="22"/>
                <w:szCs w:val="22"/>
              </w:rPr>
              <w:t xml:space="preserve">формы собственности на рынке.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хозяйствующих субъектов частной формы собственности, осуществляющих свою деятельность на территории Печенгского муниципального округа в сфере розничной торговли лекарственными препаратами, медицинскими изделиями, составля</w:t>
            </w:r>
            <w:r>
              <w:rPr>
                <w:sz w:val="22"/>
                <w:szCs w:val="22"/>
              </w:rPr>
              <w:t xml:space="preserve">ет 100%. 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>
              <w:rPr>
                <w:b/>
                <w:sz w:val="22"/>
                <w:szCs w:val="22"/>
              </w:rPr>
              <w:t xml:space="preserve">III. Оценка состояния конкурентной среды </w:t>
            </w:r>
            <w:r>
              <w:rPr>
                <w:b/>
                <w:sz w:val="22"/>
                <w:szCs w:val="22"/>
              </w:rPr>
              <w:t xml:space="preserve">бизнес-объединениями</w:t>
            </w:r>
            <w:r>
              <w:rPr>
                <w:b/>
                <w:sz w:val="22"/>
                <w:szCs w:val="22"/>
              </w:rPr>
              <w:t xml:space="preserve"> и потребителями.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Состояние конкурентной среды оценивается хозяйствующими субъектами как очень высокое – 80%. Наиболее значимыми барьерами, препятствующими ведению полноценной </w:t>
            </w:r>
            <w:r>
              <w:rPr>
                <w:sz w:val="22"/>
                <w:szCs w:val="22"/>
              </w:rPr>
              <w:t xml:space="preserve">предпринимательской деятельности на данном рынке услуг, являются нестабильность российского законодательства (20%), высокие налоги (60%), сложность (затянутость) процедуры получения лицензий (20%).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Мерами, принимаемыми хозяйствующими субъектами на данном р</w:t>
            </w:r>
            <w:r>
              <w:rPr>
                <w:sz w:val="22"/>
                <w:szCs w:val="22"/>
              </w:rPr>
              <w:t xml:space="preserve">ынке в части повышения конкурентоспособности, являются:  новые способы продвижения продукции (маркетинговые стратегии) -100%, обучение и переподготовка персонала – 100%.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Уровень удовлетворенности потребителей качеством оказания услуг частными организациями</w:t>
            </w:r>
            <w:r>
              <w:rPr>
                <w:sz w:val="22"/>
                <w:szCs w:val="22"/>
              </w:rPr>
              <w:t xml:space="preserve"> снизился и составляет – 53,1%, удовлетворенность ценами – 43,4%.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Удовлетворенность предпринимателей действиями органов власти составляет 60%.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>
              <w:rPr>
                <w:b/>
                <w:sz w:val="22"/>
                <w:szCs w:val="22"/>
              </w:rPr>
              <w:t xml:space="preserve">IV. Характерные особенности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целом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созданы благоприятные усло</w:t>
            </w:r>
            <w:r>
              <w:rPr>
                <w:sz w:val="22"/>
                <w:szCs w:val="22"/>
              </w:rPr>
              <w:t xml:space="preserve">вия для содействия развитию конкуренции на рынке розничной торговли лекарственными препаратами, медицинскими изделиями и сопутствующими товарами.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Минимальный ключевой показатель, предусмотренный Национальным планом развития конкуренции (не менее 70%), в </w:t>
            </w:r>
            <w:r>
              <w:rPr>
                <w:sz w:val="22"/>
                <w:szCs w:val="22"/>
              </w:rPr>
              <w:t xml:space="preserve">Пе</w:t>
            </w:r>
            <w:r>
              <w:rPr>
                <w:sz w:val="22"/>
                <w:szCs w:val="22"/>
              </w:rPr>
              <w:t xml:space="preserve">ченгском</w:t>
            </w:r>
            <w:r>
              <w:rPr>
                <w:sz w:val="22"/>
                <w:szCs w:val="22"/>
              </w:rPr>
              <w:t xml:space="preserve"> муниципальном округе достигнут.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 же время существует необходимость обеспечения доступности фармацевтической продукции в малонаселенных и отдаленных населенных пунктах Печенгского муниципального округа. Основными причинами отсутствия сети аптеч</w:t>
            </w:r>
            <w:r>
              <w:rPr>
                <w:sz w:val="22"/>
                <w:szCs w:val="22"/>
              </w:rPr>
              <w:t xml:space="preserve">ных организаций в малонаселенных пунктах в отдаленных местностях Печенгского муниципального округа являются: низкая плотность населения, удаленность от основных трасс. 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>
              <w:rPr>
                <w:b/>
                <w:sz w:val="22"/>
                <w:szCs w:val="22"/>
              </w:rPr>
              <w:t xml:space="preserve">V. Меры  по развитию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доступности аптечных пунктов в малонасе</w:t>
            </w:r>
            <w:r>
              <w:rPr>
                <w:sz w:val="22"/>
                <w:szCs w:val="22"/>
              </w:rPr>
              <w:t xml:space="preserve">ленных пунктах и отдаленных местностях Печенгского муниципального округа.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VI. Перспективы развития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доступности лекарственных препаратов для населения и эффективности бюджетных расходов на лекарственное обеспечение через </w:t>
            </w:r>
            <w:r>
              <w:rPr>
                <w:sz w:val="22"/>
                <w:szCs w:val="22"/>
              </w:rPr>
              <w:t xml:space="preserve">снижение </w:t>
            </w:r>
            <w:r>
              <w:rPr>
                <w:sz w:val="22"/>
                <w:szCs w:val="22"/>
              </w:rPr>
              <w:t xml:space="preserve">цен на лекарственные препараты на торгах.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208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ind w:right="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количества аптечных организаций, осуществляющих деятельность на территории Печенгского муниципального округа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аптек в отдаленных населенных пунктах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12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перечня аптечных организаций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184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4.2.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ind w:right="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ind w:right="13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12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2026 - 2030 годы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tabs>
                <w:tab w:val="center" w:pos="477" w:leader="none"/>
                <w:tab w:val="center" w:pos="1401" w:leader="none"/>
                <w:tab w:val="center" w:pos="207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ОЭР, 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138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>
              <w:rPr>
                <w:sz w:val="22"/>
                <w:szCs w:val="22"/>
              </w:rPr>
            </w:r>
          </w:p>
        </w:tc>
        <w:tc>
          <w:tcPr>
            <w:gridSpan w:val="1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оказания услуг по перевозке пассажиров автомобильным транспортом по муниципальным и межмуниципальным маршрутам регулярных перевозок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>
              <w:rPr>
                <w:b/>
                <w:sz w:val="22"/>
                <w:szCs w:val="22"/>
                <w:lang w:val="en-US"/>
              </w:rPr>
              <w:t xml:space="preserve">I</w:t>
            </w:r>
            <w:r>
              <w:rPr>
                <w:b/>
                <w:sz w:val="22"/>
                <w:szCs w:val="22"/>
              </w:rPr>
              <w:t xml:space="preserve">. Исходная информация в отношении ситуации и проблематики на рынке 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На территории Печенгского мун</w:t>
            </w:r>
            <w:r>
              <w:rPr>
                <w:sz w:val="22"/>
                <w:szCs w:val="22"/>
              </w:rPr>
              <w:t xml:space="preserve">иципального округа установлено 10 муниципальных маршрутов.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По 5 муниципальным маршрутам осуществляется перевозка пассажиров по регулируемым тарифам с предоставлением льгот, предусмотренных действующим законодательством.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По межмуниципальным маршрут</w:t>
            </w:r>
            <w:r>
              <w:rPr>
                <w:sz w:val="22"/>
                <w:szCs w:val="22"/>
              </w:rPr>
              <w:t xml:space="preserve">ам на территории Печенгского муниципального округа всего организовано 3 маршрута, два из них осуществляется по регулируемым тарифам.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II. Доля хозяйствующих субъектов частной формы собственности на рынке.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Деятельность по перевозке пассажи</w:t>
            </w:r>
            <w:r>
              <w:rPr>
                <w:sz w:val="22"/>
                <w:szCs w:val="22"/>
              </w:rPr>
              <w:t xml:space="preserve">ров и багажа осуществляют 5 перевозчиков.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По состоянию на 2025 год на территории Печенгского муниципального округа деятельность по перевозке пассажиров и багажа автомобильным транспортом по муниципальным маршрутам регулярных пассажирских перевозках</w:t>
            </w:r>
            <w:r>
              <w:rPr>
                <w:sz w:val="22"/>
                <w:szCs w:val="22"/>
              </w:rPr>
              <w:t xml:space="preserve"> между поселениями в границах Печенгского района осуществляют 3 перевозчика частной формы собственности (общества с ограниченной ответственностью): ООО «Заполярное АТП», ООО «</w:t>
            </w:r>
            <w:r>
              <w:rPr>
                <w:sz w:val="22"/>
                <w:szCs w:val="22"/>
              </w:rPr>
              <w:t xml:space="preserve">Печенгатранссервис</w:t>
            </w:r>
            <w:r>
              <w:rPr>
                <w:sz w:val="22"/>
                <w:szCs w:val="22"/>
              </w:rPr>
              <w:t xml:space="preserve">», </w:t>
            </w:r>
            <w:r>
              <w:rPr>
                <w:sz w:val="22"/>
                <w:szCs w:val="22"/>
              </w:rPr>
              <w:br/>
              <w:t xml:space="preserve">ООО «Премиум».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По межмуниципальным маршрутам на терр</w:t>
            </w:r>
            <w:r>
              <w:rPr>
                <w:sz w:val="22"/>
                <w:szCs w:val="22"/>
              </w:rPr>
              <w:t xml:space="preserve">итории Печенгского муниципального округа деятельность по перевозке пассажиров и багажа автомобильным транспортом осуществляют ООО «Заполярное АТП», ООО «</w:t>
            </w:r>
            <w:r>
              <w:rPr>
                <w:sz w:val="22"/>
                <w:szCs w:val="22"/>
              </w:rPr>
              <w:t xml:space="preserve">Нордбус</w:t>
            </w:r>
            <w:r>
              <w:rPr>
                <w:sz w:val="22"/>
                <w:szCs w:val="22"/>
              </w:rPr>
              <w:t xml:space="preserve">», АО «</w:t>
            </w:r>
            <w:r>
              <w:rPr>
                <w:sz w:val="22"/>
                <w:szCs w:val="22"/>
              </w:rPr>
              <w:t xml:space="preserve">Мурманскавтотранс</w:t>
            </w:r>
            <w:r>
              <w:rPr>
                <w:sz w:val="22"/>
                <w:szCs w:val="22"/>
              </w:rPr>
              <w:t xml:space="preserve">».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Доля негосударственных (немуниципальных) перевозчиков на муни</w:t>
            </w:r>
            <w:r>
              <w:rPr>
                <w:sz w:val="22"/>
                <w:szCs w:val="22"/>
              </w:rPr>
              <w:t xml:space="preserve">ципальных маршрутах регулярных перевозок пассажиров наземным транспортом в общем количестве перевозчиков на межмуниципальных маршрутах регулярных перевозок пассажиров наземным транспортом составляет 100 %. 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III. Оценка состояния конкурентной сред</w:t>
            </w:r>
            <w:r>
              <w:rPr>
                <w:b/>
                <w:sz w:val="22"/>
                <w:szCs w:val="22"/>
              </w:rPr>
              <w:t xml:space="preserve">ы </w:t>
            </w:r>
            <w:r>
              <w:rPr>
                <w:b/>
                <w:sz w:val="22"/>
                <w:szCs w:val="22"/>
              </w:rPr>
              <w:t xml:space="preserve">бизнес-объединениями</w:t>
            </w:r>
            <w:r>
              <w:rPr>
                <w:b/>
                <w:sz w:val="22"/>
                <w:szCs w:val="22"/>
              </w:rPr>
              <w:t xml:space="preserve"> и потребителями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Состояние конкурентной среды оценивается хозяйствующими субъектами как </w:t>
            </w:r>
            <w:r>
              <w:rPr>
                <w:sz w:val="22"/>
                <w:szCs w:val="22"/>
              </w:rPr>
              <w:t xml:space="preserve">умеренная</w:t>
            </w:r>
            <w:r>
              <w:rPr>
                <w:sz w:val="22"/>
                <w:szCs w:val="22"/>
              </w:rPr>
              <w:t xml:space="preserve"> (40%) по муниципальным маршрутам регулярных перевозок. На рынке оказания услуг по перевозке пассажиров автомобильным транспортом</w:t>
            </w:r>
            <w:r>
              <w:rPr>
                <w:sz w:val="22"/>
                <w:szCs w:val="22"/>
              </w:rPr>
              <w:t xml:space="preserve"> по межмуниципальным маршрутам регулярных перевозок 60% считают, что уровень конкуренции высокий. Оценка числа конкурентов по 20% опрошенных наличие на рынке от 2 до 3 конкурентов, от 4 - х и выше и большое число конкурентов.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Отмечены следующие вид</w:t>
            </w:r>
            <w:r>
              <w:rPr>
                <w:sz w:val="22"/>
                <w:szCs w:val="22"/>
              </w:rPr>
              <w:t xml:space="preserve">ы барьеров, препятствующие ведению полноценной предпринимательской деятельности на рынке, это высокие налоги (40%), сложность получения доступа к земельным участкам (20%), нестабильность российского законодательства (20%). </w:t>
            </w:r>
            <w:r>
              <w:rPr>
                <w:sz w:val="22"/>
                <w:szCs w:val="22"/>
              </w:rPr>
              <w:t xml:space="preserve">Нет ограничений на рынке муниципа</w:t>
            </w:r>
            <w:r>
              <w:rPr>
                <w:sz w:val="22"/>
                <w:szCs w:val="22"/>
              </w:rPr>
              <w:t xml:space="preserve">льных перевозок считают</w:t>
            </w:r>
            <w:r>
              <w:rPr>
                <w:sz w:val="22"/>
                <w:szCs w:val="22"/>
              </w:rPr>
              <w:t xml:space="preserve"> 60% и на рынке межмуниципальных перевозок – 40%.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Меры развития конкуренции в данной сфере включают мероприятия, направленные на </w:t>
            </w:r>
            <w:r>
              <w:rPr>
                <w:sz w:val="22"/>
                <w:szCs w:val="22"/>
              </w:rPr>
              <w:t xml:space="preserve">повышение</w:t>
            </w:r>
            <w:r>
              <w:rPr>
                <w:sz w:val="22"/>
                <w:szCs w:val="22"/>
              </w:rPr>
              <w:t xml:space="preserve"> как транспортной доступности населенных пунктов округа, так и качества предоставления </w:t>
            </w:r>
            <w:r>
              <w:rPr>
                <w:sz w:val="22"/>
                <w:szCs w:val="22"/>
              </w:rPr>
              <w:t xml:space="preserve">услуг по перевозке пассажиров. </w:t>
            </w:r>
            <w:r>
              <w:rPr>
                <w:sz w:val="22"/>
                <w:szCs w:val="22"/>
              </w:rPr>
              <w:t xml:space="preserve">Мерами, принимаемыми хозяйствующими субъектами на рынке оказания услуг по перевозке пассажиров автомобильным транспортом по муниципальным маршрутам регулярных перевозок в части повышения </w:t>
            </w:r>
            <w:r>
              <w:rPr>
                <w:sz w:val="22"/>
                <w:szCs w:val="22"/>
              </w:rPr>
              <w:t xml:space="preserve">конкурентноспособности</w:t>
            </w:r>
            <w:r>
              <w:rPr>
                <w:sz w:val="22"/>
                <w:szCs w:val="22"/>
              </w:rPr>
              <w:t xml:space="preserve">, являются: обуч</w:t>
            </w:r>
            <w:r>
              <w:rPr>
                <w:sz w:val="22"/>
                <w:szCs w:val="22"/>
              </w:rPr>
              <w:t xml:space="preserve">ение и переподготовка персонала - 40%, для межмуниципальных – 20%, новые способы продвижения продукции (маркетинговые стратегии) - 40%, приобретение технического оборудования для рынка межмуниципальных услуг – 20 %.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Самой популярной мерой государст</w:t>
            </w:r>
            <w:r>
              <w:rPr>
                <w:sz w:val="22"/>
                <w:szCs w:val="22"/>
              </w:rPr>
              <w:t xml:space="preserve">венной поддержки предпринимателей на рынке оказания услуг по перевозке пассажиров автомобильным транспортом по муниципальным и межмуниципальным маршрутам регулярный </w:t>
            </w:r>
            <w:r>
              <w:rPr>
                <w:sz w:val="22"/>
                <w:szCs w:val="22"/>
              </w:rPr>
              <w:t xml:space="preserve">перевонок</w:t>
            </w:r>
            <w:r>
              <w:rPr>
                <w:sz w:val="22"/>
                <w:szCs w:val="22"/>
              </w:rPr>
              <w:t xml:space="preserve"> является программа обновления транспорта по регулируемым тарифам в рамках реализа</w:t>
            </w:r>
            <w:r>
              <w:rPr>
                <w:sz w:val="22"/>
                <w:szCs w:val="22"/>
              </w:rPr>
              <w:t xml:space="preserve">ции Плана мероприятий по приоритетным направлениям Мурманской области до 2025 года и на период до 2030 года «На Севере – жить».</w:t>
            </w:r>
            <w:r>
              <w:rPr>
                <w:sz w:val="22"/>
                <w:szCs w:val="22"/>
              </w:rPr>
              <w:t xml:space="preserve">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также обновлен общественный транспорт, оформленный в едином узнаваемом стиле.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Уровень </w:t>
            </w:r>
            <w:r>
              <w:rPr>
                <w:sz w:val="22"/>
                <w:szCs w:val="22"/>
              </w:rPr>
              <w:t xml:space="preserve">удовлетворенности потребителей качеством оказания частными организациями услуг по перевозке пассажиров автомобильным транспортом по муниципальным маршрутам регулярных перевозок составляет: качество – 51,4%, цена – 45,5%, доступность -44,8%. По межмуниципал</w:t>
            </w:r>
            <w:r>
              <w:rPr>
                <w:sz w:val="22"/>
                <w:szCs w:val="22"/>
              </w:rPr>
              <w:t xml:space="preserve">ьным маршрутам регулярных перевозок: качество – 49,0%, цена – 41,3%, доступность -43,2%.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Удовлетворенность предпринимателей действиями органов власти составляет: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 оказания услуг по перевозке пассажиров автомобильным транспортом по муниципальным </w:t>
            </w:r>
            <w:r>
              <w:rPr>
                <w:sz w:val="22"/>
                <w:szCs w:val="22"/>
              </w:rPr>
              <w:t xml:space="preserve">маршрутам регулярных перевозок – 80%;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оказания услуг по перевозке пассажиров автомобильным транспортом по межмуниципальным маршрутам регулярных перевозок – 60%.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r>
              <w:rPr>
                <w:b/>
                <w:sz w:val="22"/>
                <w:szCs w:val="22"/>
                <w:lang w:val="en-US"/>
              </w:rPr>
              <w:t xml:space="preserve">IV</w:t>
            </w:r>
            <w:r>
              <w:rPr>
                <w:b/>
                <w:sz w:val="22"/>
                <w:szCs w:val="22"/>
              </w:rPr>
              <w:t xml:space="preserve">. Характерные особенности рынка</w:t>
            </w:r>
            <w:r>
              <w:rPr>
                <w:sz w:val="22"/>
                <w:szCs w:val="22"/>
              </w:rPr>
              <w:t xml:space="preserve">.   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Особенностью оказания услуг по пер</w:t>
            </w:r>
            <w:r>
              <w:rPr>
                <w:sz w:val="22"/>
                <w:szCs w:val="22"/>
              </w:rPr>
              <w:t xml:space="preserve">евозке пассажиров автомобильным транспортом по муниципальным маршрутам регулярных перевозок является оказание услуг субъектами частной формы собственности. Причинами, тормозящими развитие частных перевозчиков, являются значительные первоначальные вложения </w:t>
            </w:r>
            <w:r>
              <w:rPr>
                <w:sz w:val="22"/>
                <w:szCs w:val="22"/>
              </w:rPr>
              <w:t xml:space="preserve">(стоимость транспорта и его обслуживание) при длительных сроках окупаемости и высокие ставки по банковским кредитам.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>
              <w:rPr>
                <w:b/>
                <w:sz w:val="22"/>
                <w:szCs w:val="22"/>
                <w:lang w:val="en-US"/>
              </w:rPr>
              <w:t xml:space="preserve">V</w:t>
            </w:r>
            <w:r>
              <w:rPr>
                <w:b/>
                <w:sz w:val="22"/>
                <w:szCs w:val="22"/>
              </w:rPr>
              <w:t xml:space="preserve">. Меры развития рынка.  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 xml:space="preserve">Меры развития конкуренции в данной сфере включают мероприятия, направленные на повышение тра</w:t>
            </w:r>
            <w:r>
              <w:rPr>
                <w:sz w:val="22"/>
                <w:szCs w:val="22"/>
              </w:rPr>
              <w:t xml:space="preserve">нспортной доступности населения и качества предоставления услуг по перевозке пассажиров.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>
              <w:rPr>
                <w:b/>
                <w:sz w:val="22"/>
                <w:szCs w:val="22"/>
                <w:lang w:val="en-US"/>
              </w:rPr>
              <w:t xml:space="preserve">VI</w:t>
            </w:r>
            <w:r>
              <w:rPr>
                <w:b/>
                <w:sz w:val="22"/>
                <w:szCs w:val="22"/>
              </w:rPr>
              <w:t xml:space="preserve">. Перспективы развития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 xml:space="preserve">Основными перспективными направлениями развития рынка являются: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развития институтов взаимодействия государства и бизнеса;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совершенствование конкурентных процедур в сфере пассажирских перевозок;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установление единых стандартов для транспортных средств.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139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5.1.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ind w:right="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ind w:right="13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12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</w:t>
            </w:r>
            <w:r>
              <w:rPr>
                <w:sz w:val="22"/>
                <w:szCs w:val="22"/>
              </w:rPr>
              <w:t xml:space="preserve">е хозяйствующих субъектов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2026 - 2030 годы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 ОЭР 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139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5.2.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информационной поддержки хозяйствующим субъектам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Недостаточная информированность заинтересованных лиц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по итогам года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информированности заинтересованных лиц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139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5.3.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иму</w:t>
            </w:r>
            <w:r>
              <w:rPr>
                <w:sz w:val="22"/>
                <w:szCs w:val="22"/>
              </w:rPr>
              <w:t xml:space="preserve">щественной поддержки хозяйствующим субъектам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Недостаточная информированность заинтересованных лиц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на сайте Печенгского муниципального округа актуальной информации об объектах недвижимого имущества, находящихся в муниципальной собственности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муниципального имущества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3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1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добычи общераспространенных полезных ископаемых на участках недр местного значения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I. Исходная информация в отношении ситуации и проблематики на рынке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 xml:space="preserve">     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имеется высокий ресурсно-сырьевой потенциал - наличие разведанных месторождений сульфидной медно-никелевой руды, песчано-гравийных смесей, щебня, строительного и облицовочного камня.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округе  расположено главное добывающее предприятие АО «Кольская горно-металлургическая компания».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На территории Печенгского муниципального округа зарегистрированы две частные организации: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 коду ОКВЭД 07.10 - ООО «Горно-обогатительный комбинат</w:t>
            </w:r>
            <w:r>
              <w:rPr>
                <w:sz w:val="22"/>
                <w:szCs w:val="22"/>
              </w:rPr>
              <w:t xml:space="preserve"> «Заполярный» по добыче и обогащению железных руд;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 коду ОКВЭД 08.11 – ООО «Заполярный камнеобрабатывающий завод» по добыче декоративного и строительного камня, известняка, гипса, мела и сланцев.    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</w:t>
            </w:r>
            <w:r>
              <w:rPr>
                <w:b/>
                <w:sz w:val="22"/>
                <w:szCs w:val="22"/>
                <w:lang w:val="en-US"/>
              </w:rPr>
              <w:t xml:space="preserve">II</w:t>
            </w:r>
            <w:r>
              <w:rPr>
                <w:b/>
                <w:sz w:val="22"/>
                <w:szCs w:val="22"/>
              </w:rPr>
              <w:t xml:space="preserve">. Доля хозяйствующих субъектов частн</w:t>
            </w:r>
            <w:r>
              <w:rPr>
                <w:b/>
                <w:sz w:val="22"/>
                <w:szCs w:val="22"/>
              </w:rPr>
              <w:t xml:space="preserve">ой формы собственности на рынке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Доля негосударственных организаций на рынке добычи общераспространенных полезных ископаемых (далее – ОПИ) на участках недр местного значения составляет 100%.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III. Оценка состояния конкурентной сред</w:t>
            </w:r>
            <w:r>
              <w:rPr>
                <w:b/>
                <w:sz w:val="22"/>
                <w:szCs w:val="22"/>
              </w:rPr>
              <w:t xml:space="preserve">ы </w:t>
            </w:r>
            <w:r>
              <w:rPr>
                <w:b/>
                <w:sz w:val="22"/>
                <w:szCs w:val="22"/>
              </w:rPr>
              <w:t xml:space="preserve">бизнес-объединениями</w:t>
            </w:r>
            <w:r>
              <w:rPr>
                <w:b/>
                <w:sz w:val="22"/>
                <w:szCs w:val="22"/>
              </w:rPr>
              <w:t xml:space="preserve"> и потребителями. 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t xml:space="preserve">               </w:t>
            </w:r>
            <w:r>
              <w:rPr>
                <w:sz w:val="22"/>
                <w:szCs w:val="22"/>
              </w:rPr>
              <w:t xml:space="preserve">Состояние конкурентной среды оценивается хозяйствующими объектами как слабая – 40%. Оценка числа конкурентов показала, что 20% опрошенных отмечают от 1 до 3 конкурентов.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Барьерами, препятствующими вед</w:t>
            </w:r>
            <w:r>
              <w:rPr>
                <w:sz w:val="22"/>
                <w:szCs w:val="22"/>
              </w:rPr>
              <w:t xml:space="preserve">ению полноценной предпринимательской деятельности на данном рынке услуг, в основном являются коррупция - 40%, нестабильность российского законодательства – 20%, высокие налоги - 20%. А 40% опрошенных считают, что нет ограничений.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Мерами, прин</w:t>
            </w:r>
            <w:r>
              <w:rPr>
                <w:sz w:val="22"/>
                <w:szCs w:val="22"/>
              </w:rPr>
              <w:t xml:space="preserve">имаемыми хозяйствующими субъектами на указанном рынке в части повышения конкурентоспособности, являются: обучение и переподготовка персонала – 60%, приобретение технического оборудования – 60%, разработка новых модификаций и форм производимой продукции, ра</w:t>
            </w:r>
            <w:r>
              <w:rPr>
                <w:sz w:val="22"/>
                <w:szCs w:val="22"/>
              </w:rPr>
              <w:t xml:space="preserve">сширение ассортимента – 20%.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На территории области реализуется государственная программ Мурманской области «Природные ресурсы и экология», утвержденная постановлением Правительства Мурманской области от 11.08.2020 № 570-ПП. В рамках программы </w:t>
            </w:r>
            <w:r>
              <w:rPr>
                <w:sz w:val="22"/>
                <w:szCs w:val="22"/>
              </w:rPr>
              <w:t xml:space="preserve">осуществляются следующие мероприятия: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- ежегодно актуализируется государственный баланс запасов месторождений ОПИ;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- актуализируется информация о месторождениях ОПИ, готовятся паспорта месторождений;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- оцифровываются месторождения ОПИ;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- актуализируется интерактивная карта перспективных и действующих участков недр местного значения.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Уровень удовлетворенности потребителей качеством оказания услуг частными организациями - 27,9%, 28,7% опрошенных потребителей удовлетворен</w:t>
            </w:r>
            <w:r>
              <w:rPr>
                <w:sz w:val="22"/>
                <w:szCs w:val="22"/>
              </w:rPr>
              <w:t xml:space="preserve">ы уровнем цен на рынке. Удовлетворенность предпринимателей действиями органов власти составляет 40%.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</w:t>
            </w:r>
            <w:r>
              <w:rPr>
                <w:b/>
                <w:sz w:val="22"/>
                <w:szCs w:val="22"/>
                <w:lang w:val="en-US"/>
              </w:rPr>
              <w:t xml:space="preserve">IV</w:t>
            </w:r>
            <w:r>
              <w:rPr>
                <w:b/>
                <w:sz w:val="22"/>
                <w:szCs w:val="22"/>
              </w:rPr>
              <w:t xml:space="preserve">. Характерные особенности рынка.   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Основными проблемами на рынке добычи общераспространенных полезных ископаемых на участках нед</w:t>
            </w:r>
            <w:r>
              <w:rPr>
                <w:sz w:val="22"/>
                <w:szCs w:val="22"/>
              </w:rPr>
              <w:t xml:space="preserve">р местного значения являются: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- длительные сроки оформления документов, установленные федеральными органами власти;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- сложность получения кредитов для получения начального капитала, необходимого для добычи и длительные сроки окупаемости капит</w:t>
            </w:r>
            <w:r>
              <w:rPr>
                <w:sz w:val="22"/>
                <w:szCs w:val="22"/>
              </w:rPr>
              <w:t xml:space="preserve">альных вложений;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-  затраты на охрану окружающей среды в сфере добычи.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>
              <w:rPr>
                <w:b/>
                <w:sz w:val="22"/>
                <w:szCs w:val="22"/>
                <w:lang w:val="en-US"/>
              </w:rPr>
              <w:t xml:space="preserve">V</w:t>
            </w:r>
            <w:r>
              <w:rPr>
                <w:b/>
                <w:sz w:val="22"/>
                <w:szCs w:val="22"/>
              </w:rPr>
              <w:t xml:space="preserve">. Меры по развитию рынка</w:t>
            </w:r>
            <w:r>
              <w:rPr>
                <w:sz w:val="22"/>
                <w:szCs w:val="22"/>
              </w:rPr>
              <w:t xml:space="preserve">.    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На территории региона реализуется государственная программа Мурманской области «Природные ресурсы и экология», утвержденная пост</w:t>
            </w:r>
            <w:r>
              <w:rPr>
                <w:sz w:val="22"/>
                <w:szCs w:val="22"/>
              </w:rPr>
              <w:t xml:space="preserve">ановлением Правительства Мурманской области от 11.08.2020 № 570-ПП. В рамках данной программы реализуются мероприятия по обеспечению учета состояния и развития минерально-сырьевой базы общераспространенных полезных ископаемых, которые способствуют развитию</w:t>
            </w:r>
            <w:r>
              <w:rPr>
                <w:sz w:val="22"/>
                <w:szCs w:val="22"/>
              </w:rPr>
              <w:t xml:space="preserve"> рынка добычи ОПИ.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>
              <w:rPr>
                <w:b/>
                <w:sz w:val="22"/>
                <w:szCs w:val="22"/>
                <w:lang w:val="en-US"/>
              </w:rPr>
              <w:t xml:space="preserve">VI</w:t>
            </w:r>
            <w:r>
              <w:rPr>
                <w:b/>
                <w:sz w:val="22"/>
                <w:szCs w:val="22"/>
              </w:rPr>
              <w:t xml:space="preserve">. Перспективы развития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Основными перспективными направлениями развития рынка являются: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создание благоприятных условий для привлечения частного капитала в сферу геологоразведки;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борьба с незаконной добычей </w:t>
            </w:r>
            <w:r>
              <w:rPr>
                <w:sz w:val="22"/>
                <w:szCs w:val="22"/>
              </w:rPr>
              <w:t xml:space="preserve">общераспространенных полезных ископаемых;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сокращение сроков предоставление государственных услуг;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минимизация экологического ущерба при добыче общераспространенных полезных ископаемых;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составление и ведение территориальных балансов запасов и кадастров месторождений и проявлений общераспространенных полезных ископаемых; 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подготовка и утверждение перечней участков недр местного значения по согласованию с федеральным органом управления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госуларственным</w:t>
            </w:r>
            <w:r>
              <w:rPr>
                <w:sz w:val="22"/>
                <w:szCs w:val="22"/>
              </w:rPr>
              <w:t xml:space="preserve"> фондом недр или его территориальными органами.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230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ind w:right="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ind w:right="13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12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</w:t>
            </w:r>
            <w:r>
              <w:rPr>
                <w:sz w:val="22"/>
                <w:szCs w:val="22"/>
              </w:rPr>
              <w:t xml:space="preserve">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</w:t>
            </w:r>
            <w:r>
              <w:rPr>
                <w:sz w:val="22"/>
                <w:szCs w:val="22"/>
              </w:rPr>
              <w:t xml:space="preserve">лей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2026 - 2030 годы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230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6.2.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информационной поддержки хозяйствующим субъектам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Недостаточная информированность заинтересованных лиц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по итогам года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информированности заинтересованных лиц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230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6.3.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имущественной поддержки хозяйствующим субъектам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Недостаточная информированность заинтересованных лиц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на сайте Печенгского муниципального округа актуальной информации об объектах недвижимого имуще</w:t>
            </w:r>
            <w:r>
              <w:rPr>
                <w:sz w:val="22"/>
                <w:szCs w:val="22"/>
              </w:rPr>
              <w:t xml:space="preserve">ства, находящихся в муниципальной собственности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муниципального имущества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121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</w:p>
        </w:tc>
        <w:tc>
          <w:tcPr>
            <w:gridSpan w:val="1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торговли продовольственными товарами в неспециализированных магазинах</w:t>
            </w:r>
            <w:r>
              <w:rPr>
                <w:b/>
                <w:sz w:val="22"/>
                <w:szCs w:val="22"/>
              </w:rPr>
            </w:r>
          </w:p>
          <w:p>
            <w:pPr>
              <w:tabs>
                <w:tab w:val="left" w:pos="4033" w:leader="none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I. </w:t>
            </w:r>
            <w:r>
              <w:rPr>
                <w:b/>
                <w:sz w:val="22"/>
                <w:szCs w:val="22"/>
              </w:rPr>
              <w:t xml:space="preserve">Исходная информация в отношении ситуации и проблематики на рынке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t xml:space="preserve">            </w:t>
            </w:r>
            <w:r>
              <w:rPr>
                <w:sz w:val="22"/>
                <w:szCs w:val="22"/>
              </w:rPr>
              <w:t xml:space="preserve">Тяжелые природно-климатические условия, сезонный отток населения, переориентирование потребителей в сетевые магазины в формате «магазин у дома», расположенные в шаговой доступност</w:t>
            </w:r>
            <w:r>
              <w:rPr>
                <w:sz w:val="22"/>
                <w:szCs w:val="22"/>
              </w:rPr>
              <w:t xml:space="preserve">и в связи с особенностями планировочной структуры застройки населенных пунктов Печенгского муниципального округа, отличающейся плотностью и компактностью, не способствуют развитию торговли в торговых объектах.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t xml:space="preserve">           </w:t>
            </w:r>
            <w:r>
              <w:rPr>
                <w:sz w:val="22"/>
                <w:szCs w:val="22"/>
              </w:rPr>
              <w:t xml:space="preserve">Условия Крайнего Севера оказывают </w:t>
            </w:r>
            <w:r>
              <w:rPr>
                <w:sz w:val="22"/>
                <w:szCs w:val="22"/>
              </w:rPr>
              <w:t xml:space="preserve">влияние на формирование и развитие сельского хозяйства в Заполярье, жестко ограничивая потенциальные возможности его развития, обеспечение продовольствием в основном за счет завоза сырья и пищевой продукции из других регионов РФ, стран ближнего и дальнего </w:t>
            </w:r>
            <w:r>
              <w:rPr>
                <w:sz w:val="22"/>
                <w:szCs w:val="22"/>
              </w:rPr>
              <w:t xml:space="preserve">зарубежья.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округе обеспечивают продовольственными товарами торговые сети «Пятерочка», «Магнит», «Светофор» (1), «Бристоль», «Красное и Белое».  На 01.07.2026 года функционируют 35 сетевых магазинов.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Также осуществляют торговую деятельность нестационарные торговые объекты.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Создание благоприятных условий для развития малого и среднего предпринимательства является одной из важных задач органов местного самоуправления Печенгского муниц</w:t>
            </w:r>
            <w:r>
              <w:rPr>
                <w:sz w:val="22"/>
                <w:szCs w:val="22"/>
              </w:rPr>
              <w:t xml:space="preserve">ипального округа.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>
              <w:rPr>
                <w:sz w:val="22"/>
                <w:szCs w:val="22"/>
              </w:rPr>
              <w:t xml:space="preserve">Торговую деятельность осуществляют нестационарные торговые объекты (автолавка, автоприцеп, </w:t>
            </w:r>
            <w:r>
              <w:rPr>
                <w:sz w:val="22"/>
                <w:szCs w:val="22"/>
              </w:rPr>
              <w:t xml:space="preserve">автокафе</w:t>
            </w:r>
            <w:r>
              <w:rPr>
                <w:sz w:val="22"/>
                <w:szCs w:val="22"/>
              </w:rPr>
              <w:t xml:space="preserve">, автофургон, автоцистерна, </w:t>
            </w:r>
            <w:r>
              <w:rPr>
                <w:sz w:val="22"/>
                <w:szCs w:val="22"/>
              </w:rPr>
              <w:t xml:space="preserve">фудтрак</w:t>
            </w:r>
            <w:r>
              <w:rPr>
                <w:sz w:val="22"/>
                <w:szCs w:val="22"/>
              </w:rPr>
              <w:t xml:space="preserve">, торговый павильон, киоск, торговая палатка, сезонное кафе, бахчевой развал).</w:t>
            </w:r>
            <w:r>
              <w:rPr>
                <w:sz w:val="22"/>
                <w:szCs w:val="22"/>
              </w:rPr>
              <w:t xml:space="preserve"> Нестационарные</w:t>
            </w:r>
            <w:r>
              <w:rPr>
                <w:sz w:val="22"/>
                <w:szCs w:val="22"/>
              </w:rPr>
              <w:t xml:space="preserve"> торговые объекты (далее – НТО) размещаются на круглогодичный период в соответствии с утвержденной схемой.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НТО способствует повышению доступности товаров для населения Печенгского муниципального округа.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Места для размещения НТО на территории Пе</w:t>
            </w:r>
            <w:r>
              <w:rPr>
                <w:sz w:val="22"/>
                <w:szCs w:val="22"/>
              </w:rPr>
              <w:t xml:space="preserve">ченгского муниципального округа предоставляются предпринимателям на бесплатной основе.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>
              <w:rPr>
                <w:sz w:val="22"/>
                <w:szCs w:val="22"/>
              </w:rPr>
              <w:t xml:space="preserve">В Едином реестре субъектов малого и среднего предпринимательства по состоянию на 10.07.2026 года на территории Печенгского муниципального округа зарегистрирова</w:t>
            </w:r>
            <w:r>
              <w:rPr>
                <w:sz w:val="22"/>
                <w:szCs w:val="22"/>
              </w:rPr>
              <w:t xml:space="preserve">но 48 юридических лиц и индивидуальных предпринимателей, осуществляющих деятельность с основным видом деятельности по кодам ОКВЭД 47.11 «Торговля розничная преимущественно пищевыми продуктами, включая напитки, и табачными изделиями в неспециализированных м</w:t>
            </w:r>
            <w:r>
              <w:rPr>
                <w:sz w:val="22"/>
                <w:szCs w:val="22"/>
              </w:rPr>
              <w:t xml:space="preserve">агазинах» и 47.19 «Торговля розничная прочая в неспециализированных магазинах».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Основные проблемы на указанном рынке: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недостаток информации у предпринимателей;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риски ухудшения обеспечения населения доступностью продовольственных товаров;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ри</w:t>
            </w:r>
            <w:r>
              <w:rPr>
                <w:sz w:val="22"/>
                <w:szCs w:val="22"/>
              </w:rPr>
              <w:t xml:space="preserve">ски ухудшения условий ведения деятельности на рынке или снижение качества услуг для потребителей.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5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II. Доля хозяйствующих субъектов частной формы собственности на рынке.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firstLine="5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хозяйствующих субъектов частной формы собственности, осуществляющих свою </w:t>
            </w:r>
            <w:r>
              <w:rPr>
                <w:sz w:val="22"/>
                <w:szCs w:val="22"/>
              </w:rPr>
              <w:t xml:space="preserve">деятельность на территории Печенгского муниципального округа в сфере торговли продовольственными товарами, по данным Единого реестра субъектом малого и среднего предпринимательства по состоянию на 01.01.2026, составляет 100%. </w:t>
            </w:r>
            <w:r>
              <w:rPr>
                <w:sz w:val="22"/>
                <w:szCs w:val="22"/>
              </w:rPr>
            </w:r>
          </w:p>
          <w:p>
            <w:pPr>
              <w:ind w:firstLine="53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III. Оценка состояни</w:t>
            </w:r>
            <w:r>
              <w:rPr>
                <w:b/>
                <w:sz w:val="22"/>
                <w:szCs w:val="22"/>
              </w:rPr>
              <w:t xml:space="preserve">я конкурентной среды </w:t>
            </w:r>
            <w:r>
              <w:rPr>
                <w:b/>
                <w:sz w:val="22"/>
                <w:szCs w:val="22"/>
              </w:rPr>
              <w:t xml:space="preserve">бизнес-объединениями</w:t>
            </w:r>
            <w:r>
              <w:rPr>
                <w:b/>
                <w:sz w:val="22"/>
                <w:szCs w:val="22"/>
              </w:rPr>
              <w:t xml:space="preserve"> и потребителями.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firstLine="5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Состояние конкурентной среды в целом на рынке торговли оценивается хозяйствующими субъектами как умеренная – 40%. Наиболее значимыми барьерами, препятствующими ведению полноценной предпринимательск</w:t>
            </w:r>
            <w:r>
              <w:rPr>
                <w:sz w:val="22"/>
                <w:szCs w:val="22"/>
              </w:rPr>
              <w:t xml:space="preserve">ой деятельности на рынке торговли, являются нестабильность российского законодательства (20%), высокие налоги (40%). </w:t>
            </w:r>
            <w:r>
              <w:rPr>
                <w:sz w:val="22"/>
                <w:szCs w:val="22"/>
              </w:rPr>
            </w:r>
          </w:p>
          <w:p>
            <w:pPr>
              <w:ind w:firstLine="5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Мерами, принимаемыми хозяйствующими субъектами на данном рынке в части повышения конкурентоспособности, являются: новые способы продвижени</w:t>
            </w:r>
            <w:r>
              <w:rPr>
                <w:sz w:val="22"/>
                <w:szCs w:val="22"/>
              </w:rPr>
              <w:t xml:space="preserve">я продукции (маркетинговые стратегии) - 60%.</w:t>
            </w:r>
            <w:r>
              <w:rPr>
                <w:sz w:val="22"/>
                <w:szCs w:val="22"/>
              </w:rPr>
            </w:r>
          </w:p>
          <w:p>
            <w:pPr>
              <w:ind w:firstLine="5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Уровень удовлетворенности потребителей качеством оказания услуг частными организациями снизился и составляет – 46,2%, удовлетворенность ценами – 40,6%.</w:t>
            </w:r>
            <w:r>
              <w:rPr>
                <w:sz w:val="22"/>
                <w:szCs w:val="22"/>
              </w:rPr>
            </w:r>
          </w:p>
          <w:p>
            <w:pPr>
              <w:ind w:firstLine="5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Удовлетворенность предпринимателей действиями органов власт</w:t>
            </w:r>
            <w:r>
              <w:rPr>
                <w:sz w:val="22"/>
                <w:szCs w:val="22"/>
              </w:rPr>
              <w:t xml:space="preserve">и составляет 40%.</w:t>
            </w:r>
            <w:r>
              <w:rPr>
                <w:sz w:val="22"/>
                <w:szCs w:val="22"/>
              </w:rPr>
            </w:r>
          </w:p>
          <w:p>
            <w:pPr>
              <w:ind w:firstLine="5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>
              <w:rPr>
                <w:b/>
                <w:sz w:val="22"/>
                <w:szCs w:val="22"/>
                <w:lang w:val="en-US"/>
              </w:rPr>
              <w:t xml:space="preserve">IV</w:t>
            </w:r>
            <w:r>
              <w:rPr>
                <w:b/>
                <w:sz w:val="22"/>
                <w:szCs w:val="22"/>
              </w:rPr>
              <w:t xml:space="preserve">. Характерные особенности рынка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  <w:p>
            <w:pPr>
              <w:ind w:firstLine="5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Продажа продовольственных товаров в 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 в основном производится крупнейшими торговыми сетями. </w:t>
            </w:r>
            <w:r>
              <w:rPr>
                <w:sz w:val="22"/>
                <w:szCs w:val="22"/>
              </w:rPr>
              <w:t xml:space="preserve">Магазины торговых сетей «Пятерочка» и «Бристоль» осуществляют свою де</w:t>
            </w:r>
            <w:r>
              <w:rPr>
                <w:sz w:val="22"/>
                <w:szCs w:val="22"/>
              </w:rPr>
              <w:t xml:space="preserve">ятельность также в отдаленных малонаселенных пунктах Печенгского муниципального округа (</w:t>
            </w: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Печенга, </w:t>
            </w:r>
            <w:r>
              <w:rPr>
                <w:sz w:val="22"/>
                <w:szCs w:val="22"/>
              </w:rPr>
              <w:t xml:space="preserve">нп</w:t>
            </w:r>
            <w:r>
              <w:rPr>
                <w:sz w:val="22"/>
                <w:szCs w:val="22"/>
              </w:rPr>
              <w:t xml:space="preserve">. Спутник, </w:t>
            </w:r>
            <w:r>
              <w:rPr>
                <w:sz w:val="22"/>
                <w:szCs w:val="22"/>
              </w:rPr>
              <w:t xml:space="preserve">нп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Луостари</w:t>
            </w:r>
            <w:r>
              <w:rPr>
                <w:sz w:val="22"/>
                <w:szCs w:val="22"/>
              </w:rPr>
              <w:t xml:space="preserve">).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5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>
              <w:rPr>
                <w:b/>
                <w:sz w:val="22"/>
                <w:szCs w:val="22"/>
                <w:lang w:val="en-US"/>
              </w:rPr>
              <w:t xml:space="preserve">V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 xml:space="preserve">Меры  по</w:t>
            </w:r>
            <w:r>
              <w:rPr>
                <w:b/>
                <w:sz w:val="22"/>
                <w:szCs w:val="22"/>
              </w:rPr>
              <w:t xml:space="preserve"> развитию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right="137" w:firstLine="53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Правительство Мурманской области реализует широкий перечень мер поддержки субъектов мало</w:t>
            </w:r>
            <w:r>
              <w:rPr>
                <w:sz w:val="22"/>
                <w:szCs w:val="22"/>
              </w:rPr>
              <w:t xml:space="preserve">го и среднего предпринимательства, которыми могут воспользоваться как действующие, так и начинающие предприниматели (в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 гранты и </w:t>
            </w:r>
            <w:r>
              <w:rPr>
                <w:sz w:val="22"/>
                <w:szCs w:val="22"/>
              </w:rPr>
              <w:t xml:space="preserve">микрозаймы</w:t>
            </w:r>
            <w:r>
              <w:rPr>
                <w:sz w:val="22"/>
                <w:szCs w:val="22"/>
              </w:rPr>
              <w:t xml:space="preserve">). Так как Мурманская область входит в Арктическую зону Российской Федерации, на всей территории региона действуе</w:t>
            </w:r>
            <w:r>
              <w:rPr>
                <w:sz w:val="22"/>
                <w:szCs w:val="22"/>
              </w:rPr>
              <w:t xml:space="preserve">т преференциальный режим для ее резидентов. </w:t>
            </w:r>
            <w:r>
              <w:rPr>
                <w:sz w:val="22"/>
                <w:szCs w:val="22"/>
              </w:rPr>
            </w:r>
          </w:p>
          <w:p>
            <w:pPr>
              <w:ind w:right="137" w:firstLine="535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>
              <w:rPr>
                <w:b/>
                <w:sz w:val="22"/>
                <w:szCs w:val="22"/>
                <w:lang w:val="en-US"/>
              </w:rPr>
              <w:t xml:space="preserve">VI</w:t>
            </w:r>
            <w:r>
              <w:rPr>
                <w:b/>
                <w:sz w:val="22"/>
                <w:szCs w:val="22"/>
              </w:rPr>
              <w:t xml:space="preserve">. Перспективы развития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right="137" w:firstLine="53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Основными перспективами развития рынка, это сохранение доступности продовольственных товаров для населения Печенгского муниципального округа. 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14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7.1.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опубликования на сайте Печенгского муниципального округа информации об информационно-консультационных и обучающих мероприятиях для представителей бизнеса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Недостаток информации у предпринимателей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Информация на официальном сайте 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уровня информированности предпринимателей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постоянной основе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деятельности, ОЭР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14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количества торговых точек, реализующих продовольственные товары жителям 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обеспечения населения Печенгского муниципального округа доступностью продовольственных товаров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Аналитическая справка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установлении фактов ухудшения обеспечения населения </w:t>
            </w:r>
            <w:r>
              <w:rPr>
                <w:sz w:val="22"/>
                <w:szCs w:val="22"/>
              </w:rPr>
              <w:t xml:space="preserve">Печенгского муниципального округа доступностью продовольственных товаров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20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</w:t>
            </w:r>
            <w:r>
              <w:rPr>
                <w:sz w:val="22"/>
                <w:szCs w:val="22"/>
              </w:rPr>
              <w:t xml:space="preserve">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2026 - 2030 годы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ОЭР, 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109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</w:r>
          </w:p>
        </w:tc>
        <w:tc>
          <w:tcPr>
            <w:gridSpan w:val="1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trike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гостиничных услуг</w:t>
            </w:r>
            <w:r>
              <w:rPr>
                <w:b/>
                <w:strike/>
                <w:sz w:val="22"/>
                <w:szCs w:val="22"/>
              </w:rPr>
              <w:t xml:space="preserve"> </w:t>
            </w:r>
            <w:r>
              <w:rPr>
                <w:strike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</w:t>
            </w:r>
            <w:r>
              <w:rPr>
                <w:b/>
                <w:sz w:val="22"/>
                <w:szCs w:val="22"/>
              </w:rPr>
              <w:t xml:space="preserve"> I. Исходная информация в отношении ситуации и проблематики на рынке </w:t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ind w:left="0" w:firstLine="603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едином реестре объектов классификации в сфере туристской индустрии н</w:t>
            </w:r>
            <w:r>
              <w:rPr>
                <w:bCs/>
                <w:sz w:val="22"/>
                <w:szCs w:val="22"/>
              </w:rPr>
              <w:t xml:space="preserve">а территории Печенгского муниципального округа зарегистрировано 13 коллективных средств размещения. </w:t>
            </w:r>
            <w:r>
              <w:rPr>
                <w:bCs/>
                <w:sz w:val="22"/>
                <w:szCs w:val="22"/>
              </w:rPr>
              <w:t xml:space="preserve">Из них: 8 гостин</w:t>
            </w:r>
            <w:r>
              <w:rPr>
                <w:bCs/>
                <w:sz w:val="22"/>
                <w:szCs w:val="22"/>
              </w:rPr>
              <w:t xml:space="preserve">иц, в том числе: с присвоенной категорией «4 звезды» имеются 2 гостиницы, с категорией «2 звезды» - 1 гостиница, и «без звезд» - 5 гостиниц.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Также на территории Печенгского округа действуют 5 баз отдыха, находящиеся на полуостровах Рыбачий и Немецкий, в ра</w:t>
            </w:r>
            <w:r>
              <w:rPr>
                <w:bCs/>
                <w:sz w:val="22"/>
                <w:szCs w:val="22"/>
              </w:rPr>
              <w:t xml:space="preserve">йоне губы </w:t>
            </w:r>
            <w:r>
              <w:rPr>
                <w:bCs/>
                <w:sz w:val="22"/>
                <w:szCs w:val="22"/>
              </w:rPr>
              <w:t xml:space="preserve">Кутовая</w:t>
            </w:r>
            <w:r>
              <w:rPr>
                <w:bCs/>
                <w:sz w:val="22"/>
                <w:szCs w:val="22"/>
              </w:rPr>
              <w:t xml:space="preserve">, в устье реки Титовки и губы малой Волоковой.</w:t>
            </w:r>
            <w:r>
              <w:rPr>
                <w:bCs/>
                <w:sz w:val="22"/>
                <w:szCs w:val="22"/>
              </w:rPr>
            </w:r>
          </w:p>
          <w:p>
            <w:pPr>
              <w:pStyle w:val="892"/>
              <w:ind w:left="0" w:firstLine="603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Основные проблемы на указанном рынке:</w:t>
            </w:r>
            <w:r>
              <w:rPr>
                <w:bCs/>
                <w:sz w:val="22"/>
                <w:szCs w:val="22"/>
              </w:rPr>
            </w:r>
          </w:p>
          <w:p>
            <w:pPr>
              <w:pStyle w:val="892"/>
              <w:ind w:left="0" w:firstLine="603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дефицит номерного фонда в высокий сезон;</w:t>
            </w:r>
            <w:r>
              <w:rPr>
                <w:bCs/>
                <w:sz w:val="22"/>
                <w:szCs w:val="22"/>
              </w:rPr>
            </w:r>
          </w:p>
          <w:p>
            <w:pPr>
              <w:pStyle w:val="892"/>
              <w:ind w:left="0" w:firstLine="603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сложности с реализацией новых проектов;</w:t>
            </w:r>
            <w:r>
              <w:rPr>
                <w:bCs/>
                <w:sz w:val="22"/>
                <w:szCs w:val="22"/>
              </w:rPr>
            </w:r>
          </w:p>
          <w:p>
            <w:pPr>
              <w:pStyle w:val="892"/>
              <w:ind w:left="0" w:firstLine="603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вопросы качества сервиса и инфраструктуры внутри объекта;</w:t>
            </w:r>
            <w:r>
              <w:rPr>
                <w:bCs/>
                <w:sz w:val="22"/>
                <w:szCs w:val="22"/>
              </w:rPr>
            </w:r>
          </w:p>
          <w:p>
            <w:pPr>
              <w:pStyle w:val="892"/>
              <w:ind w:left="0" w:firstLine="603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кадровы</w:t>
            </w:r>
            <w:r>
              <w:rPr>
                <w:bCs/>
                <w:sz w:val="22"/>
                <w:szCs w:val="22"/>
              </w:rPr>
              <w:t xml:space="preserve">й дефицит;</w:t>
            </w:r>
            <w:r>
              <w:rPr>
                <w:bCs/>
                <w:sz w:val="22"/>
                <w:szCs w:val="22"/>
              </w:rPr>
            </w:r>
          </w:p>
          <w:p>
            <w:pPr>
              <w:pStyle w:val="892"/>
              <w:ind w:left="0" w:firstLine="603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интеграция с общей туристской инфраструктурой;</w:t>
            </w:r>
            <w:r>
              <w:rPr>
                <w:bCs/>
                <w:sz w:val="22"/>
                <w:szCs w:val="22"/>
              </w:rPr>
            </w:r>
          </w:p>
          <w:p>
            <w:pPr>
              <w:pStyle w:val="892"/>
              <w:ind w:left="0" w:firstLine="603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правовые и организационные нюансы.</w:t>
            </w:r>
            <w:r>
              <w:rPr>
                <w:bCs/>
                <w:sz w:val="22"/>
                <w:szCs w:val="22"/>
              </w:rPr>
            </w:r>
          </w:p>
          <w:p>
            <w:pPr>
              <w:pStyle w:val="892"/>
              <w:ind w:left="0" w:firstLine="603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II. Доля хозяйствующих субъектов частной формы собственности на рынке.</w:t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892"/>
              <w:ind w:left="0" w:firstLine="6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гостиничных услуг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в основном представлен субъектами частной формы собственности.  Федеральному </w:t>
            </w:r>
            <w:r>
              <w:rPr>
                <w:sz w:val="22"/>
                <w:szCs w:val="22"/>
              </w:rPr>
              <w:t xml:space="preserve">государственному бюджетному учреждению «Государственный природный заповедник «</w:t>
            </w:r>
            <w:r>
              <w:rPr>
                <w:sz w:val="22"/>
                <w:szCs w:val="22"/>
              </w:rPr>
              <w:t xml:space="preserve">Пасвик</w:t>
            </w:r>
            <w:r>
              <w:rPr>
                <w:sz w:val="22"/>
                <w:szCs w:val="22"/>
              </w:rPr>
              <w:t xml:space="preserve">» принадлежит гостиница «</w:t>
            </w:r>
            <w:r>
              <w:rPr>
                <w:sz w:val="22"/>
                <w:szCs w:val="22"/>
              </w:rPr>
              <w:t xml:space="preserve">Пасвик</w:t>
            </w:r>
            <w:r>
              <w:rPr>
                <w:sz w:val="22"/>
                <w:szCs w:val="22"/>
              </w:rPr>
              <w:t xml:space="preserve">».</w:t>
            </w:r>
            <w:r>
              <w:rPr>
                <w:sz w:val="22"/>
                <w:szCs w:val="22"/>
              </w:rPr>
            </w:r>
          </w:p>
          <w:p>
            <w:pPr>
              <w:ind w:firstLine="60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III. Оценка состояния конкурентной сред</w:t>
            </w:r>
            <w:r>
              <w:rPr>
                <w:b/>
                <w:sz w:val="22"/>
                <w:szCs w:val="22"/>
              </w:rPr>
              <w:t xml:space="preserve">ы </w:t>
            </w:r>
            <w:r>
              <w:rPr>
                <w:b/>
                <w:sz w:val="22"/>
                <w:szCs w:val="22"/>
              </w:rPr>
              <w:t xml:space="preserve">бизнес-объединениями</w:t>
            </w:r>
            <w:r>
              <w:rPr>
                <w:b/>
                <w:sz w:val="22"/>
                <w:szCs w:val="22"/>
              </w:rPr>
              <w:t xml:space="preserve"> и потребителями.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firstLine="6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Состояние конкурентной среды в целом на рынке оценивается хозяйствующими субъектами как </w:t>
            </w:r>
            <w:r>
              <w:rPr>
                <w:sz w:val="22"/>
                <w:szCs w:val="22"/>
              </w:rPr>
              <w:t xml:space="preserve">умеренная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  <w:p>
            <w:pPr>
              <w:ind w:left="-503" w:firstLine="6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Потребители указывают на дефицит качественных вариантов размещения и на необходимость повышения стандартов обслуживан</w:t>
            </w:r>
            <w:r>
              <w:rPr>
                <w:sz w:val="22"/>
                <w:szCs w:val="22"/>
              </w:rPr>
              <w:t xml:space="preserve">ия клиентов.</w:t>
            </w:r>
            <w:r>
              <w:rPr>
                <w:sz w:val="22"/>
                <w:szCs w:val="22"/>
              </w:rPr>
            </w:r>
          </w:p>
          <w:p>
            <w:pPr>
              <w:ind w:firstLine="60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IV. Характерные особенности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firstLine="6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гостиничных услуг региона формируется под влиянием растущего туристического потока, в том числе в рамках развития арктического туризма. </w:t>
            </w:r>
            <w:r>
              <w:rPr>
                <w:sz w:val="22"/>
                <w:szCs w:val="22"/>
              </w:rPr>
            </w:r>
          </w:p>
          <w:p>
            <w:pPr>
              <w:ind w:firstLine="6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Особенности данного рынка:</w:t>
            </w:r>
            <w:r>
              <w:rPr>
                <w:sz w:val="22"/>
                <w:szCs w:val="22"/>
              </w:rPr>
            </w:r>
          </w:p>
          <w:p>
            <w:pPr>
              <w:ind w:firstLine="6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сезонность спроса. </w:t>
            </w:r>
            <w:r>
              <w:rPr>
                <w:sz w:val="22"/>
                <w:szCs w:val="22"/>
              </w:rPr>
              <w:t xml:space="preserve">Пик загрузки прих</w:t>
            </w:r>
            <w:r>
              <w:rPr>
                <w:sz w:val="22"/>
                <w:szCs w:val="22"/>
              </w:rPr>
              <w:t xml:space="preserve">одится на зимний (туристические цели) и летний периоды, что требует от объектов гибкости в управлении тарифной политикой и персоналом.</w:t>
            </w:r>
            <w:r>
              <w:rPr>
                <w:sz w:val="22"/>
                <w:szCs w:val="22"/>
              </w:rPr>
            </w:r>
          </w:p>
          <w:p>
            <w:pPr>
              <w:ind w:firstLine="6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в</w:t>
            </w:r>
            <w:r>
              <w:rPr>
                <w:sz w:val="22"/>
                <w:szCs w:val="22"/>
              </w:rPr>
              <w:t xml:space="preserve">ысокая доля малых средств размещения. Базы отдыха, </w:t>
            </w:r>
            <w:r>
              <w:rPr>
                <w:sz w:val="22"/>
                <w:szCs w:val="22"/>
              </w:rPr>
              <w:t xml:space="preserve">глэмпинги</w:t>
            </w:r>
            <w:r>
              <w:rPr>
                <w:sz w:val="22"/>
                <w:szCs w:val="22"/>
              </w:rPr>
              <w:t xml:space="preserve">, гостиницы составляют значительную часть предложения, обе</w:t>
            </w:r>
            <w:r>
              <w:rPr>
                <w:sz w:val="22"/>
                <w:szCs w:val="22"/>
              </w:rPr>
              <w:t xml:space="preserve">спечивая разнообразие выбора, но зачастую имея ограниченные ресурсы для размещения больших групп.</w:t>
            </w:r>
            <w:r>
              <w:rPr>
                <w:sz w:val="22"/>
                <w:szCs w:val="22"/>
              </w:rPr>
            </w:r>
          </w:p>
          <w:p>
            <w:pPr>
              <w:ind w:firstLine="6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 отдаленность размещения объектов, труднодоступность.</w:t>
            </w:r>
            <w:r>
              <w:rPr>
                <w:sz w:val="22"/>
                <w:szCs w:val="22"/>
              </w:rPr>
            </w:r>
          </w:p>
          <w:p>
            <w:pPr>
              <w:ind w:firstLine="60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V. Меры  по развитию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ind w:firstLine="6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целях развития конкурентной среды, повышения качества услуг и устранения</w:t>
            </w:r>
            <w:r>
              <w:rPr>
                <w:sz w:val="22"/>
                <w:szCs w:val="22"/>
              </w:rPr>
              <w:t xml:space="preserve"> существующих проблем необходима реализация следующих мер:</w:t>
            </w:r>
            <w:r>
              <w:rPr>
                <w:sz w:val="22"/>
                <w:szCs w:val="22"/>
              </w:rPr>
            </w:r>
          </w:p>
          <w:p>
            <w:pPr>
              <w:ind w:firstLine="6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развитие кадрового потенциала, организация системной работы по подготовке, переподготовке и повышению квалификации кадров для гостиничной индустрии с охватом </w:t>
            </w:r>
            <w:r>
              <w:rPr>
                <w:sz w:val="22"/>
                <w:szCs w:val="22"/>
              </w:rPr>
              <w:t xml:space="preserve">всех категорий персонала: горничные, администраторы, специалисты служб приема и размещения, управленцы. </w:t>
            </w:r>
            <w:r>
              <w:rPr>
                <w:sz w:val="22"/>
                <w:szCs w:val="22"/>
              </w:rPr>
            </w:r>
          </w:p>
          <w:p>
            <w:pPr>
              <w:ind w:firstLine="60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VI. Перспективы развития рынка</w:t>
            </w:r>
            <w:r>
              <w:rPr>
                <w:b/>
                <w:sz w:val="22"/>
                <w:szCs w:val="22"/>
              </w:rPr>
            </w:r>
          </w:p>
          <w:p>
            <w:pPr>
              <w:ind w:firstLine="6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Основными перспективными направлениями развития рынка являются:</w:t>
            </w:r>
            <w:r>
              <w:rPr>
                <w:sz w:val="22"/>
                <w:szCs w:val="22"/>
              </w:rPr>
            </w:r>
          </w:p>
          <w:p>
            <w:pPr>
              <w:ind w:left="-645" w:firstLine="6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создание условий для удовлетворения потребности россий</w:t>
            </w:r>
            <w:r>
              <w:rPr>
                <w:sz w:val="22"/>
                <w:szCs w:val="22"/>
              </w:rPr>
              <w:t xml:space="preserve">ских и иностранных граждан в комфортных гостиничных услугах;</w:t>
            </w:r>
            <w:r>
              <w:rPr>
                <w:sz w:val="22"/>
                <w:szCs w:val="22"/>
              </w:rPr>
            </w:r>
          </w:p>
          <w:p>
            <w:pPr>
              <w:ind w:left="-220" w:firstLine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повышение конкурентоспособности услуг в сфере гостиничного бизнеса на </w:t>
            </w:r>
            <w:r>
              <w:rPr>
                <w:sz w:val="22"/>
                <w:szCs w:val="22"/>
              </w:rPr>
              <w:t xml:space="preserve">внутрирегиональном</w:t>
            </w:r>
            <w:r>
              <w:rPr>
                <w:sz w:val="22"/>
                <w:szCs w:val="22"/>
              </w:rPr>
              <w:t xml:space="preserve"> и внешних рынках;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осуществление государственной поддержки хозяйствующих субъектов, занятых в гостиничн</w:t>
            </w:r>
            <w:r>
              <w:rPr>
                <w:sz w:val="22"/>
                <w:szCs w:val="22"/>
              </w:rPr>
              <w:t xml:space="preserve">ом бизнесе;</w:t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gridAfter w:val="2"/>
          <w:trHeight w:val="92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</w:t>
            </w:r>
            <w:r>
              <w:rPr>
                <w:sz w:val="22"/>
                <w:szCs w:val="22"/>
              </w:rPr>
              <w:t xml:space="preserve">и в общем количестве хозяйствующих субъектов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, консультант по приграничному сотрудничеству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gridAfter w:val="2"/>
          <w:trHeight w:val="92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8.2.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Ведение реестра действующих коллективных средств размещения, размещение реестра на сайте Печенгского муниципального округа, информирование Министерства туризма и предпринимательства Мурманской области, И</w:t>
            </w:r>
            <w:r>
              <w:rPr>
                <w:sz w:val="22"/>
                <w:szCs w:val="22"/>
              </w:rPr>
              <w:t xml:space="preserve">ФНС по Мурманской области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неклассифицированны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 коллективных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средств размещения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Выявление </w:t>
            </w:r>
            <w:r>
              <w:rPr>
                <w:sz w:val="22"/>
                <w:szCs w:val="22"/>
              </w:rPr>
              <w:t xml:space="preserve">днеклассифицированных</w:t>
            </w:r>
            <w:r>
              <w:rPr>
                <w:sz w:val="22"/>
                <w:szCs w:val="22"/>
              </w:rPr>
              <w:t xml:space="preserve"> средств размещения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количества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коллективных средств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размещения,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прошедших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самооценку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ежеквартально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</w:t>
            </w:r>
            <w:r>
              <w:rPr>
                <w:sz w:val="22"/>
                <w:szCs w:val="22"/>
              </w:rPr>
              <w:t xml:space="preserve">онсультант по приграничному сотрудничеству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43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</w:p>
        </w:tc>
        <w:tc>
          <w:tcPr>
            <w:gridSpan w:val="1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trike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оказания услуг по общественному питанию</w:t>
            </w:r>
            <w:r>
              <w:rPr>
                <w:b/>
                <w:strike/>
                <w:sz w:val="22"/>
                <w:szCs w:val="22"/>
              </w:rPr>
              <w:t xml:space="preserve"> </w:t>
            </w:r>
            <w:r>
              <w:rPr>
                <w:strike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I. Исходная информация в отношении ситуации и проблематики на рынке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В настоящее время на территории Печенгского муниципального округа функционирует 38 </w:t>
            </w:r>
            <w:r>
              <w:rPr>
                <w:sz w:val="22"/>
                <w:szCs w:val="22"/>
              </w:rPr>
              <w:t xml:space="preserve"> объектов общественного питания, являющимися объектами частной формы собственности. Кроме того имеются 13 объектов общественного питания  муниципальной формы собственности (детские сады, школы). </w:t>
            </w:r>
            <w:r>
              <w:rPr>
                <w:sz w:val="22"/>
                <w:szCs w:val="22"/>
              </w:rPr>
              <w:t xml:space="preserve">В основном заведения общественного питания открываются в Нике</w:t>
            </w:r>
            <w:r>
              <w:rPr>
                <w:sz w:val="22"/>
                <w:szCs w:val="22"/>
              </w:rPr>
              <w:t xml:space="preserve">ле и в Заполярном, в отдаленных населенных пунктах сеть заведений общепита недостаточно развита.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Конкурентная среда характеризуется высоким уровнем развития по различным гастрономическим направлениям. На рынке также представлены  федеральные сетевые операт</w:t>
            </w:r>
            <w:r>
              <w:rPr>
                <w:sz w:val="22"/>
                <w:szCs w:val="22"/>
              </w:rPr>
              <w:t xml:space="preserve">оры. Особенностью общественного питания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является специализация заведений на арктической кухне, что формирует уникальное конкурентное преимущество территории в сравнении с другими регионами.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Основные проблемы, которые можно</w:t>
            </w:r>
            <w:r>
              <w:rPr>
                <w:sz w:val="22"/>
                <w:szCs w:val="22"/>
              </w:rPr>
              <w:t xml:space="preserve"> выделить на указанном рынке: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дефицит квалифицированных кадров, отрасль испытывает устойчивую потребность в персонале разного уровня;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 недостаточность или отсутствие стартового капитала для создания бизнеса;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высокая налоговая нагрузка на субъекты МСП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II. Доля хозяйствующих субъектов частной формы собственности на рынке.</w:t>
            </w:r>
            <w:r>
              <w:rPr>
                <w:b/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Рынок общественного питания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в основном представлен хозяйствующими субъектам</w:t>
            </w:r>
            <w:r>
              <w:rPr>
                <w:sz w:val="22"/>
                <w:szCs w:val="22"/>
              </w:rPr>
              <w:t xml:space="preserve">и частной формы собственности. Доля частного сектора составляет примерно 75% от общего количества организаций, это подтверждает высокий уровень предпринимательской активности и отсутствие административных барьеров для входа на рынок. 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</w:t>
            </w:r>
            <w:r>
              <w:rPr>
                <w:b/>
                <w:sz w:val="22"/>
                <w:szCs w:val="22"/>
              </w:rPr>
              <w:t xml:space="preserve">                                           III. Оценка состояния конкурентной среды </w:t>
            </w:r>
            <w:r>
              <w:rPr>
                <w:b/>
                <w:sz w:val="22"/>
                <w:szCs w:val="22"/>
              </w:rPr>
              <w:t xml:space="preserve">бизнес-объединениями</w:t>
            </w:r>
            <w:r>
              <w:rPr>
                <w:b/>
                <w:sz w:val="22"/>
                <w:szCs w:val="22"/>
              </w:rPr>
              <w:t xml:space="preserve"> и потребителями.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t xml:space="preserve">          </w:t>
            </w:r>
            <w:r>
              <w:rPr>
                <w:sz w:val="22"/>
                <w:szCs w:val="22"/>
              </w:rPr>
              <w:t xml:space="preserve">Согласно данным социологических опросов и мониторинга состояния конкурентной среды, проводимого антимонопольным органом и пр</w:t>
            </w:r>
            <w:r>
              <w:rPr>
                <w:sz w:val="22"/>
                <w:szCs w:val="22"/>
              </w:rPr>
              <w:t xml:space="preserve">офильными ведомствами, </w:t>
            </w:r>
            <w:r>
              <w:rPr>
                <w:sz w:val="22"/>
                <w:szCs w:val="22"/>
              </w:rPr>
              <w:t xml:space="preserve">бизнесобъединения</w:t>
            </w:r>
            <w:r>
              <w:rPr>
                <w:sz w:val="22"/>
                <w:szCs w:val="22"/>
              </w:rPr>
              <w:t xml:space="preserve"> (рестораторы, отраслевые ассоциации) оценивают конкурентную среду как «развитую» и «активную».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 стороны потребителей отмечается высокий уровень удовлетворенности качеством услуг, разнообразием форматов заведений (</w:t>
            </w:r>
            <w:r>
              <w:rPr>
                <w:sz w:val="22"/>
                <w:szCs w:val="22"/>
              </w:rPr>
              <w:t xml:space="preserve">от </w:t>
            </w:r>
            <w:r>
              <w:rPr>
                <w:sz w:val="22"/>
                <w:szCs w:val="22"/>
              </w:rPr>
              <w:t xml:space="preserve">фуд</w:t>
            </w:r>
            <w:r>
              <w:rPr>
                <w:sz w:val="22"/>
                <w:szCs w:val="22"/>
              </w:rPr>
              <w:t xml:space="preserve">-кортов до ресторанов) и ценовой доступностью. Развитие гастрономического туризма повышает заинтересованность бизнеса в повышении качества.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t xml:space="preserve">                                                                      </w:t>
            </w:r>
            <w:r>
              <w:rPr>
                <w:b/>
                <w:sz w:val="22"/>
                <w:szCs w:val="22"/>
              </w:rPr>
              <w:t xml:space="preserve">IV. Характерные особенности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    Ключевой особенностью муниципального рынка общественного питания является устойчивая динамика оборота. По статистическому бюллетеню «Основные показатели социально-экономического положения Муниципальных образований Мурманской области» за 2025 год, предо</w:t>
            </w:r>
            <w:r>
              <w:rPr>
                <w:sz w:val="22"/>
                <w:szCs w:val="22"/>
              </w:rPr>
              <w:t xml:space="preserve">ставленным </w:t>
            </w:r>
            <w:r>
              <w:rPr>
                <w:sz w:val="22"/>
                <w:szCs w:val="22"/>
              </w:rPr>
              <w:t xml:space="preserve">Мурманскстатом</w:t>
            </w:r>
            <w:r>
              <w:rPr>
                <w:sz w:val="22"/>
                <w:szCs w:val="22"/>
              </w:rPr>
              <w:t xml:space="preserve"> оборот общественного питания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 возрос в 7,2 раза по сравнению с 2024 годом и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составил 1217,2 </w:t>
            </w:r>
            <w:r>
              <w:rPr>
                <w:sz w:val="22"/>
                <w:szCs w:val="22"/>
              </w:rPr>
              <w:t xml:space="preserve">млн</w:t>
            </w:r>
            <w:r>
              <w:rPr>
                <w:sz w:val="22"/>
                <w:szCs w:val="22"/>
              </w:rPr>
              <w:t xml:space="preserve">.р</w:t>
            </w:r>
            <w:r>
              <w:rPr>
                <w:sz w:val="22"/>
                <w:szCs w:val="22"/>
              </w:rPr>
              <w:t xml:space="preserve">ублей</w:t>
            </w:r>
            <w:r>
              <w:rPr>
                <w:sz w:val="22"/>
                <w:szCs w:val="22"/>
              </w:rPr>
              <w:t xml:space="preserve">. АНО «Центр социальных проектов «Вторая школа» проводятся событийные мероприятия: фестиваль «</w:t>
            </w:r>
            <w:r>
              <w:rPr>
                <w:sz w:val="22"/>
                <w:szCs w:val="22"/>
              </w:rPr>
              <w:t xml:space="preserve">GastroIndustry</w:t>
            </w:r>
            <w:r>
              <w:rPr>
                <w:sz w:val="22"/>
                <w:szCs w:val="22"/>
              </w:rPr>
              <w:t xml:space="preserve">».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Это ежегодное событие, которое проходит летом в посёлке Никель </w:t>
            </w:r>
            <w:r>
              <w:rPr>
                <w:sz w:val="22"/>
                <w:szCs w:val="22"/>
              </w:rPr>
              <w:t xml:space="preserve">Печенгский</w:t>
            </w:r>
            <w:r>
              <w:rPr>
                <w:sz w:val="22"/>
                <w:szCs w:val="22"/>
              </w:rPr>
              <w:t xml:space="preserve"> округ. Его миссия — показать уникальный симбиоз арктической гастрономии, индустриального наследия и сурового северного колорита. Фестиваль помогает развивать террито</w:t>
            </w:r>
            <w:r>
              <w:rPr>
                <w:sz w:val="22"/>
                <w:szCs w:val="22"/>
              </w:rPr>
              <w:t xml:space="preserve">рию: он объединяет жителей, поддерживает локальных производителей, даёт импульс туризму и открывает новые возможности для малого бизнеса и молодёжи.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Данный показатель подчеркивает сформировавшуюся высокую культуру посещения заведений общественного питания.</w:t>
            </w:r>
            <w:r>
              <w:rPr>
                <w:sz w:val="22"/>
                <w:szCs w:val="22"/>
              </w:rPr>
              <w:t xml:space="preserve"> Спрос формируется за счет двух равнозначных групп потребителей: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местные жители, для которых посещение ресторанов и кафе стало устойчивой социальной практикой;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туристы, обеспечивающие сезонный ро</w:t>
            </w:r>
            <w:r>
              <w:rPr>
                <w:sz w:val="22"/>
                <w:szCs w:val="22"/>
              </w:rPr>
              <w:t xml:space="preserve">ст спр</w:t>
            </w:r>
            <w:r>
              <w:rPr>
                <w:sz w:val="22"/>
                <w:szCs w:val="22"/>
              </w:rPr>
              <w:t xml:space="preserve">оса и стимулирующие развитие </w:t>
            </w:r>
            <w:r>
              <w:rPr>
                <w:sz w:val="22"/>
                <w:szCs w:val="22"/>
              </w:rPr>
              <w:t xml:space="preserve">нишевых</w:t>
            </w:r>
            <w:r>
              <w:rPr>
                <w:sz w:val="22"/>
                <w:szCs w:val="22"/>
              </w:rPr>
              <w:t xml:space="preserve"> направлений (г</w:t>
            </w:r>
            <w:r>
              <w:rPr>
                <w:sz w:val="22"/>
                <w:szCs w:val="22"/>
              </w:rPr>
              <w:t xml:space="preserve">астрономические туры, авторские проекты в формате гастрономических мастер-классов или представлений).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V. Меры по развитию рынка.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В целях дальнейшего развития конкурентной ср</w:t>
            </w:r>
            <w:r>
              <w:rPr>
                <w:sz w:val="22"/>
                <w:szCs w:val="22"/>
              </w:rPr>
              <w:t xml:space="preserve">еды и повышения инвестиционной привлекательности отрасли предусмотрена реализация следующих мер: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- снижение административных барьеров, упрощение процедур размещения нестационарных торговых объектов (летние веранды, </w:t>
            </w:r>
            <w:r>
              <w:rPr>
                <w:sz w:val="22"/>
                <w:szCs w:val="22"/>
              </w:rPr>
              <w:t xml:space="preserve">фуд</w:t>
            </w:r>
            <w:r>
              <w:rPr>
                <w:sz w:val="22"/>
                <w:szCs w:val="22"/>
              </w:rPr>
              <w:t xml:space="preserve">-траки) и сезонных форм обслужива</w:t>
            </w:r>
            <w:r>
              <w:rPr>
                <w:sz w:val="22"/>
                <w:szCs w:val="22"/>
              </w:rPr>
              <w:t xml:space="preserve">ния.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-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опуляризация отрасли, проведение гастрономических фестивалей, гастрономических презентаций за пределами округа, направленных на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популяризацию направления и обмен опытом между хозяйствующими субъектами.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</w:t>
            </w:r>
            <w:r>
              <w:rPr>
                <w:b/>
                <w:sz w:val="22"/>
                <w:szCs w:val="22"/>
              </w:rPr>
              <w:t xml:space="preserve">                    VI. Перспективы развития рынка</w:t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Основными перспективными направлениями развития рынка являются – сохранение высокой инвестиционной привлекательности.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231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количества организаций частной формы собственности в сфере общественного питания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</w:t>
            </w:r>
            <w:r>
              <w:rPr>
                <w:sz w:val="22"/>
                <w:szCs w:val="22"/>
              </w:rPr>
              <w:t xml:space="preserve">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ОЭР, 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231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количества торговых точек, реализующих продовольственные товары жителям 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</w:t>
            </w:r>
            <w:r>
              <w:rPr>
                <w:sz w:val="22"/>
                <w:szCs w:val="22"/>
              </w:rPr>
              <w:t xml:space="preserve">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2026 - 2030 годы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55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внутреннего и въездного туризма 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I. Исходная информация в отношении ситуации и проблематики на рынке </w:t>
            </w:r>
            <w:r>
              <w:rPr>
                <w:sz w:val="22"/>
                <w:szCs w:val="22"/>
              </w:rPr>
            </w:r>
          </w:p>
          <w:p>
            <w:pPr>
              <w:pStyle w:val="937"/>
              <w:ind w:firstLine="534"/>
              <w:jc w:val="both"/>
              <w:spacing w:before="0" w:beforeAutospacing="0" w:after="0" w:afterAutospacing="0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По данным Единого реестра субъектов малого и среднего предпринимательства в настоящее время по коду ОКВЭД 79.11, 79.12. 79.9 на территории Печенгского муниципального округа зарегистриров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аны 4 туристических агентств, осуществляющих деятельность по реализации туристского 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br/>
              <w:t xml:space="preserve">продукта, 3 - туроператора и 6 – организации по предоставлению экскурсионных услуг. Кроме того, инфраструктуру туризма представляют 13 гостиниц, отелей, баз отдыха, включе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нных в Федеральный перечень гостиниц и иных средств размещения. В 2025 году 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Печенгский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муниципальный округ посетило 12 366 человек.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r>
          </w:p>
          <w:p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рамках муниципальной программы Печенгского муниципального округа «Экономический потенциал» на 2026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2028 годы осуществляе</w:t>
            </w:r>
            <w:r>
              <w:rPr>
                <w:sz w:val="22"/>
                <w:szCs w:val="22"/>
              </w:rPr>
              <w:t xml:space="preserve">тся имущественная, консультационная, информационная поддержка начинающим и действующим субъектам малого и среднего предпринимательства, осуществляющим деятельность в области внутреннего и въездного туризма.</w:t>
            </w:r>
            <w:r>
              <w:rPr>
                <w:sz w:val="22"/>
                <w:szCs w:val="22"/>
              </w:rPr>
            </w:r>
          </w:p>
          <w:p>
            <w:pPr>
              <w:ind w:firstLine="709"/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Туристический бизнес Печенгского муниципального о</w:t>
            </w:r>
            <w:r>
              <w:rPr>
                <w:sz w:val="22"/>
                <w:szCs w:val="22"/>
              </w:rPr>
              <w:t xml:space="preserve">круга в большей степени ориентирован на «внешнего потребителя», что соответствует понятию въездного туризма в регион. Жители округа не выступают активными потребителями рынка услуг внутреннего туризма, однако указанный рынок представляет особый интерес с п</w:t>
            </w:r>
            <w:r>
              <w:rPr>
                <w:sz w:val="22"/>
                <w:szCs w:val="22"/>
              </w:rPr>
              <w:t xml:space="preserve">озиции территориального маркетинга, ориентированного на внутреннюю целевую аудиторию. Потребление внутреннего туристического потока может рассматриваться как необходимое условие формирования северной идентичности и даже возможного решения вопроса отрицател</w:t>
            </w:r>
            <w:r>
              <w:rPr>
                <w:sz w:val="22"/>
                <w:szCs w:val="22"/>
              </w:rPr>
              <w:t xml:space="preserve">ьной миграции населения в регионе. В связи с чем, разработка туристских предложений, ориентированных на жителей округа и региона, представляется целесообразной.</w:t>
            </w:r>
            <w:r>
              <w:rPr>
                <w:color w:val="ff0000"/>
                <w:sz w:val="22"/>
                <w:szCs w:val="22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            В мае 2023 года состоялось открытие в </w:t>
            </w: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 Никель </w:t>
            </w:r>
            <w:r>
              <w:rPr>
                <w:sz w:val="22"/>
                <w:szCs w:val="22"/>
              </w:rPr>
              <w:t xml:space="preserve">фронт-офиса</w:t>
            </w:r>
            <w:r>
              <w:rPr>
                <w:sz w:val="22"/>
                <w:szCs w:val="22"/>
              </w:rPr>
              <w:t xml:space="preserve"> туристского информаци</w:t>
            </w:r>
            <w:r>
              <w:rPr>
                <w:sz w:val="22"/>
                <w:szCs w:val="22"/>
              </w:rPr>
              <w:t xml:space="preserve">онного центра Мурманской области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округе - ТИЦ «Северный».</w:t>
            </w:r>
            <w:r>
              <w:rPr>
                <w:color w:val="auto"/>
                <w:szCs w:val="24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Основными целями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работы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которого является информирование туристов, содействие в развитии субъектам туриндустрии, а также реализация комплекса мероприятий, направленных на продвижение Му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рманской области как региона, благоприятного для развития туризма. Это в свою очередь позволит увеличить туристский поток в регион и создать благоприятные условия для развития субъектов туриндустрии региона. Также проводится просветительная работа о природ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е и уникальных местах Кольского полуострова и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профориентационная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работа в сфере туризма, ориентированная на юных жителей.</w:t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 xml:space="preserve">            Основные проблемы, которые можно выделить на указанном рынке:</w:t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 xml:space="preserve">- недостаточное количество классифицированных средств коллек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тивного размещения</w:t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 xml:space="preserve">- недостаточный уровень информированности населения Печенгского округа о возможностях внутреннего туризма в регионе.</w:t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b/>
                <w:color w:val="auto"/>
                <w:sz w:val="22"/>
                <w:szCs w:val="22"/>
                <w:lang w:eastAsia="en-US"/>
              </w:rPr>
              <w:t xml:space="preserve">                                                                </w:t>
            </w:r>
            <w:r>
              <w:rPr>
                <w:b/>
                <w:color w:val="auto"/>
                <w:sz w:val="22"/>
                <w:szCs w:val="22"/>
                <w:lang w:eastAsia="en-US"/>
              </w:rPr>
              <w:t xml:space="preserve">II. Доля хозяйствующих субъектов частной формы собственности на рынке.</w:t>
            </w:r>
            <w:r>
              <w:rPr>
                <w:b/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 xml:space="preserve">            В соответствии с Федеральным реестром туроператоров, на территории Печенгского муниципального округа в 2025 году осуществляли деятельность 11 туроператоров и 1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турагент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.</w:t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 xml:space="preserve">  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        Государственные унитарные предприятия на указанном рынке отсутствуют.</w:t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 xml:space="preserve">Сегменты рынка, на которых в силу нормативных требований или объективных причин могут осуществлять деятельность только государственные и (или) муниципальные организации отсутств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уют.</w:t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b/>
                <w:color w:val="auto"/>
                <w:sz w:val="22"/>
                <w:szCs w:val="22"/>
                <w:lang w:eastAsia="en-US"/>
              </w:rPr>
              <w:t xml:space="preserve">                                                               III. Оценка состояния конкурентной среды </w:t>
            </w:r>
            <w:r>
              <w:rPr>
                <w:b/>
                <w:color w:val="auto"/>
                <w:sz w:val="22"/>
                <w:szCs w:val="22"/>
                <w:lang w:eastAsia="en-US"/>
              </w:rPr>
              <w:t xml:space="preserve">бизнес-объединениями</w:t>
            </w:r>
            <w:r>
              <w:rPr>
                <w:b/>
                <w:color w:val="auto"/>
                <w:sz w:val="22"/>
                <w:szCs w:val="22"/>
                <w:lang w:eastAsia="en-US"/>
              </w:rPr>
              <w:t xml:space="preserve"> и потребителями.</w:t>
            </w:r>
            <w:r>
              <w:rPr>
                <w:b/>
                <w:color w:val="auto"/>
                <w:sz w:val="22"/>
                <w:szCs w:val="22"/>
                <w:lang w:eastAsia="en-US"/>
              </w:rPr>
            </w:r>
          </w:p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            </w:t>
            </w:r>
            <w:r>
              <w:rPr>
                <w:sz w:val="22"/>
                <w:szCs w:val="22"/>
                <w:lang w:eastAsia="en-US"/>
              </w:rPr>
              <w:t xml:space="preserve">Состояние конкурентной среды оценивается хозяйствующими субъектами как </w:t>
            </w:r>
            <w:r>
              <w:rPr>
                <w:sz w:val="22"/>
                <w:szCs w:val="22"/>
                <w:lang w:eastAsia="en-US"/>
              </w:rPr>
              <w:t xml:space="preserve">высокая</w:t>
            </w:r>
            <w:r>
              <w:rPr>
                <w:sz w:val="22"/>
                <w:szCs w:val="22"/>
                <w:lang w:eastAsia="en-US"/>
              </w:rPr>
              <w:t xml:space="preserve"> (20%). Большинство</w:t>
            </w:r>
            <w:r>
              <w:rPr>
                <w:sz w:val="22"/>
                <w:szCs w:val="22"/>
                <w:lang w:eastAsia="en-US"/>
              </w:rPr>
              <w:t xml:space="preserve"> хозяйствующих субъектов считают, что рынок характеризуется как рынок с умеренной конкуренцией (80%).</w:t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ind w:firstLine="709"/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                                              IV. Характерные особенности рынка.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</w:r>
          </w:p>
          <w:p>
            <w:pPr>
              <w:ind w:firstLine="64"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- недостаточное развитие туристской инфраструктуры;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</w:r>
          </w:p>
          <w:p>
            <w:pPr>
              <w:ind w:firstLine="64"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- малое количеств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о гостиничных средств размещения с современным уровнем комфорта;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</w:r>
          </w:p>
          <w:p>
            <w:pPr>
              <w:ind w:firstLine="64"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- недостаточно высокое качество муниципального туристского продукта, уровня гостеприимства, безопасности и доступности услуг;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</w:r>
          </w:p>
          <w:p>
            <w:pPr>
              <w:ind w:firstLine="64"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- дефицит квалифицированных кадров, что определяет невысокое качество обслуживания во всех секторах туристской индустрии;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</w:r>
          </w:p>
          <w:p>
            <w:pPr>
              <w:ind w:firstLine="64"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- высокая стоимость проживания, питания, транспортного и иного туристского обслуживания;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 - недостаточно развита транспортная инфрастр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уктура (низкое качество дорог и уровня придорожного обслуживания).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</w:r>
          </w:p>
          <w:p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                                                          V. Меры  по развитию рынка.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</w:r>
          </w:p>
          <w:p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Совместно с Комитетом по туризму Мурманской области разработан план туризма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</w:t>
            </w:r>
            <w:r>
              <w:rPr>
                <w:sz w:val="22"/>
                <w:szCs w:val="22"/>
              </w:rPr>
              <w:t xml:space="preserve">ном округе. Данный план представлен в декабре 2023 года на заседании Совета по улучшению инвестиционного климата и развитию предпринимательства при Главе Печенгского муниципального округа.</w:t>
            </w:r>
            <w:r>
              <w:rPr>
                <w:sz w:val="22"/>
                <w:szCs w:val="22"/>
              </w:rPr>
            </w:r>
          </w:p>
          <w:p>
            <w:pPr>
              <w:pStyle w:val="906"/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анализе особенностей рынка внутреннего арктического туризма в о</w:t>
            </w:r>
            <w:r>
              <w:rPr>
                <w:sz w:val="22"/>
                <w:szCs w:val="22"/>
              </w:rPr>
              <w:t xml:space="preserve">круге следует особенно отметить следующие факторы:</w:t>
            </w:r>
            <w:r>
              <w:rPr>
                <w:sz w:val="22"/>
                <w:szCs w:val="22"/>
              </w:rPr>
            </w:r>
          </w:p>
          <w:p>
            <w:pPr>
              <w:pStyle w:val="906"/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сильная зависимость от климатических факторов и сезонности ряда туристических маршрутов;</w:t>
            </w:r>
            <w:r>
              <w:rPr>
                <w:sz w:val="22"/>
                <w:szCs w:val="22"/>
              </w:rPr>
            </w:r>
          </w:p>
          <w:p>
            <w:pPr>
              <w:pStyle w:val="906"/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труднодоступность привлекательных с точки зрения развития туризма мест и объектов показа;</w:t>
            </w:r>
            <w:r>
              <w:rPr>
                <w:sz w:val="22"/>
                <w:szCs w:val="22"/>
              </w:rPr>
            </w:r>
          </w:p>
          <w:p>
            <w:pPr>
              <w:pStyle w:val="906"/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слабо развитая туристская инфраструктура;</w:t>
            </w:r>
            <w:r>
              <w:rPr>
                <w:sz w:val="22"/>
                <w:szCs w:val="22"/>
              </w:rPr>
            </w:r>
          </w:p>
          <w:p>
            <w:pPr>
              <w:pStyle w:val="906"/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высокая стоимость туристских продуктов;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        - малое количество гостиничных средств размещения с современным уровнем комфорта;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        - недостаточно высокое качество регионального туристского продукта, у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ровня гостеприимства, безопасности и доступности услуг;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         - дефицит квалифицированных кадров, что определяет невысокое качество обслуживания во всех секторах туристской индустрии;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         - высокая стоимость проживания, питания, транспортного и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иного туристского обслуживания;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         - недостаточно развита транспортная инфраструктура (низкое качество дорог и уровня придорожного обслуживания) и другие. 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Вместе с тем, основой туристской привлекательности Арктической зоны как раз и являются осо</w:t>
            </w:r>
            <w:r>
              <w:rPr>
                <w:sz w:val="22"/>
                <w:szCs w:val="22"/>
              </w:rPr>
              <w:t xml:space="preserve">бенности географического положения, труднодоступность, природно-климатическая специфика, уникальные явления природы (полярный день и полярная ночь, северное сияние) и северная экзотика (низкие температуры, незамерзающий Кольский залив, снег в июле).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>
              <w:rPr>
                <w:sz w:val="22"/>
                <w:szCs w:val="22"/>
              </w:rPr>
              <w:t xml:space="preserve">                                                        </w:t>
            </w:r>
            <w:r>
              <w:rPr>
                <w:b/>
                <w:sz w:val="22"/>
                <w:szCs w:val="22"/>
              </w:rPr>
              <w:t xml:space="preserve">VI. Перспективы развития рынка</w:t>
            </w:r>
            <w:r>
              <w:rPr>
                <w:b/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Основными перспективными направлениями развития рынка являются: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создание условий для удовлетворения потребности российских и иностранных граждан в качественных туристских услугах и, как следствие, активизация внутреннего и въездного туризма;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повышение конкурентоспособности услуг в сфере туризма;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развитие приорите</w:t>
            </w:r>
            <w:r>
              <w:rPr>
                <w:sz w:val="22"/>
                <w:szCs w:val="22"/>
              </w:rPr>
              <w:t xml:space="preserve">тных межмуниципальных и межрегиональных туристских маршрутов;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осуществление государственной поддержки хозяйствующих субъектов, занятых в сфере туризма;</w:t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создание и модернизации туристической инфраструктуры.</w:t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gridAfter w:val="2"/>
          <w:trHeight w:val="50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ind w:right="12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</w:t>
            </w:r>
            <w:r>
              <w:rPr>
                <w:sz w:val="22"/>
                <w:szCs w:val="22"/>
              </w:rPr>
              <w:t xml:space="preserve">нтной среды на рынке 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ind w:right="1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ind w:right="13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Консультант по приграничному сотрудничеству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2"/>
          <w:trHeight w:val="50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10.2.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ind w:right="12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информации для туристов</w:t>
            </w:r>
            <w:r>
              <w:rPr>
                <w:sz w:val="22"/>
                <w:szCs w:val="22"/>
              </w:rPr>
              <w:t xml:space="preserve"> Печенгского муниципального округа на сайте Печенгского муниципального округа, в социальных сетях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ind w:right="1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Недостаточный уровень информированности населения о возможности внутреннего туризма и низкий уровень потребления услуг данного рынка 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Печенгского муниципального округа «Экономический потенциал», отчет о реализации муниципальной программы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ind w:right="13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Развитие туристической инфраструктуры Печенгского муниципального округа, повышение информированности насе</w:t>
            </w:r>
            <w:r>
              <w:rPr>
                <w:sz w:val="22"/>
                <w:szCs w:val="22"/>
              </w:rPr>
              <w:t xml:space="preserve">ления о возможности внутреннего туризма, повышение уровня потребления услуг данного рынка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</w:tbl>
    <w:p>
      <w:pPr>
        <w:spacing w:after="269"/>
      </w:pPr>
      <w:r/>
      <w:r/>
    </w:p>
    <w:p>
      <w:pPr>
        <w:numPr>
          <w:ilvl w:val="0"/>
          <w:numId w:val="2"/>
        </w:numPr>
        <w:ind w:firstLine="374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Ключевые показатели эффективности реализации системных мероприятий, направленных на развитие конкуренции  в      </w:t>
      </w:r>
      <w:r>
        <w:rPr>
          <w:b/>
          <w:sz w:val="24"/>
          <w:szCs w:val="24"/>
        </w:rPr>
        <w:t xml:space="preserve">Печенгском</w:t>
      </w:r>
      <w:r>
        <w:rPr>
          <w:b/>
          <w:sz w:val="24"/>
          <w:szCs w:val="24"/>
        </w:rPr>
        <w:t xml:space="preserve"> муниципальном округе</w:t>
      </w:r>
      <w:r>
        <w:rPr>
          <w:sz w:val="24"/>
          <w:szCs w:val="24"/>
        </w:rPr>
      </w:r>
    </w:p>
    <w:p>
      <w:pPr>
        <w:ind w:right="10"/>
        <w:jc w:val="center"/>
      </w:pPr>
      <w:r>
        <w:rPr>
          <w:b/>
          <w:sz w:val="24"/>
        </w:rPr>
        <w:t xml:space="preserve"> </w:t>
      </w:r>
      <w:r/>
    </w:p>
    <w:tbl>
      <w:tblPr>
        <w:tblW w:w="15701" w:type="dxa"/>
        <w:tblInd w:w="-113" w:type="dxa"/>
        <w:tblLayout w:type="fixed"/>
        <w:tblCellMar>
          <w:top w:w="7" w:type="dxa"/>
          <w:right w:w="58" w:type="dxa"/>
        </w:tblCellMar>
        <w:tblLook w:val="04A0" w:firstRow="1" w:lastRow="0" w:firstColumn="1" w:lastColumn="0" w:noHBand="0" w:noVBand="1"/>
      </w:tblPr>
      <w:tblGrid>
        <w:gridCol w:w="985"/>
        <w:gridCol w:w="2656"/>
        <w:gridCol w:w="2421"/>
        <w:gridCol w:w="1295"/>
        <w:gridCol w:w="1278"/>
        <w:gridCol w:w="1278"/>
        <w:gridCol w:w="1278"/>
        <w:gridCol w:w="1278"/>
        <w:gridCol w:w="3232"/>
      </w:tblGrid>
      <w:tr>
        <w:tblPrEx/>
        <w:trPr>
          <w:trHeight w:val="701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textDirection w:val="lrTb"/>
            <w:noWrap w:val="false"/>
          </w:tcPr>
          <w:p>
            <w:pPr>
              <w:ind w:hanging="2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Пункт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стандар</w:t>
            </w:r>
            <w:r>
              <w:rPr>
                <w:b/>
                <w:sz w:val="22"/>
                <w:szCs w:val="22"/>
              </w:rPr>
            </w:r>
          </w:p>
          <w:p>
            <w:pPr>
              <w:ind w:hanging="2"/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та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Сокращенное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наименование</w:t>
            </w:r>
            <w:r>
              <w:rPr>
                <w:b/>
                <w:sz w:val="22"/>
                <w:szCs w:val="22"/>
                <w:lang w:val="en-US"/>
              </w:rPr>
              <w:t xml:space="preserve">  </w:t>
            </w:r>
            <w:r>
              <w:rPr>
                <w:b/>
                <w:sz w:val="22"/>
                <w:szCs w:val="22"/>
                <w:lang w:val="en-US"/>
              </w:rPr>
              <w:t xml:space="preserve">системного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мероприятия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Ключевые показатели эффективности реализации системного мероприятия 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31.12.202</w:t>
            </w:r>
            <w:r>
              <w:rPr>
                <w:b/>
                <w:sz w:val="22"/>
                <w:szCs w:val="22"/>
              </w:rPr>
              <w:t xml:space="preserve">6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31.12.202</w:t>
            </w:r>
            <w:r>
              <w:rPr>
                <w:b/>
                <w:sz w:val="22"/>
                <w:szCs w:val="22"/>
              </w:rPr>
              <w:t xml:space="preserve">7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31.12.2028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31.12.2029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31.12.20</w:t>
            </w:r>
            <w:r>
              <w:rPr>
                <w:b/>
                <w:sz w:val="22"/>
                <w:szCs w:val="22"/>
              </w:rPr>
              <w:t xml:space="preserve">30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ind w:hanging="31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Ответственный исполнитель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4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пп</w:t>
            </w:r>
            <w:r>
              <w:rPr>
                <w:sz w:val="22"/>
                <w:szCs w:val="22"/>
                <w:lang w:val="en-US"/>
              </w:rPr>
              <w:t xml:space="preserve">. «а» п. </w:t>
            </w: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Развитие конкурентоспособности товаров, работ, услуг субъектов малого и среднего предпринимательства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субъектов малого и среднего предпринимательства (включая индивидуальных предпринимателей)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682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683</w:t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683</w:t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684</w:t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</w:rPr>
              <w:t xml:space="preserve">Сектор по инвестиционной деятельности </w:t>
            </w:r>
            <w:r>
              <w:rPr>
                <w:sz w:val="22"/>
                <w:szCs w:val="22"/>
                <w:highlight w:val="green"/>
              </w:rPr>
            </w:r>
          </w:p>
        </w:tc>
      </w:tr>
      <w:tr>
        <w:tblPrEx/>
        <w:trPr>
          <w:trHeight w:val="268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пп</w:t>
            </w:r>
            <w:r>
              <w:rPr>
                <w:sz w:val="22"/>
                <w:szCs w:val="22"/>
              </w:rPr>
              <w:t xml:space="preserve">. «б» п. 16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Среднее количество участников закупок «малого объема», осуществленных на региональной торговой площадке, ед. 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менее</w:t>
            </w:r>
            <w:r>
              <w:rPr>
                <w:sz w:val="22"/>
                <w:szCs w:val="22"/>
                <w:lang w:val="en-US"/>
              </w:rPr>
              <w:t xml:space="preserve"> 2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менее</w:t>
            </w:r>
            <w:r>
              <w:rPr>
                <w:sz w:val="22"/>
                <w:szCs w:val="22"/>
                <w:lang w:val="en-US"/>
              </w:rPr>
              <w:t xml:space="preserve"> 2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менее</w:t>
            </w:r>
            <w:r>
              <w:rPr>
                <w:sz w:val="22"/>
                <w:szCs w:val="22"/>
                <w:lang w:val="en-US"/>
              </w:rPr>
              <w:t xml:space="preserve"> 2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менее</w:t>
            </w:r>
            <w:r>
              <w:rPr>
                <w:sz w:val="22"/>
                <w:szCs w:val="22"/>
                <w:lang w:val="en-US"/>
              </w:rPr>
              <w:t xml:space="preserve"> 2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менее</w:t>
            </w:r>
            <w:r>
              <w:rPr>
                <w:sz w:val="22"/>
                <w:szCs w:val="22"/>
                <w:lang w:val="en-US"/>
              </w:rPr>
              <w:t xml:space="preserve"> 2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сопровождению деятельности муниципальных заказчиков МКУ «Управление по обеспечению деятельности администрации Печенгского  округа»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85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</w:t>
            </w:r>
            <w:r>
              <w:rPr>
                <w:sz w:val="22"/>
                <w:szCs w:val="22"/>
                <w:lang w:val="en-US"/>
              </w:rPr>
              <w:t xml:space="preserve">. «</w:t>
            </w:r>
            <w:r>
              <w:rPr>
                <w:sz w:val="22"/>
                <w:szCs w:val="22"/>
              </w:rPr>
              <w:t xml:space="preserve">в</w:t>
            </w:r>
            <w:r>
              <w:rPr>
                <w:sz w:val="22"/>
                <w:szCs w:val="22"/>
                <w:lang w:val="en-US"/>
              </w:rPr>
              <w:t xml:space="preserve">» п. </w:t>
            </w: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Устранение избыточного государственного и муниципального регулирования, а также снижение административных барьеров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нарушений антимонопольного законодательства со стороны органов местного самоуправления, 3 – положительная динамика, 2 – динамика </w:t>
            </w:r>
            <w:r>
              <w:rPr>
                <w:sz w:val="22"/>
                <w:szCs w:val="22"/>
              </w:rPr>
              <w:t xml:space="preserve">отсутствует, 1 – отрицательная динамика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размещению муниципальных закупок администрации Печенгского муниципального округа,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юридический отдел администрации Печенгского муниципального округа (далее – юридический отдел)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62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</w:t>
            </w:r>
            <w:r>
              <w:rPr>
                <w:sz w:val="22"/>
                <w:szCs w:val="22"/>
                <w:lang w:val="en-US"/>
              </w:rPr>
              <w:t xml:space="preserve">. «</w:t>
            </w:r>
            <w:r>
              <w:rPr>
                <w:sz w:val="22"/>
                <w:szCs w:val="22"/>
              </w:rPr>
              <w:t xml:space="preserve">г</w:t>
            </w:r>
            <w:r>
              <w:rPr>
                <w:sz w:val="22"/>
                <w:szCs w:val="22"/>
                <w:lang w:val="en-US"/>
              </w:rPr>
              <w:t xml:space="preserve">» п. </w:t>
            </w: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Совершенствование процессов управления объектами муниципальной  собственности в рамках полномочий органов </w:t>
            </w:r>
            <w:r>
              <w:rPr>
                <w:sz w:val="22"/>
                <w:szCs w:val="22"/>
              </w:rPr>
              <w:t xml:space="preserve">местного самоуправления, закрепленных за ними законодательством Российской Федерации, объектами муниципальной собственности, а также на ограничение вл</w:t>
            </w:r>
            <w:r>
              <w:rPr>
                <w:sz w:val="22"/>
                <w:szCs w:val="22"/>
              </w:rPr>
              <w:t xml:space="preserve">ияния государственных и муниципальных предприятий и учреждений на конкуренцию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исполненных прогнозных планов (программ) приватизации муниципального имущества к общему </w:t>
            </w:r>
            <w:r>
              <w:rPr>
                <w:sz w:val="22"/>
                <w:szCs w:val="22"/>
              </w:rPr>
              <w:t xml:space="preserve">количеству утвержденных прогнозных планов (программ) приватизации муниципального иму</w:t>
            </w:r>
            <w:r>
              <w:rPr>
                <w:sz w:val="22"/>
                <w:szCs w:val="22"/>
              </w:rPr>
              <w:t xml:space="preserve">щества, %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51,0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52,0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618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объектов недвижимого имущества, закрепленного за муниципальными учреждениями и унитарными предприятиями, реализация которых осуществлена конкурентными способами, %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162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</w:t>
            </w:r>
            <w:r>
              <w:rPr>
                <w:sz w:val="22"/>
                <w:szCs w:val="22"/>
                <w:lang w:val="en-US"/>
              </w:rPr>
              <w:t xml:space="preserve">. «е» п. </w:t>
            </w: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</w:t>
            </w:r>
            <w:r>
              <w:rPr>
                <w:sz w:val="22"/>
                <w:szCs w:val="22"/>
              </w:rPr>
              <w:t xml:space="preserve">благоприятной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среды для развития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конкуренции </w:t>
            </w:r>
            <w:r>
              <w:rPr>
                <w:sz w:val="22"/>
                <w:szCs w:val="22"/>
              </w:rPr>
              <w:t xml:space="preserve">на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финансовом </w:t>
            </w:r>
            <w:r>
              <w:rPr>
                <w:sz w:val="22"/>
                <w:szCs w:val="22"/>
              </w:rPr>
              <w:t xml:space="preserve">рынке</w:t>
            </w:r>
            <w:r>
              <w:rPr>
                <w:sz w:val="22"/>
                <w:szCs w:val="22"/>
              </w:rPr>
              <w:t xml:space="preserve"> 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доступности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финансовых услуг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(продуктов) </w:t>
            </w:r>
            <w:r>
              <w:rPr>
                <w:sz w:val="22"/>
                <w:szCs w:val="22"/>
              </w:rPr>
              <w:t xml:space="preserve">для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физических 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юридических лиц, в том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</w:t>
            </w:r>
            <w:r>
              <w:rPr>
                <w:sz w:val="22"/>
                <w:szCs w:val="22"/>
              </w:rPr>
              <w:t xml:space="preserve"> субъектов малого 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среднего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предпринимательства 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социально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ориентированных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некоммерческих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организаций (в части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содействия созданию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условий для принятия участниками </w:t>
            </w:r>
            <w:r>
              <w:rPr>
                <w:sz w:val="22"/>
                <w:szCs w:val="22"/>
              </w:rPr>
              <w:t xml:space="preserve">экономической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 </w:t>
            </w:r>
            <w:r>
              <w:rPr>
                <w:sz w:val="22"/>
                <w:szCs w:val="22"/>
              </w:rPr>
              <w:t xml:space="preserve">осознанных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решений </w:t>
            </w:r>
            <w:r>
              <w:rPr>
                <w:sz w:val="22"/>
                <w:szCs w:val="22"/>
              </w:rPr>
              <w:t xml:space="preserve">при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использовании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финансовых услуг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(продуктов), в том числе </w:t>
            </w:r>
            <w:r>
              <w:rPr>
                <w:sz w:val="22"/>
                <w:szCs w:val="22"/>
              </w:rPr>
              <w:t xml:space="preserve">в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рамках</w:t>
            </w:r>
            <w:r>
              <w:rPr>
                <w:sz w:val="22"/>
                <w:szCs w:val="22"/>
              </w:rPr>
              <w:t xml:space="preserve"> повышения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финансовой грамотности)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r>
              <w:rPr>
                <w:sz w:val="22"/>
                <w:szCs w:val="22"/>
              </w:rPr>
              <w:t xml:space="preserve">проведенных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мероприятий, направленных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повышение </w:t>
            </w:r>
            <w:r>
              <w:rPr>
                <w:sz w:val="22"/>
                <w:szCs w:val="22"/>
              </w:rPr>
              <w:t xml:space="preserve">финансовой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грамотности и формирование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финансовой культуры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населения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Финансовое управление администрации Печенгского муниципального округа (далее – ФИНУ)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8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98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</w:t>
            </w:r>
            <w:r>
              <w:rPr>
                <w:sz w:val="22"/>
                <w:szCs w:val="22"/>
                <w:lang w:val="en-US"/>
              </w:rPr>
              <w:t xml:space="preserve">. «</w:t>
            </w:r>
            <w:r>
              <w:rPr>
                <w:sz w:val="22"/>
                <w:szCs w:val="22"/>
              </w:rPr>
              <w:t xml:space="preserve">а</w:t>
            </w:r>
            <w:r>
              <w:rPr>
                <w:sz w:val="22"/>
                <w:szCs w:val="22"/>
                <w:lang w:val="en-US"/>
              </w:rPr>
              <w:t xml:space="preserve">» п. </w:t>
            </w:r>
            <w:r>
              <w:rPr>
                <w:sz w:val="22"/>
                <w:szCs w:val="22"/>
              </w:rPr>
              <w:t xml:space="preserve">17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объема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закупок отдельных видов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юридических лиц,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участниками</w:t>
            </w:r>
            <w:r>
              <w:rPr>
                <w:sz w:val="22"/>
                <w:szCs w:val="22"/>
              </w:rPr>
              <w:t xml:space="preserve"> которых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являются только субъекты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малого и среднего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предпринимательства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закупок отдельных видов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юридических лиц,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участниками</w:t>
            </w:r>
            <w:r>
              <w:rPr>
                <w:sz w:val="22"/>
                <w:szCs w:val="22"/>
              </w:rPr>
              <w:t xml:space="preserve"> которых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являются только субъекты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малого и среднего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предпринимательства, %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менее</w:t>
            </w:r>
            <w:r>
              <w:rPr>
                <w:sz w:val="22"/>
                <w:szCs w:val="22"/>
                <w:lang w:val="en-US"/>
              </w:rPr>
              <w:t xml:space="preserve"> 25,0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менее</w:t>
            </w:r>
            <w:r>
              <w:rPr>
                <w:sz w:val="22"/>
                <w:szCs w:val="22"/>
                <w:lang w:val="en-US"/>
              </w:rPr>
              <w:t xml:space="preserve"> 25,0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25,0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25,0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менее</w:t>
            </w:r>
            <w:r>
              <w:rPr>
                <w:sz w:val="22"/>
                <w:szCs w:val="22"/>
                <w:lang w:val="en-US"/>
              </w:rPr>
              <w:t xml:space="preserve"> 25,0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tabs>
                <w:tab w:val="center" w:pos="616" w:leader="none"/>
                <w:tab w:val="center" w:pos="218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размещению муниципальных закупок администрации Печенгского муниципального округа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87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ведомственного контроля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соответствии со статьей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 Федерального закона от 18.07.2011 № 223-ФЗ «О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закупках</w:t>
            </w:r>
            <w:r>
              <w:rPr>
                <w:sz w:val="22"/>
                <w:szCs w:val="22"/>
              </w:rPr>
              <w:t xml:space="preserve"> товаров, работ,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услуг отдельными видами юридических лиц»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r>
              <w:rPr>
                <w:sz w:val="22"/>
                <w:szCs w:val="22"/>
              </w:rPr>
              <w:t xml:space="preserve">проведенных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мероприятий </w:t>
            </w:r>
            <w:r>
              <w:rPr>
                <w:sz w:val="22"/>
                <w:szCs w:val="22"/>
              </w:rPr>
              <w:t xml:space="preserve">ведомственного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контроля в соответствии </w:t>
            </w:r>
            <w:r>
              <w:rPr>
                <w:sz w:val="22"/>
                <w:szCs w:val="22"/>
              </w:rPr>
              <w:t xml:space="preserve">со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статьей 6.1 Федерального закона от 18.07.2011 № 223-ФЗ «</w:t>
            </w:r>
            <w:r>
              <w:rPr>
                <w:sz w:val="22"/>
                <w:szCs w:val="22"/>
              </w:rPr>
              <w:t xml:space="preserve">О закупках товаров, работ,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услуг отдельными видами юридических лиц», шт.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Контрольно-ревизионный отдел администрации Печенгского муниципального округа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07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пп</w:t>
            </w:r>
            <w:r>
              <w:rPr>
                <w:sz w:val="22"/>
                <w:szCs w:val="22"/>
              </w:rPr>
              <w:t xml:space="preserve">. «б» п.17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равных условий доступа к информации о муниципальном имуществе Печенгского муниципального округа, в том числе имуществе, включаемом в перечни для предоставления на льготных условиях субъектам малого и среднего предпринимательства, о реализации т</w:t>
            </w:r>
            <w:r>
              <w:rPr>
                <w:sz w:val="22"/>
                <w:szCs w:val="22"/>
              </w:rPr>
              <w:t xml:space="preserve">акого имущества или предоставлении его во владение и (или) пользование, а также о ресурсах всех видов, находящихся в собственности Печенгского муниципального округа, путем размещения указанной информации на официальном сайте</w:t>
            </w:r>
            <w:r>
              <w:rPr>
                <w:sz w:val="22"/>
                <w:szCs w:val="22"/>
              </w:rPr>
              <w:t xml:space="preserve"> Печенгского муниципального окру</w:t>
            </w:r>
            <w:r>
              <w:rPr>
                <w:sz w:val="22"/>
                <w:szCs w:val="22"/>
              </w:rPr>
              <w:t xml:space="preserve">га в сети Интернет для размещения информации о проведении торгов (www.torgi.gov.ru) и на официальном сайте уполномоченного органа в сети Интернет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Актуальная информация об объектах недвижимого имущества, находящихся в муниципальной собственности размещена, 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да- 1, нет - 0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9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98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пп</w:t>
            </w:r>
            <w:r>
              <w:rPr>
                <w:sz w:val="22"/>
                <w:szCs w:val="22"/>
              </w:rPr>
              <w:t xml:space="preserve">. «г» п.17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656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Обучение муниципальных служащих основам государственной политики в области развития конкуренции и антимонопольного законодательства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Российской Федерации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муниципальных служащих Печенгского</w:t>
            </w:r>
            <w:r>
              <w:rPr>
                <w:sz w:val="22"/>
                <w:szCs w:val="22"/>
              </w:rPr>
              <w:t xml:space="preserve"> муниципального округа, прошедших </w:t>
            </w:r>
            <w:r>
              <w:rPr>
                <w:sz w:val="22"/>
                <w:szCs w:val="22"/>
              </w:rPr>
              <w:t xml:space="preserve">обучение по программе</w:t>
            </w:r>
            <w:r>
              <w:rPr>
                <w:sz w:val="22"/>
                <w:szCs w:val="22"/>
              </w:rPr>
              <w:t xml:space="preserve"> дополнительного профессионального образования «Основы государственной политики по развитию конкуренции и антимонопольного законодательства, чел. в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</w:t>
            </w:r>
            <w:r>
              <w:rPr>
                <w:sz w:val="22"/>
                <w:szCs w:val="22"/>
              </w:rPr>
              <w:t xml:space="preserve">нее 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муниципальной службы и кадров администрации Печенгского муниципального округа (далее – сектор муниципальной службы и кадров)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779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мероприятиях, проводимых Комитетом по конкурентной политике Мурманской области, Мурманским УФАС России для государственных и муниципальных служащих региона, а также работников подведомственных предприятий и учреждений по вопросам разъяснения </w:t>
            </w:r>
            <w:r>
              <w:rPr>
                <w:sz w:val="22"/>
                <w:szCs w:val="22"/>
              </w:rPr>
              <w:t xml:space="preserve">анти</w:t>
            </w:r>
            <w:r>
              <w:rPr>
                <w:sz w:val="22"/>
                <w:szCs w:val="22"/>
              </w:rPr>
              <w:t xml:space="preserve">монопольного законодательства, ед. в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Печенгского муниципального округа, ОЭР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9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пп</w:t>
            </w:r>
            <w:r>
              <w:rPr>
                <w:sz w:val="22"/>
                <w:szCs w:val="22"/>
              </w:rPr>
              <w:t xml:space="preserve">. «д» п.17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Недопущение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ограничения конкуренции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предоставлении мер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поддержки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производителям товаров,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работ, услуг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нарушений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антимонопольного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законодательства со стороны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органов </w:t>
            </w:r>
            <w:r>
              <w:rPr>
                <w:sz w:val="22"/>
                <w:szCs w:val="22"/>
              </w:rPr>
              <w:t xml:space="preserve">государственной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власти, 3 – </w:t>
            </w:r>
            <w:r>
              <w:rPr>
                <w:sz w:val="22"/>
                <w:szCs w:val="22"/>
              </w:rPr>
              <w:t xml:space="preserve">положительная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динамика, 2 – динамика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отсутствует, 1 – отрицательная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динамика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размещению муниципальных закупок администраци</w:t>
            </w:r>
            <w:r>
              <w:rPr>
                <w:sz w:val="22"/>
                <w:szCs w:val="22"/>
              </w:rPr>
              <w:t xml:space="preserve">и Печенгского муниципального округа, юридический отдел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9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пп</w:t>
            </w:r>
            <w:r>
              <w:rPr>
                <w:sz w:val="22"/>
                <w:szCs w:val="22"/>
              </w:rPr>
              <w:t xml:space="preserve">. «ж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» п.17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</w:t>
            </w:r>
            <w:r>
              <w:rPr>
                <w:sz w:val="22"/>
                <w:szCs w:val="22"/>
              </w:rPr>
              <w:t xml:space="preserve">целевого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использования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государственных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(муниципальных)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объектов </w:t>
            </w:r>
            <w:r>
              <w:rPr>
                <w:sz w:val="22"/>
                <w:szCs w:val="22"/>
              </w:rPr>
              <w:t xml:space="preserve">недвижимого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имущества в социальной сфере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объектов </w:t>
            </w:r>
            <w:r>
              <w:rPr>
                <w:sz w:val="22"/>
                <w:szCs w:val="22"/>
              </w:rPr>
              <w:t xml:space="preserve">недвижимого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имущества в </w:t>
            </w:r>
            <w:r>
              <w:rPr>
                <w:sz w:val="22"/>
                <w:szCs w:val="22"/>
              </w:rPr>
              <w:t xml:space="preserve">социальной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сфере, не </w:t>
            </w:r>
            <w:r>
              <w:rPr>
                <w:sz w:val="22"/>
                <w:szCs w:val="22"/>
              </w:rPr>
              <w:t xml:space="preserve">используемого</w:t>
            </w:r>
            <w:r>
              <w:rPr>
                <w:sz w:val="22"/>
                <w:szCs w:val="22"/>
              </w:rPr>
              <w:t xml:space="preserve"> при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уставной деятельности и не</w:t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вовлеченного</w:t>
            </w:r>
            <w:r>
              <w:rPr>
                <w:sz w:val="22"/>
                <w:szCs w:val="22"/>
              </w:rPr>
              <w:t xml:space="preserve"> в хозяйственный оборот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69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</w:t>
            </w:r>
            <w:r>
              <w:rPr>
                <w:sz w:val="22"/>
                <w:szCs w:val="22"/>
                <w:lang w:val="en-US"/>
              </w:rPr>
              <w:t xml:space="preserve">. «</w:t>
            </w:r>
            <w:r>
              <w:rPr>
                <w:sz w:val="22"/>
                <w:szCs w:val="22"/>
              </w:rPr>
              <w:t xml:space="preserve">ж3</w:t>
            </w:r>
            <w:r>
              <w:rPr>
                <w:sz w:val="22"/>
                <w:szCs w:val="22"/>
                <w:lang w:val="en-US"/>
              </w:rPr>
              <w:t xml:space="preserve">» п. </w:t>
            </w:r>
            <w:r>
              <w:rPr>
                <w:sz w:val="22"/>
                <w:szCs w:val="22"/>
              </w:rPr>
              <w:t xml:space="preserve">17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Содействие развитию негосударственных (немуниципальных) социально ориентированных некоммерческих организаций и «социального предпринимательства»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СО НКО, за исключением государственных (муниципальных) учреждений, на территории Печенгского муници</w:t>
            </w:r>
            <w:r>
              <w:rPr>
                <w:sz w:val="22"/>
                <w:szCs w:val="22"/>
              </w:rPr>
              <w:t xml:space="preserve">пального округа, ед.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</w:pPr>
            <w:r>
              <w:t xml:space="preserve">26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</w:pPr>
            <w:r>
              <w:t xml:space="preserve">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28</w:t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 администрации Печенгского муниципального округа (дале</w:t>
            </w:r>
            <w:r>
              <w:rPr>
                <w:sz w:val="22"/>
                <w:szCs w:val="22"/>
              </w:rPr>
              <w:t xml:space="preserve">е-</w:t>
            </w:r>
            <w:r>
              <w:rPr>
                <w:sz w:val="22"/>
                <w:szCs w:val="22"/>
              </w:rPr>
              <w:t xml:space="preserve"> отдел образования),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 спорта и молодежной политики администрации Печенгского</w:t>
            </w:r>
            <w:r>
              <w:rPr>
                <w:sz w:val="22"/>
                <w:szCs w:val="22"/>
              </w:rPr>
              <w:t xml:space="preserve"> муниципального округа (далее – отдел культуры, спорта и молодежной политики),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 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07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пп</w:t>
            </w:r>
            <w:r>
              <w:rPr>
                <w:sz w:val="22"/>
                <w:szCs w:val="22"/>
              </w:rPr>
              <w:t xml:space="preserve">. «ж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» п.17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Стимулирование новых предпринимательских инициатив за счет проведения информационно-консультационных и образовательных мероприятий, обеспечивающих возмож</w:t>
            </w:r>
            <w:r>
              <w:rPr>
                <w:sz w:val="22"/>
                <w:szCs w:val="22"/>
              </w:rPr>
              <w:t xml:space="preserve">ности для поиска, отбора и обучения потенциальных предпринимателей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субъектов малого и среднего предпринимательства и граждан, желающих вести бизнес, получивших услуги и меры поддержки организаций инфраструктуры поддержки малого и среднего предпр</w:t>
            </w:r>
            <w:r>
              <w:rPr>
                <w:sz w:val="22"/>
                <w:szCs w:val="22"/>
              </w:rPr>
              <w:t xml:space="preserve">инимательства (нарастающим итогом), чел.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пп</w:t>
            </w:r>
            <w:r>
              <w:rPr>
                <w:sz w:val="22"/>
                <w:szCs w:val="22"/>
              </w:rPr>
              <w:t xml:space="preserve">. «ж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  <w:t xml:space="preserve">» п.17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Выявление одарен</w:t>
            </w:r>
            <w:r>
              <w:rPr>
                <w:sz w:val="22"/>
                <w:szCs w:val="22"/>
              </w:rPr>
              <w:t xml:space="preserve">ных детей и молодежи, развитие их талантов и способностей, в том числе с использованием механизмов наставничества и дистанционного обучения в электронной форме, а </w:t>
            </w:r>
            <w:r>
              <w:rPr>
                <w:sz w:val="22"/>
                <w:szCs w:val="22"/>
              </w:rPr>
              <w:t xml:space="preserve">также социальная поддержка молодых специалистов в различных сферах экономической деятельности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ind w:right="137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Доля участников конкурсных мероприятий различных направленностей муниципального уровня (в </w:t>
            </w:r>
            <w:r>
              <w:rPr>
                <w:color w:val="auto"/>
                <w:sz w:val="22"/>
                <w:szCs w:val="22"/>
              </w:rPr>
              <w:t xml:space="preserve">т.ч</w:t>
            </w:r>
            <w:r>
              <w:rPr>
                <w:color w:val="auto"/>
                <w:sz w:val="22"/>
                <w:szCs w:val="22"/>
              </w:rPr>
              <w:t xml:space="preserve">. муниципальные этапы мероприятий </w:t>
            </w:r>
            <w:r>
              <w:rPr>
                <w:color w:val="auto"/>
                <w:sz w:val="22"/>
                <w:szCs w:val="22"/>
              </w:rPr>
              <w:t xml:space="preserve">всероссийского и международного уровней), от общей численности школьников, %  </w:t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56,2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56,5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56,5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56,5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56,5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образования, 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 спорта и молодежной политики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</w:t>
            </w:r>
            <w:r>
              <w:rPr>
                <w:sz w:val="22"/>
                <w:szCs w:val="22"/>
                <w:lang w:val="en-US"/>
              </w:rPr>
              <w:t xml:space="preserve">. «</w:t>
            </w:r>
            <w:r>
              <w:rPr>
                <w:sz w:val="22"/>
                <w:szCs w:val="22"/>
              </w:rPr>
              <w:t xml:space="preserve">ж9</w:t>
            </w:r>
            <w:r>
              <w:rPr>
                <w:sz w:val="22"/>
                <w:szCs w:val="22"/>
                <w:lang w:val="en-US"/>
              </w:rPr>
              <w:t xml:space="preserve">» п. </w:t>
            </w:r>
            <w:r>
              <w:rPr>
                <w:sz w:val="22"/>
                <w:szCs w:val="22"/>
              </w:rPr>
              <w:t xml:space="preserve">17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Информационное обеспечение развития конкуренции на территории Печенгского муниципального округа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1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Доклад о состоянии и развитии конкурентной среды на рынках товаров, работ, услуг Печенгского</w:t>
            </w:r>
            <w:r>
              <w:rPr>
                <w:sz w:val="22"/>
                <w:szCs w:val="22"/>
              </w:rPr>
              <w:t xml:space="preserve"> муниципального округа размещен на официальном сайте Печенгского муниципального округа, да – 1, нет - 0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both"/>
      </w:pPr>
      <w:r>
        <w:rPr>
          <w:sz w:val="28"/>
        </w:rPr>
        <w:t xml:space="preserve"> </w:t>
      </w:r>
      <w:r/>
    </w:p>
    <w:p>
      <w:pPr>
        <w:numPr>
          <w:ilvl w:val="0"/>
          <w:numId w:val="2"/>
        </w:numPr>
        <w:ind w:firstLine="372"/>
        <w:jc w:val="center"/>
        <w:spacing w:after="13" w:line="27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 («дорожная карта») по реализации системных мероприятий, направленных на развитие конкуренции в </w:t>
      </w:r>
      <w:r>
        <w:rPr>
          <w:b/>
          <w:sz w:val="24"/>
          <w:szCs w:val="24"/>
        </w:rPr>
        <w:t xml:space="preserve">Печенгском</w:t>
      </w:r>
      <w:r>
        <w:rPr>
          <w:b/>
          <w:sz w:val="24"/>
          <w:szCs w:val="24"/>
        </w:rPr>
        <w:t xml:space="preserve"> муниципальном округе</w:t>
      </w:r>
      <w:r>
        <w:rPr>
          <w:sz w:val="24"/>
          <w:szCs w:val="24"/>
        </w:rPr>
      </w:r>
    </w:p>
    <w:p>
      <w:r>
        <w:rPr>
          <w:b/>
          <w:sz w:val="28"/>
        </w:rPr>
        <w:t xml:space="preserve"> </w:t>
      </w:r>
      <w:r/>
    </w:p>
    <w:tbl>
      <w:tblPr>
        <w:tblW w:w="15583" w:type="dxa"/>
        <w:tblInd w:w="-112" w:type="dxa"/>
        <w:tblLayout w:type="fixed"/>
        <w:tblCellMar>
          <w:left w:w="104" w:type="dxa"/>
          <w:top w:w="7" w:type="dxa"/>
          <w:right w:w="5" w:type="dxa"/>
        </w:tblCellMar>
        <w:tblLook w:val="04A0" w:firstRow="1" w:lastRow="0" w:firstColumn="1" w:lastColumn="0" w:noHBand="0" w:noVBand="1"/>
      </w:tblPr>
      <w:tblGrid>
        <w:gridCol w:w="706"/>
        <w:gridCol w:w="2625"/>
        <w:gridCol w:w="47"/>
        <w:gridCol w:w="2541"/>
        <w:gridCol w:w="54"/>
        <w:gridCol w:w="2356"/>
        <w:gridCol w:w="50"/>
        <w:gridCol w:w="2910"/>
        <w:gridCol w:w="7"/>
        <w:gridCol w:w="47"/>
        <w:gridCol w:w="1543"/>
        <w:gridCol w:w="24"/>
        <w:gridCol w:w="38"/>
        <w:gridCol w:w="42"/>
        <w:gridCol w:w="2593"/>
      </w:tblGrid>
      <w:tr>
        <w:tblPrEx/>
        <w:trPr>
          <w:trHeight w:val="931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п/п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Наименование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мероприятия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Проблема, на решение которой направлено </w:t>
            </w:r>
            <w:r>
              <w:rPr>
                <w:b/>
                <w:sz w:val="22"/>
                <w:szCs w:val="22"/>
              </w:rPr>
              <w:t xml:space="preserve">меро</w:t>
            </w:r>
            <w:r>
              <w:rPr>
                <w:b/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приятие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Вид правового акта или показатель, </w:t>
            </w:r>
            <w:r>
              <w:rPr>
                <w:b/>
                <w:sz w:val="22"/>
                <w:szCs w:val="22"/>
              </w:rPr>
              <w:t xml:space="preserve">характери</w:t>
            </w:r>
            <w:r>
              <w:rPr>
                <w:b/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зующий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реализацию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мероприятия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Результат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реализации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мероприятия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Сроки разработки и реализации мероприятия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Ответственные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исполнители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25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1.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Развитие конкурентоспособности товаров, работ, услуг субъектов малого и среднего предпринимательства (</w:t>
            </w:r>
            <w:r>
              <w:rPr>
                <w:b/>
                <w:sz w:val="22"/>
                <w:szCs w:val="22"/>
              </w:rPr>
              <w:t xml:space="preserve">пп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  <w:lang w:val="en-US"/>
              </w:rPr>
              <w:t xml:space="preserve">«а» п.</w:t>
            </w:r>
            <w:r>
              <w:rPr>
                <w:b/>
                <w:sz w:val="22"/>
                <w:szCs w:val="22"/>
              </w:rPr>
              <w:t xml:space="preserve">16</w:t>
            </w:r>
            <w:r>
              <w:rPr>
                <w:b/>
                <w:sz w:val="22"/>
                <w:szCs w:val="22"/>
                <w:lang w:val="en-US"/>
              </w:rPr>
              <w:t xml:space="preserve">) </w:t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116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1.1. </w:t>
            </w:r>
            <w:r>
              <w:rPr>
                <w:sz w:val="22"/>
                <w:szCs w:val="22"/>
                <w:highlight w:val="yellow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имущественной и информационной </w:t>
            </w:r>
            <w:r>
              <w:rPr>
                <w:sz w:val="22"/>
                <w:szCs w:val="22"/>
              </w:rPr>
              <w:t xml:space="preserve">поддержки субъектам малого и среднего предпринимательства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Недостаток инвестиций для развития бизнеса, недостаток информации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Постановление администрации Печенгского муниципального округа</w:t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19.07.2021 №750 </w:t>
            </w:r>
            <w:r>
              <w:rPr>
                <w:sz w:val="22"/>
                <w:szCs w:val="22"/>
              </w:rPr>
              <w:br/>
              <w:t xml:space="preserve">(в ред. от 31.10.2025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№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1770) </w:t>
            </w:r>
            <w:r>
              <w:rPr>
                <w:sz w:val="22"/>
                <w:szCs w:val="22"/>
              </w:rPr>
              <w:br/>
              <w:t xml:space="preserve">«Об утверждении пе</w:t>
            </w:r>
            <w:r>
              <w:rPr>
                <w:sz w:val="22"/>
                <w:szCs w:val="22"/>
              </w:rPr>
              <w:t xml:space="preserve">речня имущества, находящегося в собственности Печенгского муниципального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</w:t>
            </w:r>
            <w:r>
              <w:rPr>
                <w:sz w:val="22"/>
                <w:szCs w:val="22"/>
              </w:rPr>
              <w:t xml:space="preserve">ельства), предусмотренного частью 4 статьи 18 Федерального закона «О развитии малого и среднего предпринимательства в Российской Федерации»;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решение Совета депутатов Печенгского муниципального округа от 16.02.2024 № 455 </w:t>
            </w:r>
            <w:r>
              <w:rPr>
                <w:sz w:val="22"/>
                <w:szCs w:val="22"/>
              </w:rPr>
              <w:br/>
              <w:t xml:space="preserve">«О мерах поддержки субъектов малого</w:t>
            </w:r>
            <w:r>
              <w:rPr>
                <w:sz w:val="22"/>
                <w:szCs w:val="22"/>
              </w:rPr>
              <w:t xml:space="preserve"> и среднего предпринимательства, использующих </w:t>
            </w:r>
            <w:r>
              <w:rPr>
                <w:sz w:val="22"/>
                <w:szCs w:val="22"/>
              </w:rPr>
              <w:t xml:space="preserve">муниципальное имущество под размещение объектов связи и центров обработки данных</w:t>
            </w:r>
            <w:r>
              <w:rPr>
                <w:sz w:val="22"/>
                <w:szCs w:val="22"/>
              </w:rPr>
              <w:t xml:space="preserve">.»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Поддержка, развитие субъектов МСП, расширение доступа субъектов МСП к имущественным ресурсам, имущественная поддержка </w:t>
            </w:r>
            <w:r>
              <w:rPr>
                <w:sz w:val="22"/>
                <w:szCs w:val="22"/>
              </w:rPr>
            </w:r>
          </w:p>
        </w:tc>
        <w:tc>
          <w:tcPr>
            <w:gridSpan w:val="6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Ежегодн</w:t>
            </w:r>
            <w:r>
              <w:rPr>
                <w:sz w:val="22"/>
                <w:szCs w:val="22"/>
                <w:lang w:val="en-US"/>
              </w:rPr>
              <w:t xml:space="preserve">о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до</w:t>
            </w:r>
            <w:r>
              <w:rPr>
                <w:sz w:val="22"/>
                <w:szCs w:val="22"/>
                <w:lang w:val="en-US"/>
              </w:rPr>
              <w:t xml:space="preserve"> 31 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декабря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деятельности, КУИ 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 </w:t>
            </w:r>
            <w:r>
              <w:rPr>
                <w:sz w:val="22"/>
                <w:szCs w:val="22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 (</w:t>
            </w:r>
            <w:r>
              <w:rPr>
                <w:b/>
                <w:sz w:val="22"/>
                <w:szCs w:val="22"/>
              </w:rPr>
              <w:t xml:space="preserve">пп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  <w:lang w:val="en-US"/>
              </w:rPr>
              <w:t xml:space="preserve">«б» п. </w:t>
            </w:r>
            <w:r>
              <w:rPr>
                <w:b/>
                <w:sz w:val="22"/>
                <w:szCs w:val="22"/>
              </w:rPr>
              <w:t xml:space="preserve">16</w:t>
            </w:r>
            <w:r>
              <w:rPr>
                <w:b/>
                <w:sz w:val="22"/>
                <w:szCs w:val="22"/>
                <w:lang w:val="en-US"/>
              </w:rPr>
              <w:t xml:space="preserve">) </w:t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300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2.1.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консультационной работы по реализации Соглаше</w:t>
            </w:r>
            <w:r>
              <w:rPr>
                <w:sz w:val="22"/>
                <w:szCs w:val="22"/>
              </w:rPr>
              <w:t xml:space="preserve">ния между муниципальным образованием и Комитетом по конкурентной политике Мурманской области в целях недопущения в дальнейшем случаев закупок, объект которых не соответствует основаниям для заключения договора без публикации извещения на торговой площадке </w:t>
            </w:r>
            <w:r>
              <w:rPr>
                <w:sz w:val="22"/>
                <w:szCs w:val="22"/>
              </w:rPr>
              <w:t xml:space="preserve">«Закупки Мурманской области» автоматизированной информационной системы управления закупками Мурманской области «</w:t>
            </w:r>
            <w:r>
              <w:rPr>
                <w:sz w:val="22"/>
                <w:szCs w:val="22"/>
                <w:lang w:val="en-US"/>
              </w:rPr>
              <w:t xml:space="preserve">WEB</w:t>
            </w:r>
            <w:r>
              <w:rPr>
                <w:sz w:val="22"/>
                <w:szCs w:val="22"/>
              </w:rPr>
              <w:t xml:space="preserve"> – Торги КС» (далее – Торговая площадка)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случаев закупок, объект которых не соответствует основаниям для заключения договора без публ</w:t>
            </w:r>
            <w:r>
              <w:rPr>
                <w:sz w:val="22"/>
                <w:szCs w:val="22"/>
              </w:rPr>
              <w:t xml:space="preserve">икации извещения на Торговой площадке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Устранение случаев (снижение количества)) осуществления закупки у единственного поставщика без учета применения Торговой площадки.</w:t>
            </w:r>
            <w:r>
              <w:rPr>
                <w:sz w:val="22"/>
                <w:szCs w:val="22"/>
              </w:rPr>
              <w:t xml:space="preserve"> Мониторинг заказчиков, находящихся в ведомственной подчиненности и осуществляющих заку</w:t>
            </w:r>
            <w:r>
              <w:rPr>
                <w:sz w:val="22"/>
                <w:szCs w:val="22"/>
              </w:rPr>
              <w:t xml:space="preserve">почную деятельность в соответствии с Федеральным законом от 05.04.2013 № 44-ФЗ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Устранение случаев закупок, объект которых не соответствует основаниям для заключения договора без публикации извещения на Торговой площадке.</w:t>
            </w:r>
            <w:r>
              <w:rPr>
                <w:sz w:val="22"/>
                <w:szCs w:val="22"/>
              </w:rPr>
            </w:r>
          </w:p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доли закупок «малого объ</w:t>
            </w:r>
            <w:r>
              <w:rPr>
                <w:sz w:val="22"/>
                <w:szCs w:val="22"/>
              </w:rPr>
              <w:t xml:space="preserve">ема», размещенных на Торговой площадке по Федеральному закону от 05.04.2013 </w:t>
            </w:r>
            <w:r>
              <w:rPr>
                <w:sz w:val="22"/>
                <w:szCs w:val="22"/>
              </w:rPr>
              <w:br/>
              <w:t xml:space="preserve">№ 44-ФЗ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tabs>
                <w:tab w:val="right" w:pos="173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</w:t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right" w:pos="173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01 января </w:t>
            </w:r>
            <w:r>
              <w:rPr>
                <w:sz w:val="22"/>
                <w:szCs w:val="22"/>
              </w:rPr>
              <w:t xml:space="preserve">по</w:t>
            </w:r>
            <w:r>
              <w:rPr>
                <w:sz w:val="22"/>
                <w:szCs w:val="22"/>
              </w:rPr>
              <w:tab/>
              <w:t xml:space="preserve">и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декабря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сопровождению деятельности муниципальных заказчиков МКУ «Управление по обеспечению деятельности администрации </w:t>
            </w:r>
            <w:r>
              <w:rPr>
                <w:sz w:val="22"/>
                <w:szCs w:val="22"/>
              </w:rPr>
              <w:t xml:space="preserve">Печенгского округа»; ГРБС, курирующий заказчика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2.2.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мероприятий и ознакомление с проводимыми обучающими мероприятиями Комитетов и Министерств Мурманской области, ФАС и Казначейства (семинары, </w:t>
            </w:r>
            <w:r>
              <w:rPr>
                <w:sz w:val="22"/>
                <w:szCs w:val="22"/>
              </w:rPr>
              <w:t xml:space="preserve">вебинары</w:t>
            </w:r>
            <w:r>
              <w:rPr>
                <w:sz w:val="22"/>
                <w:szCs w:val="22"/>
              </w:rPr>
              <w:t xml:space="preserve">, обучения, рабочие совещания, разработанными методическими рекомендациями) для участников закупочного процесса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Недостаточное информирование участников закупок по применению норм действующего законодательства в сфере закупок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менее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мероприятий</w:t>
            </w:r>
            <w:r>
              <w:rPr>
                <w:i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уровня информированности участников закупочного процесса 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Ежегодно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размещению муниципальных закупок администрации Печенгского муниципального округа 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2.3.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доли закупок, участниками которых являются только субъекты </w:t>
            </w:r>
            <w:r>
              <w:rPr>
                <w:sz w:val="22"/>
                <w:szCs w:val="22"/>
              </w:rPr>
              <w:t xml:space="preserve">малого предпринимательства и социально ориентированные некоммерческие организации, включая закупки подведомственных учреждений и организаций 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Недостаточное количество закупок, участниками которых являются субъекты малого предпринимательства и социально ор</w:t>
            </w:r>
            <w:r>
              <w:rPr>
                <w:sz w:val="22"/>
                <w:szCs w:val="22"/>
              </w:rPr>
              <w:t xml:space="preserve">иентированные некоммерческие организации, в сфере муниципальных закупок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Информация отдела по размещению муниципальных закупок Печенгского муниципального округа об объемах закупок, участниками которых являются только субъекты малого предпринимательства и с</w:t>
            </w:r>
            <w:r>
              <w:rPr>
                <w:sz w:val="22"/>
                <w:szCs w:val="22"/>
              </w:rPr>
              <w:t xml:space="preserve">оциально ориентированные некоммерческие организации, в сфере муниципального заказа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осуществления закупок у субъектов малого предпринимательства в объеме не менее чем 25% совокупного годового объема </w:t>
            </w:r>
            <w:r>
              <w:rPr>
                <w:sz w:val="22"/>
                <w:szCs w:val="22"/>
              </w:rPr>
            </w:r>
          </w:p>
          <w:p>
            <w:pPr>
              <w:ind w:right="155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закупок</w:t>
            </w:r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Ежегодно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размещению муниц</w:t>
            </w:r>
            <w:r>
              <w:rPr>
                <w:sz w:val="22"/>
                <w:szCs w:val="22"/>
              </w:rPr>
              <w:t xml:space="preserve">ипальных закупок администрации Печенгского муниципального округа 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2.4.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Централизация проведения совместных типовых закупок учреждений </w:t>
            </w:r>
            <w:r>
              <w:rPr>
                <w:sz w:val="22"/>
                <w:szCs w:val="22"/>
              </w:rPr>
            </w:r>
          </w:p>
          <w:p>
            <w:pPr>
              <w:ind w:right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ind w:righ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процедур,</w:t>
            </w:r>
            <w:r>
              <w:rPr>
                <w:sz w:val="22"/>
                <w:szCs w:val="22"/>
              </w:rPr>
            </w:r>
          </w:p>
          <w:p>
            <w:pPr>
              <w:ind w:righ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которые</w:t>
            </w:r>
            <w:r>
              <w:rPr>
                <w:sz w:val="22"/>
                <w:szCs w:val="22"/>
              </w:rPr>
              <w:t xml:space="preserve"> не привели к заключению контракта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и применение единых технических заданий, условий контрактов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Устранение</w:t>
            </w:r>
            <w:r>
              <w:rPr>
                <w:sz w:val="22"/>
                <w:szCs w:val="22"/>
                <w:lang w:val="en-US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 xml:space="preserve">снижение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количества</w:t>
            </w:r>
            <w:r>
              <w:rPr>
                <w:sz w:val="22"/>
                <w:szCs w:val="22"/>
                <w:lang w:val="en-US"/>
              </w:rPr>
              <w:t xml:space="preserve">): 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numPr>
                <w:ilvl w:val="0"/>
                <w:numId w:val="6"/>
              </w:numPr>
              <w:ind w:left="0"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случаев (снижение количества) осуществления закупки у единственного поставщика; </w:t>
            </w:r>
            <w:r>
              <w:rPr>
                <w:sz w:val="22"/>
                <w:szCs w:val="22"/>
              </w:rPr>
            </w:r>
          </w:p>
          <w:p>
            <w:pPr>
              <w:numPr>
                <w:ilvl w:val="0"/>
                <w:numId w:val="6"/>
              </w:numPr>
              <w:ind w:left="0"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процедур, которые не привели к заключению контракта   </w:t>
            </w:r>
            <w:r>
              <w:rPr>
                <w:sz w:val="22"/>
                <w:szCs w:val="22"/>
              </w:rPr>
            </w:r>
          </w:p>
          <w:p>
            <w:pPr>
              <w:ind w:right="1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  <w:p>
            <w:pPr>
              <w:ind w:right="1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Ежегодно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Отдел по размещению муниципальных закупок администрации Печенгского муниципального округа; Отдел по сопровождению деятельности муниципальных заказчиков МКУ «Управление по обеспечению деятельности администрации Печенгского  округа»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Устранение избыточного государственного и муниципального регулирования, а также снижение административных барьеров (</w:t>
            </w:r>
            <w:r>
              <w:rPr>
                <w:b/>
                <w:sz w:val="22"/>
                <w:szCs w:val="22"/>
              </w:rPr>
              <w:t xml:space="preserve">пп</w:t>
            </w:r>
            <w:r>
              <w:rPr>
                <w:b/>
                <w:sz w:val="22"/>
                <w:szCs w:val="22"/>
              </w:rPr>
              <w:t xml:space="preserve">. «в» п. 16)</w:t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Актуализация органами местного самоуправления карты </w:t>
            </w:r>
            <w:r>
              <w:rPr>
                <w:sz w:val="22"/>
                <w:szCs w:val="22"/>
              </w:rPr>
              <w:t xml:space="preserve">комплаенс</w:t>
            </w:r>
            <w:r>
              <w:rPr>
                <w:sz w:val="22"/>
                <w:szCs w:val="22"/>
              </w:rPr>
              <w:t xml:space="preserve"> рисков и плана мероприятий по их минимизации и устранению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рисков нарушения антимонопольного законодательства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Правовые акты органов местного самоуправления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Снижение рисков нарушения антимонопольного законодательства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ind w:right="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</w:t>
            </w:r>
            <w:r>
              <w:rPr>
                <w:sz w:val="22"/>
                <w:szCs w:val="22"/>
              </w:rPr>
            </w:r>
          </w:p>
          <w:p>
            <w:pPr>
              <w:ind w:right="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01 апреля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Юридический отдел,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Совершенствование процессов управления в рамках </w:t>
            </w:r>
            <w:r>
              <w:rPr>
                <w:b/>
                <w:sz w:val="22"/>
                <w:szCs w:val="22"/>
              </w:rPr>
              <w:t xml:space="preserve">полномочий органов исполнительной власти субъектов Российской Федерации</w:t>
            </w:r>
            <w:r>
              <w:rPr>
                <w:b/>
                <w:sz w:val="22"/>
                <w:szCs w:val="22"/>
              </w:rPr>
              <w:t xml:space="preserve"> или органов местного самоуправления, закрепленных за ними законодательством Российской Федерации, объектами государственной собственност</w:t>
            </w:r>
            <w:r>
              <w:rPr>
                <w:b/>
                <w:sz w:val="22"/>
                <w:szCs w:val="22"/>
              </w:rPr>
              <w:t xml:space="preserve">и субъекта Российской Федерации и муниципальной собственности, а также на ограничение влияния государственных и муниципальных предприятий  и учреждений на конкуренцию </w:t>
            </w:r>
            <w:r>
              <w:rPr>
                <w:b/>
                <w:sz w:val="22"/>
                <w:szCs w:val="22"/>
                <w:lang w:val="en-US"/>
              </w:rPr>
              <w:t xml:space="preserve">(</w:t>
            </w:r>
            <w:r>
              <w:rPr>
                <w:b/>
                <w:sz w:val="22"/>
                <w:szCs w:val="22"/>
                <w:lang w:val="en-US"/>
              </w:rPr>
              <w:t xml:space="preserve">пп</w:t>
            </w:r>
            <w:r>
              <w:rPr>
                <w:b/>
                <w:sz w:val="22"/>
                <w:szCs w:val="22"/>
                <w:lang w:val="en-US"/>
              </w:rPr>
              <w:t xml:space="preserve">. «</w:t>
            </w:r>
            <w:r>
              <w:rPr>
                <w:b/>
                <w:sz w:val="22"/>
                <w:szCs w:val="22"/>
              </w:rPr>
              <w:t xml:space="preserve">г</w:t>
            </w:r>
            <w:r>
              <w:rPr>
                <w:b/>
                <w:sz w:val="22"/>
                <w:szCs w:val="22"/>
                <w:lang w:val="en-US"/>
              </w:rPr>
              <w:t xml:space="preserve">» п. </w:t>
            </w:r>
            <w:r>
              <w:rPr>
                <w:b/>
                <w:sz w:val="22"/>
                <w:szCs w:val="22"/>
              </w:rPr>
              <w:t xml:space="preserve">16</w:t>
            </w:r>
            <w:r>
              <w:rPr>
                <w:b/>
                <w:sz w:val="22"/>
                <w:szCs w:val="22"/>
                <w:lang w:val="en-US"/>
              </w:rPr>
              <w:t xml:space="preserve">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Промежуточный контроль  выполнения</w:t>
            </w:r>
            <w:r>
              <w:rPr>
                <w:sz w:val="22"/>
                <w:szCs w:val="22"/>
              </w:rPr>
              <w:t xml:space="preserve"> прогнозных планов (программ) приватизации муниципального имущества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Затягивание </w:t>
            </w:r>
            <w:r>
              <w:rPr>
                <w:sz w:val="22"/>
                <w:szCs w:val="22"/>
              </w:rPr>
              <w:t xml:space="preserve">периода начала проведения процедур приватизации муниципального имущества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отчеты   о ходе приватизации муниципального имущества 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эффективности процедур приватизации</w:t>
            </w:r>
            <w:r>
              <w:rPr>
                <w:sz w:val="22"/>
                <w:szCs w:val="22"/>
              </w:rPr>
              <w:t xml:space="preserve"> муниципального имущества, формирование </w:t>
            </w:r>
            <w:r>
              <w:rPr>
                <w:sz w:val="22"/>
                <w:szCs w:val="22"/>
              </w:rPr>
              <w:t xml:space="preserve">реалистичных прогнозных планов</w:t>
            </w:r>
            <w:r>
              <w:rPr>
                <w:sz w:val="22"/>
                <w:szCs w:val="22"/>
              </w:rPr>
              <w:t xml:space="preserve"> (программ) приватизации  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1 ноября текущего года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tabs>
                <w:tab w:val="center" w:pos="297" w:leader="none"/>
                <w:tab w:val="center" w:pos="1906" w:leader="none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ab/>
              <w:t xml:space="preserve">КУИ</w:t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состава имущества, находящегося в собственности Печенгского</w:t>
            </w:r>
            <w:r>
              <w:rPr>
                <w:sz w:val="22"/>
                <w:szCs w:val="22"/>
              </w:rPr>
              <w:t xml:space="preserve"> муниципального округа, не используемого для реализации функций и полномочий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Неэффективность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использования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муниципального </w:t>
            </w:r>
            <w:r>
              <w:rPr>
                <w:sz w:val="22"/>
                <w:szCs w:val="22"/>
                <w:lang w:val="en-US"/>
              </w:rPr>
              <w:t xml:space="preserve">имущества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План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приватизации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Сформирован перечень имущества, находящегося в собственности Печенгского</w:t>
            </w:r>
            <w:r>
              <w:rPr>
                <w:sz w:val="22"/>
                <w:szCs w:val="22"/>
              </w:rPr>
              <w:t xml:space="preserve"> муниципального округа, не используемого для реализации функций и полномочий органов местного самоуправления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(внесение изменений в течение текущего года)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инвентаризации муниципального имущества, определение имущества, находящ</w:t>
            </w:r>
            <w:r>
              <w:rPr>
                <w:sz w:val="22"/>
                <w:szCs w:val="22"/>
              </w:rPr>
              <w:t xml:space="preserve">егося в собственности Печенгского муниципального округа, не используемого для реализации функций и полномочий органов местного самоуправления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Неэффективность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использования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муниципального </w:t>
            </w:r>
            <w:r>
              <w:rPr>
                <w:sz w:val="22"/>
                <w:szCs w:val="22"/>
                <w:lang w:val="en-US"/>
              </w:rPr>
              <w:t xml:space="preserve">имущества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НПА об утверждении перечней объектов недвижимого имущества муниципального имущества Печенгского муниципального округа, не используемых муниципальными учреждениями при осуществлении уставной деятельности, выявленных в рамках инвентаризации имущества и мероп</w:t>
            </w:r>
            <w:r>
              <w:rPr>
                <w:sz w:val="22"/>
                <w:szCs w:val="22"/>
              </w:rPr>
              <w:t xml:space="preserve">риятий по их вовлечению в хозяйственный оборот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инвентаризации муниципального имущества, определение имущества, находящегося в собственности Печенгского муниципального округа, не используемого для реализации функций и полномочий органов местного</w:t>
            </w:r>
            <w:r>
              <w:rPr>
                <w:sz w:val="22"/>
                <w:szCs w:val="22"/>
              </w:rPr>
              <w:t xml:space="preserve"> самоуправления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Ежегодно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до</w:t>
            </w:r>
            <w:r>
              <w:rPr>
                <w:sz w:val="22"/>
                <w:szCs w:val="22"/>
                <w:lang w:val="en-US"/>
              </w:rPr>
              <w:t xml:space="preserve"> 1 </w:t>
            </w:r>
            <w:r>
              <w:rPr>
                <w:sz w:val="22"/>
                <w:szCs w:val="22"/>
              </w:rPr>
              <w:t xml:space="preserve">декабря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Приватизация имущества, находящегося в собственности Печенгского</w:t>
            </w:r>
            <w:r>
              <w:rPr>
                <w:sz w:val="22"/>
                <w:szCs w:val="22"/>
              </w:rPr>
              <w:t xml:space="preserve"> муниципального округа, не используемого для реализации функций и </w:t>
            </w:r>
            <w:r>
              <w:rPr>
                <w:sz w:val="22"/>
                <w:szCs w:val="22"/>
              </w:rPr>
              <w:t xml:space="preserve">полномочий органов местного самоуправления: - организация и проведение публичных торгов по реализации указанного имущества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Неэффективность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использования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муниципального </w:t>
            </w:r>
            <w:r>
              <w:rPr>
                <w:sz w:val="22"/>
                <w:szCs w:val="22"/>
                <w:lang w:val="en-US"/>
              </w:rPr>
              <w:t xml:space="preserve">имущества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об и</w:t>
            </w:r>
            <w:r>
              <w:rPr>
                <w:sz w:val="22"/>
                <w:szCs w:val="22"/>
              </w:rPr>
              <w:t xml:space="preserve">тогах исполнения программы приватизации в соответствии с Правилами разработки прогнозных планов </w:t>
            </w:r>
            <w:r>
              <w:rPr>
                <w:sz w:val="22"/>
                <w:szCs w:val="22"/>
              </w:rPr>
              <w:t xml:space="preserve">(программ) приватизации государственного и муниципального имущества, утвержденными постановлением Правительства РФ </w:t>
            </w:r>
            <w:r>
              <w:rPr>
                <w:sz w:val="22"/>
                <w:szCs w:val="22"/>
              </w:rPr>
              <w:br/>
              <w:t xml:space="preserve">от 26.12.2005 № 806, постановлением Правител</w:t>
            </w:r>
            <w:r>
              <w:rPr>
                <w:sz w:val="22"/>
                <w:szCs w:val="22"/>
              </w:rPr>
              <w:t xml:space="preserve">ьства Мурманской области от 25.01.2011  </w:t>
            </w:r>
            <w:r>
              <w:rPr>
                <w:sz w:val="22"/>
                <w:szCs w:val="22"/>
              </w:rPr>
            </w:r>
          </w:p>
          <w:p>
            <w:pPr>
              <w:ind w:right="7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№ 17-ПП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Обеспечена приватизация имущества, находящегося в собственности Печенгского муниципального округа, не используемого для реализации функций и полномочий органов </w:t>
            </w:r>
            <w:r>
              <w:rPr>
                <w:sz w:val="22"/>
                <w:szCs w:val="22"/>
              </w:rPr>
              <w:t xml:space="preserve">местного самоуправления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ind w:right="75"/>
              <w:tabs>
                <w:tab w:val="center" w:pos="100" w:leader="none"/>
                <w:tab w:val="center" w:pos="1291" w:leader="none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ab/>
              <w:t xml:space="preserve">Ежегодно до </w:t>
            </w:r>
            <w:r>
              <w:rPr>
                <w:sz w:val="22"/>
                <w:szCs w:val="22"/>
                <w:lang w:val="en-US"/>
              </w:rPr>
              <w:t xml:space="preserve">31 </w:t>
            </w:r>
            <w:r>
              <w:rPr>
                <w:sz w:val="22"/>
                <w:szCs w:val="22"/>
                <w:lang w:val="en-US"/>
              </w:rPr>
              <w:tab/>
            </w:r>
            <w:r>
              <w:rPr>
                <w:sz w:val="22"/>
                <w:szCs w:val="22"/>
                <w:lang w:val="en-US"/>
              </w:rPr>
              <w:t xml:space="preserve">декабря</w:t>
            </w:r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состава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самоуправления, в указанных целях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Неэффективность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использования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муниципального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имущества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План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приватизации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ind w:right="7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Сформирован перечень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Ежегодно до 31 декабря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Приватизация либо перепрофилирование (изменение целевого назначения имущества) муниципального имущества, не соответствующего требованиям отнесения к категории имущества, предназначенного для </w:t>
            </w:r>
            <w:r>
              <w:rPr>
                <w:sz w:val="22"/>
                <w:szCs w:val="22"/>
              </w:rPr>
              <w:t xml:space="preserve">реализации функций и полномоч</w:t>
            </w:r>
            <w:r>
              <w:rPr>
                <w:sz w:val="22"/>
                <w:szCs w:val="22"/>
              </w:rPr>
              <w:t xml:space="preserve">ий органов местного самоуправления: </w:t>
            </w:r>
            <w:r>
              <w:rPr>
                <w:sz w:val="22"/>
                <w:szCs w:val="22"/>
              </w:rPr>
            </w:r>
          </w:p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организация и проведения публичных торгов по реализации указанного имущества, перепрофилирование (изменение целевого назначения имущества)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Неэффективность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использования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муниципального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имущества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об итогах исполнения программы приватизации в соответствии с Правилами разработки прогнозных планов (программ) приватизации муниципального </w:t>
            </w:r>
            <w:r>
              <w:rPr>
                <w:sz w:val="22"/>
                <w:szCs w:val="22"/>
              </w:rPr>
              <w:t xml:space="preserve">имущества, утвержденными постановлением Правительства РФ </w:t>
            </w:r>
            <w:r>
              <w:rPr>
                <w:sz w:val="22"/>
                <w:szCs w:val="22"/>
              </w:rPr>
              <w:br/>
              <w:t xml:space="preserve">от 26.12.2005 № 806, отчет о перепрофилировании (изме</w:t>
            </w:r>
            <w:r>
              <w:rPr>
                <w:sz w:val="22"/>
                <w:szCs w:val="22"/>
              </w:rPr>
              <w:t xml:space="preserve">нении целевого </w:t>
            </w:r>
            <w:r>
              <w:rPr>
                <w:sz w:val="22"/>
                <w:szCs w:val="22"/>
              </w:rPr>
            </w:r>
          </w:p>
          <w:p>
            <w:pPr>
              <w:ind w:right="7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назначения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имущества</w:t>
            </w:r>
            <w:r>
              <w:rPr>
                <w:sz w:val="22"/>
                <w:szCs w:val="22"/>
                <w:lang w:val="en-US"/>
              </w:rPr>
              <w:t xml:space="preserve">) 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Обеспечена приватизация либо перепрофилирование (изменение целевого назначения имущества) муниципального имущества, не соответствующего требованиям отнесения к категории имущества, предназначенного для </w:t>
            </w:r>
            <w:r>
              <w:rPr>
                <w:sz w:val="22"/>
                <w:szCs w:val="22"/>
              </w:rPr>
              <w:t xml:space="preserve">реализации фун</w:t>
            </w:r>
            <w:r>
              <w:rPr>
                <w:sz w:val="22"/>
                <w:szCs w:val="22"/>
              </w:rPr>
              <w:t xml:space="preserve">кций и полномочий органов местного самоуправления  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Ежегодно до </w:t>
            </w:r>
            <w:r>
              <w:rPr>
                <w:sz w:val="22"/>
                <w:szCs w:val="22"/>
                <w:lang w:val="en-US"/>
              </w:rPr>
              <w:t xml:space="preserve">31 </w:t>
            </w:r>
            <w:r>
              <w:rPr>
                <w:sz w:val="22"/>
                <w:szCs w:val="22"/>
                <w:lang w:val="en-US"/>
              </w:rPr>
              <w:t xml:space="preserve">декабря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jc w:val="center"/>
              <w:rPr>
                <w:strike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Создание благоприятной среды для развития конкуренции  на финансовом рынке  и  повышение финансовых услуг  (продуктов) для физических и юридических лиц, в том </w:t>
            </w:r>
            <w:r>
              <w:rPr>
                <w:b/>
                <w:sz w:val="22"/>
                <w:szCs w:val="22"/>
              </w:rPr>
              <w:t xml:space="preserve">числе субъектов малого и среднего предпринимательства и социально ориентированных некоммерческих организаций (в части содействия  созданию условий для принятия участниками экономической деятельности осознанных решений при использовании финансовых услуг (пр</w:t>
            </w:r>
            <w:r>
              <w:rPr>
                <w:b/>
                <w:sz w:val="22"/>
                <w:szCs w:val="22"/>
              </w:rPr>
              <w:t xml:space="preserve">одуктов), в том числе в рамках повышения финансовой грамотности) (</w:t>
            </w:r>
            <w:r>
              <w:rPr>
                <w:b/>
                <w:sz w:val="22"/>
                <w:szCs w:val="22"/>
              </w:rPr>
              <w:t xml:space="preserve">пп</w:t>
            </w:r>
            <w:r>
              <w:rPr>
                <w:b/>
                <w:sz w:val="22"/>
                <w:szCs w:val="22"/>
              </w:rPr>
              <w:t xml:space="preserve">. «е» п</w:t>
            </w:r>
            <w:r>
              <w:rPr>
                <w:b/>
                <w:sz w:val="22"/>
                <w:szCs w:val="22"/>
              </w:rPr>
              <w:t xml:space="preserve">. 16) </w:t>
            </w:r>
            <w:r>
              <w:rPr>
                <w:strike/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</w:rPr>
              <w:t xml:space="preserve">5.1.</w:t>
            </w:r>
            <w:r>
              <w:rPr>
                <w:sz w:val="22"/>
                <w:szCs w:val="22"/>
                <w:highlight w:val="green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мероприятий, направленных на защиту прав потребителей финансовых услуг и повышение финансовой грамотности населения Печенгского муниципального округа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Недостаточно высокий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уровень </w:t>
            </w:r>
            <w:r>
              <w:rPr>
                <w:sz w:val="22"/>
                <w:szCs w:val="22"/>
              </w:rPr>
              <w:t xml:space="preserve">финансовой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грамотности (отсутствие у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большинства населения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навыков </w:t>
            </w:r>
            <w:r>
              <w:rPr>
                <w:sz w:val="22"/>
                <w:szCs w:val="22"/>
              </w:rPr>
              <w:t xml:space="preserve">личного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финансового планирования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формирования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финансовых накоплений 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резервов на случай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непредвиденных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обстоятельств, умений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рационального выбора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финансовых </w:t>
            </w:r>
            <w:r>
              <w:rPr>
                <w:sz w:val="22"/>
                <w:szCs w:val="22"/>
              </w:rPr>
              <w:t xml:space="preserve">продуктов 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услуг), негативно </w:t>
            </w:r>
            <w:r>
              <w:rPr>
                <w:sz w:val="22"/>
                <w:szCs w:val="22"/>
              </w:rPr>
              <w:t xml:space="preserve">влияющий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личное благосостояние и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финансовый потенциал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граждан, </w:t>
            </w:r>
            <w:r>
              <w:rPr>
                <w:sz w:val="22"/>
                <w:szCs w:val="22"/>
              </w:rPr>
              <w:t xml:space="preserve">препятствующий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развитию </w:t>
            </w:r>
            <w:r>
              <w:rPr>
                <w:sz w:val="22"/>
                <w:szCs w:val="22"/>
              </w:rPr>
              <w:t xml:space="preserve">финансового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рынка, </w:t>
            </w:r>
            <w:r>
              <w:rPr>
                <w:sz w:val="22"/>
                <w:szCs w:val="22"/>
              </w:rPr>
              <w:t xml:space="preserve">затормаживающий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инвестиционные процессы в </w:t>
            </w:r>
            <w:r>
              <w:rPr>
                <w:sz w:val="22"/>
                <w:szCs w:val="22"/>
              </w:rPr>
              <w:t xml:space="preserve">эконике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мероприятий, направленных на повышение уровня </w:t>
            </w:r>
            <w:r>
              <w:rPr>
                <w:sz w:val="22"/>
                <w:szCs w:val="22"/>
              </w:rPr>
              <w:t xml:space="preserve">грамотности населения путем размещения проектов решения о бюджете, исполнение бюджета, опросов на бюджетную тематику, размещения в открытом доступе «Бюджета для граждан»,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информационных материалов для повышения уровня финансовой грамотности,  проведение об</w:t>
            </w:r>
            <w:r>
              <w:rPr>
                <w:sz w:val="22"/>
                <w:szCs w:val="22"/>
              </w:rPr>
              <w:t xml:space="preserve">щественных советов, </w:t>
            </w:r>
            <w:r>
              <w:rPr>
                <w:sz w:val="22"/>
                <w:szCs w:val="22"/>
              </w:rPr>
              <w:t xml:space="preserve">Общественных обсуждений.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уровня финансовой грамотности населения Печенгского муниципального округа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</w:rPr>
              <w:t xml:space="preserve">ФИНУ</w:t>
            </w:r>
            <w:r>
              <w:rPr>
                <w:sz w:val="22"/>
                <w:szCs w:val="22"/>
                <w:highlight w:val="green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6.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ind w:right="5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Увеличение объема закупок отдельных видов юридических лиц, участниками которых являются только субъекты малого и среднего предпринимательства</w:t>
            </w:r>
            <w:r>
              <w:rPr>
                <w:b/>
                <w:sz w:val="22"/>
                <w:szCs w:val="22"/>
              </w:rPr>
            </w:r>
          </w:p>
          <w:p>
            <w:pPr>
              <w:ind w:right="5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</w:t>
            </w:r>
            <w:r>
              <w:rPr>
                <w:b/>
                <w:sz w:val="22"/>
                <w:szCs w:val="22"/>
              </w:rPr>
              <w:t xml:space="preserve">пп</w:t>
            </w:r>
            <w:r>
              <w:rPr>
                <w:b/>
                <w:sz w:val="22"/>
                <w:szCs w:val="22"/>
              </w:rPr>
              <w:t xml:space="preserve">. «а» п. 17)</w:t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6.1.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72" w:type="dxa"/>
            <w:textDirection w:val="lrTb"/>
            <w:noWrap w:val="false"/>
          </w:tcPr>
          <w:p>
            <w:pPr>
              <w:ind w:right="53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мониторинга соблюдения доли закупок, осуществленных отдельными видами юридических лиц у субъектов малого и среднего предпринимательств</w:t>
            </w:r>
            <w:r>
              <w:rPr>
                <w:b/>
                <w:sz w:val="22"/>
                <w:szCs w:val="22"/>
              </w:rPr>
              <w:t xml:space="preserve">а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41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Недостаточное количество закупок, участниками которых являются субъекты малого и среднего предпринимательства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5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по мониторингу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14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осуществления закупок у субъектов малого и среднего предпринимательства в объеме не менее чем 25 % от годового объема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605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до 20 февраля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635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ГРБС, </w:t>
            </w:r>
            <w:r>
              <w:rPr>
                <w:sz w:val="22"/>
                <w:szCs w:val="22"/>
              </w:rPr>
              <w:t xml:space="preserve">которому</w:t>
            </w:r>
            <w:r>
              <w:rPr>
                <w:sz w:val="22"/>
                <w:szCs w:val="22"/>
              </w:rPr>
              <w:t xml:space="preserve"> подведомственно юридическое лицо, размещающее закупки (223-ФЗ «О з</w:t>
            </w:r>
            <w:r>
              <w:rPr>
                <w:sz w:val="22"/>
                <w:szCs w:val="22"/>
              </w:rPr>
              <w:t xml:space="preserve">акупках товаров, работ, услуг отдельными видами юридических лиц»)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ind w:right="5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Обеспечение равных условий доступа к информации о государственном имуществе субъекта Российской Федерации и имуществе, находящемся в собственности муниципальных образований, в том числе имуществе, включаемом в перечни для предоставления на льготных условия</w:t>
            </w:r>
            <w:r>
              <w:rPr>
                <w:b/>
                <w:sz w:val="22"/>
                <w:szCs w:val="22"/>
              </w:rPr>
              <w:t xml:space="preserve">х субъектам малого и среднего предпринимательства, о реализации такого имущества или предоставлении его во владение и (или) пользование, а также о ресурсах всех видов, находящихся в государственной собственности субъекта Российской</w:t>
            </w:r>
            <w:r>
              <w:rPr>
                <w:b/>
                <w:sz w:val="22"/>
                <w:szCs w:val="22"/>
              </w:rPr>
              <w:t xml:space="preserve"> Федерации и муниципально</w:t>
            </w:r>
            <w:r>
              <w:rPr>
                <w:b/>
                <w:sz w:val="22"/>
                <w:szCs w:val="22"/>
              </w:rPr>
              <w:t xml:space="preserve">й собственности, путем размещения указанной информации на официальном сайте Российской Федерации в сети Интернет для размещения информации о проведении торгов (www.torgi.gov.ru) и на официальном сайте уполномоченного органа в сети Интернет (</w:t>
            </w:r>
            <w:r>
              <w:rPr>
                <w:b/>
                <w:sz w:val="22"/>
                <w:szCs w:val="22"/>
              </w:rPr>
              <w:t xml:space="preserve">пп</w:t>
            </w:r>
            <w:r>
              <w:rPr>
                <w:b/>
                <w:sz w:val="22"/>
                <w:szCs w:val="22"/>
              </w:rPr>
              <w:t xml:space="preserve">. «б» п. 17)</w:t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7.1.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25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информации об объектах недвижимого муниципального имущества Печенгского муниципального округа в сети Интернет в срок, установленный НПА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588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соблюдаются сроки размещения сведений об объектах недвижимого муниципального имущества в сети Интерн</w:t>
            </w:r>
            <w:r>
              <w:rPr>
                <w:sz w:val="22"/>
                <w:szCs w:val="22"/>
              </w:rPr>
              <w:t xml:space="preserve">ет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Нормативные правовые акты органов местного самоуправления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967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Сведения об объектах недвижимого муниципального имущества размещены в сети Интернет в установленный НПА срок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1590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697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8.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ind w:right="5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Обучение государственных гражд</w:t>
            </w:r>
            <w:r>
              <w:rPr>
                <w:b/>
                <w:sz w:val="22"/>
                <w:szCs w:val="22"/>
              </w:rPr>
              <w:t xml:space="preserve">анских служащих органов исполнительной власти субъекта Российской Федерации и работников их подведомственных предприятий и учреждений основам государственной политики в области развития конкуренции и антимонопольного законодательства Российской Федерации (</w:t>
            </w:r>
            <w:r>
              <w:rPr>
                <w:b/>
                <w:sz w:val="22"/>
                <w:szCs w:val="22"/>
              </w:rPr>
              <w:t xml:space="preserve">пп</w:t>
            </w:r>
            <w:r>
              <w:rPr>
                <w:b/>
                <w:sz w:val="22"/>
                <w:szCs w:val="22"/>
              </w:rPr>
              <w:t xml:space="preserve">. «г» п. 17)</w:t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25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и размещение муниципального заказа на дополнительное профессиональное образование муниципальных служащих Печенгского</w:t>
            </w:r>
            <w:r>
              <w:rPr>
                <w:sz w:val="22"/>
                <w:szCs w:val="22"/>
              </w:rPr>
              <w:t xml:space="preserve"> муниципального округа с включением программы дополнительного профессионального образования «Основы государственной политики по развитию конкуренции и антимонопольного законодательства»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588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Приобретение новых знаний и умений, поддержание и повышение уровня ква</w:t>
            </w:r>
            <w:r>
              <w:rPr>
                <w:sz w:val="22"/>
                <w:szCs w:val="22"/>
              </w:rPr>
              <w:t xml:space="preserve">лификации, необходимого для надлежащего исполнения должностных обязанностей в области развития конкуренции и антимонопольного законодательства Российской Федерации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Постановление об утверждении муниципального заказа на дополнительное профессиональное образо</w:t>
            </w:r>
            <w:r>
              <w:rPr>
                <w:sz w:val="22"/>
                <w:szCs w:val="22"/>
              </w:rPr>
              <w:t xml:space="preserve">вание муниципальных служащих Печенгского муниципального округа на соответствующий год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967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Заключение муниципального контракта на дополнительное профессиональное образование муниципальных служащих Печенгского муниципального округа в текущем году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1590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1 </w:t>
            </w:r>
            <w:r>
              <w:rPr>
                <w:sz w:val="22"/>
                <w:szCs w:val="22"/>
              </w:rPr>
              <w:t xml:space="preserve">августа года обучения  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697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муниципальной службы и кадров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8.2.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25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обучения муниципальных служащих Печенгского муниципального округа в рамках муниципального заказа, в том числе </w:t>
            </w:r>
            <w:r>
              <w:rPr>
                <w:sz w:val="22"/>
                <w:szCs w:val="22"/>
              </w:rPr>
              <w:t xml:space="preserve">по</w:t>
            </w:r>
            <w:r>
              <w:rPr>
                <w:sz w:val="22"/>
                <w:szCs w:val="22"/>
              </w:rPr>
              <w:t xml:space="preserve"> про-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грамме</w:t>
            </w:r>
            <w:r>
              <w:rPr>
                <w:sz w:val="22"/>
                <w:szCs w:val="22"/>
              </w:rPr>
              <w:t xml:space="preserve"> дополнительного профессионального образования «Основы государственной политики по развитию конкуренции и антимонопольного законодательства»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588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Приобретение новых знаний и умений, поддержание и повышение уровня квалификации, необходимого для надлежащего</w:t>
            </w:r>
            <w:r>
              <w:rPr>
                <w:sz w:val="22"/>
                <w:szCs w:val="22"/>
              </w:rPr>
              <w:t xml:space="preserve"> исполнения должностных обязанностей в области развития конкуренции и антимонопольного законодательства Российской Федерации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Постановление об утверждении муниципального заказа на дополнительное профессиональное образование муниципальных служащих Печенгског</w:t>
            </w:r>
            <w:r>
              <w:rPr>
                <w:sz w:val="22"/>
                <w:szCs w:val="22"/>
              </w:rPr>
              <w:t xml:space="preserve">о муниципального округа на соответствующий год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967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одного муниципального служащего, прошедшего программу повышения квалификации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1590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31 декабря года обучения  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697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муниципальной службы и кадров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9.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ind w:right="5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Недопущение ограничения конкуренции при предоставлении производителям товаров, работ, услуг (</w:t>
            </w:r>
            <w:r>
              <w:rPr>
                <w:b/>
                <w:sz w:val="22"/>
                <w:szCs w:val="22"/>
              </w:rPr>
              <w:t xml:space="preserve">пп</w:t>
            </w:r>
            <w:r>
              <w:rPr>
                <w:b/>
                <w:sz w:val="22"/>
                <w:szCs w:val="22"/>
              </w:rPr>
              <w:t xml:space="preserve">. «д» п.17)</w:t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9.1.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25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формировании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нормативного акта,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предоставляющего</w:t>
            </w:r>
            <w:r>
              <w:rPr>
                <w:sz w:val="22"/>
                <w:szCs w:val="22"/>
              </w:rPr>
              <w:t xml:space="preserve"> меры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поддержки производителям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товаров, работ, услуг,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проводить оценку </w:t>
            </w:r>
            <w:r>
              <w:rPr>
                <w:sz w:val="22"/>
                <w:szCs w:val="22"/>
              </w:rPr>
              <w:t xml:space="preserve">на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предмет ограничен</w:t>
            </w:r>
            <w:r>
              <w:rPr>
                <w:sz w:val="22"/>
                <w:szCs w:val="22"/>
              </w:rPr>
              <w:t xml:space="preserve">ия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конкуренции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588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Ограничение конкуренции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предоставлении мер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поддержки производителям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товаров, работ, услуг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Указание </w:t>
            </w:r>
            <w:r>
              <w:rPr>
                <w:sz w:val="22"/>
                <w:szCs w:val="22"/>
              </w:rPr>
              <w:t xml:space="preserve">в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пояснительной записки </w:t>
            </w:r>
            <w:r>
              <w:rPr>
                <w:sz w:val="22"/>
                <w:szCs w:val="22"/>
              </w:rPr>
              <w:t xml:space="preserve">к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нормативному акту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информации о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соответствии</w:t>
            </w:r>
            <w:r>
              <w:rPr>
                <w:sz w:val="22"/>
                <w:szCs w:val="22"/>
              </w:rPr>
              <w:t xml:space="preserve"> документа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требованиям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антимонопольного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законодательства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967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Отсутствие ограничения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конкуренции </w:t>
            </w:r>
            <w:r>
              <w:rPr>
                <w:sz w:val="22"/>
                <w:szCs w:val="22"/>
              </w:rPr>
              <w:t xml:space="preserve">при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предоставлении</w:t>
            </w:r>
            <w:r>
              <w:rPr>
                <w:sz w:val="22"/>
                <w:szCs w:val="22"/>
              </w:rPr>
              <w:t xml:space="preserve"> мер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поддержки производителям</w:t>
            </w:r>
            <w:r>
              <w:rPr>
                <w:sz w:val="22"/>
                <w:szCs w:val="22"/>
              </w:rPr>
            </w:r>
          </w:p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товаров, работ, услуг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1590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до 31 декабря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697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ОЭР, сектор инвестиционной деятельности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10. 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ind w:right="53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Обеспечение и сохранение целевого использования государственных (муниципальных) объектов недвижимого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имущества в социальной сфере (</w:t>
            </w:r>
            <w:r>
              <w:rPr>
                <w:b/>
                <w:sz w:val="22"/>
                <w:szCs w:val="22"/>
              </w:rPr>
              <w:t xml:space="preserve">пп</w:t>
            </w:r>
            <w:r>
              <w:rPr>
                <w:b/>
                <w:sz w:val="22"/>
                <w:szCs w:val="22"/>
              </w:rPr>
              <w:t xml:space="preserve">. «ж</w:t>
            </w:r>
            <w:r>
              <w:rPr>
                <w:b/>
                <w:sz w:val="22"/>
                <w:szCs w:val="22"/>
              </w:rPr>
              <w:t xml:space="preserve">1</w:t>
            </w:r>
            <w:r>
              <w:rPr>
                <w:b/>
                <w:sz w:val="22"/>
                <w:szCs w:val="22"/>
              </w:rPr>
              <w:t xml:space="preserve">» п. 17)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Оптимизация состава муниципального имущества Печенгского муниципального округа, находящегося в </w:t>
            </w:r>
            <w:r>
              <w:rPr>
                <w:sz w:val="22"/>
                <w:szCs w:val="22"/>
              </w:rPr>
              <w:t xml:space="preserve">оперативном управлении учреждений социальной сферы и обеспечение вовлечения его в хозяйственный оборот 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Неэффективное расходование бюджетных средств на содержание имущества, не используемого в уставной деятельности учреждений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Сокращение доли объектов нед</w:t>
            </w:r>
            <w:r>
              <w:rPr>
                <w:sz w:val="22"/>
                <w:szCs w:val="22"/>
              </w:rPr>
              <w:t xml:space="preserve">вижимого имущества в социальной сфере, не используемого при осуществлении уставной деятельности и не вовлеченного в хозяйственный оборот (аналитический отчет)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Передача неиспользуемого имущества бюджетам других уровней, передача имущества в безвозмездное п</w:t>
            </w:r>
            <w:r>
              <w:rPr>
                <w:sz w:val="22"/>
                <w:szCs w:val="22"/>
              </w:rPr>
              <w:t xml:space="preserve">ользование или аренду, снос зданий, находящихся в аварийном состоянии 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tabs>
                <w:tab w:val="center" w:pos="418" w:leader="none"/>
                <w:tab w:val="center" w:pos="1180" w:leader="none"/>
                <w:tab w:val="center" w:pos="143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Ежегодно </w:t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418" w:leader="none"/>
                <w:tab w:val="center" w:pos="1180" w:leader="none"/>
                <w:tab w:val="center" w:pos="143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1 февраля года, следующего за </w:t>
            </w:r>
            <w:r>
              <w:rPr>
                <w:sz w:val="22"/>
                <w:szCs w:val="22"/>
              </w:rPr>
              <w:t xml:space="preserve">отчетным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b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11</w:t>
            </w:r>
            <w:r>
              <w:rPr>
                <w:b/>
                <w:color w:val="auto"/>
                <w:sz w:val="22"/>
                <w:szCs w:val="22"/>
                <w:lang w:val="en-US"/>
              </w:rPr>
              <w:t xml:space="preserve">. </w:t>
            </w:r>
            <w:r>
              <w:rPr>
                <w:b/>
                <w:color w:val="auto"/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Содействие развитию негосударственных (немуниципальных) социально ориентированных некоммерческих организаций и «социального предпринимательства»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(</w:t>
            </w:r>
            <w:r>
              <w:rPr>
                <w:b/>
                <w:sz w:val="22"/>
                <w:szCs w:val="22"/>
                <w:lang w:val="en-US"/>
              </w:rPr>
              <w:t xml:space="preserve">пп</w:t>
            </w:r>
            <w:r>
              <w:rPr>
                <w:b/>
                <w:sz w:val="22"/>
                <w:szCs w:val="22"/>
                <w:lang w:val="en-US"/>
              </w:rPr>
              <w:t xml:space="preserve">. «</w:t>
            </w:r>
            <w:r>
              <w:rPr>
                <w:b/>
                <w:sz w:val="22"/>
                <w:szCs w:val="22"/>
              </w:rPr>
              <w:t xml:space="preserve">ж3</w:t>
            </w:r>
            <w:r>
              <w:rPr>
                <w:b/>
                <w:sz w:val="22"/>
                <w:szCs w:val="22"/>
                <w:lang w:val="en-US"/>
              </w:rPr>
              <w:t xml:space="preserve">» п. </w:t>
            </w:r>
            <w:r>
              <w:rPr>
                <w:b/>
                <w:sz w:val="22"/>
                <w:szCs w:val="22"/>
              </w:rPr>
              <w:t xml:space="preserve">17</w:t>
            </w:r>
            <w:r>
              <w:rPr>
                <w:b/>
                <w:sz w:val="22"/>
                <w:szCs w:val="22"/>
                <w:lang w:val="en-US"/>
              </w:rPr>
              <w:t xml:space="preserve">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11.1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Предоставление </w:t>
            </w:r>
            <w:r>
              <w:rPr>
                <w:sz w:val="22"/>
                <w:szCs w:val="22"/>
              </w:rPr>
              <w:tab/>
              <w:t xml:space="preserve">СО НКО </w:t>
            </w:r>
            <w:r>
              <w:rPr>
                <w:sz w:val="22"/>
                <w:szCs w:val="22"/>
              </w:rPr>
            </w:r>
          </w:p>
          <w:p>
            <w:pPr>
              <w:ind w:right="38"/>
              <w:jc w:val="both"/>
              <w:tabs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 финансовой, консультационной, информационной, имущественной поддержки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ind w:right="83"/>
              <w:tabs>
                <w:tab w:val="center" w:pos="668" w:leader="none"/>
                <w:tab w:val="center" w:pos="209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Необходимость </w:t>
            </w:r>
            <w:r>
              <w:rPr>
                <w:sz w:val="22"/>
                <w:szCs w:val="22"/>
              </w:rPr>
              <w:tab/>
              <w:t xml:space="preserve">развития </w:t>
            </w:r>
            <w:r>
              <w:rPr>
                <w:sz w:val="22"/>
                <w:szCs w:val="22"/>
              </w:rPr>
            </w:r>
          </w:p>
          <w:p>
            <w:pPr>
              <w:ind w:righ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социально ориентированных НКО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СО НКО </w:t>
            </w:r>
            <w:r>
              <w:rPr>
                <w:sz w:val="22"/>
                <w:szCs w:val="22"/>
              </w:rPr>
            </w:r>
          </w:p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получивших</w:t>
            </w:r>
            <w:r>
              <w:rPr>
                <w:sz w:val="22"/>
                <w:szCs w:val="22"/>
              </w:rPr>
              <w:t xml:space="preserve"> поддержку (финансовую, консультационную, информационную, имущественную)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равных условий деятельности для организаций разных форм собственности 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Ежегодно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до</w:t>
            </w:r>
            <w:r>
              <w:rPr>
                <w:sz w:val="22"/>
                <w:szCs w:val="22"/>
                <w:lang w:val="en-US"/>
              </w:rPr>
              <w:t xml:space="preserve"> 31 </w:t>
            </w:r>
            <w:r>
              <w:rPr>
                <w:sz w:val="22"/>
                <w:szCs w:val="22"/>
                <w:lang w:val="en-US"/>
              </w:rPr>
              <w:t xml:space="preserve">декабря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ОЭР,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 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</w:t>
            </w:r>
            <w:r>
              <w:rPr>
                <w:sz w:val="22"/>
                <w:szCs w:val="22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Стимулирование новых предпринимательских инициатив за счет проведения информационно-консультационных и образовательных мероприятий, обеспечивающих возможности для поиска, отбора и обучения потенциальных предпринимателей (</w:t>
            </w:r>
            <w:r>
              <w:rPr>
                <w:b/>
                <w:sz w:val="22"/>
                <w:szCs w:val="22"/>
              </w:rPr>
              <w:t xml:space="preserve">пп</w:t>
            </w:r>
            <w:r>
              <w:rPr>
                <w:b/>
                <w:sz w:val="22"/>
                <w:szCs w:val="22"/>
              </w:rPr>
              <w:t xml:space="preserve">. «ж</w:t>
            </w:r>
            <w:r>
              <w:rPr>
                <w:b/>
                <w:sz w:val="22"/>
                <w:szCs w:val="22"/>
              </w:rPr>
              <w:t xml:space="preserve">4</w:t>
            </w:r>
            <w:r>
              <w:rPr>
                <w:b/>
                <w:sz w:val="22"/>
                <w:szCs w:val="22"/>
              </w:rPr>
              <w:t xml:space="preserve">» п. 17)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12.1.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Стимулирова</w:t>
            </w:r>
            <w:r>
              <w:rPr>
                <w:sz w:val="22"/>
                <w:szCs w:val="22"/>
              </w:rPr>
              <w:t xml:space="preserve">ние </w:t>
            </w:r>
            <w:r>
              <w:rPr>
                <w:sz w:val="22"/>
                <w:szCs w:val="22"/>
              </w:rPr>
              <w:t xml:space="preserve">новых</w:t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предпринимательских</w:t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инициатив за счет</w:t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проведения</w:t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информационно </w:t>
            </w:r>
            <w:r>
              <w:rPr>
                <w:sz w:val="22"/>
                <w:szCs w:val="22"/>
              </w:rPr>
              <w:t xml:space="preserve">-к</w:t>
            </w:r>
            <w:r>
              <w:rPr>
                <w:sz w:val="22"/>
                <w:szCs w:val="22"/>
              </w:rPr>
              <w:t xml:space="preserve">онсультационных и</w:t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образовательных</w:t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мероприятий,</w:t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обеспечивающих</w:t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возможности для поиска,</w:t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отбора и обучения</w:t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потенциальных</w:t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предпринимателей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ind w:right="83"/>
              <w:tabs>
                <w:tab w:val="center" w:pos="668" w:leader="none"/>
                <w:tab w:val="center" w:pos="1243" w:leader="none"/>
                <w:tab w:val="center" w:pos="209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Низкая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</w:r>
          </w:p>
          <w:p>
            <w:pPr>
              <w:ind w:right="83"/>
              <w:tabs>
                <w:tab w:val="center" w:pos="668" w:leader="none"/>
                <w:tab w:val="center" w:pos="209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предпринимательская</w:t>
            </w:r>
            <w:r>
              <w:rPr>
                <w:sz w:val="22"/>
                <w:szCs w:val="22"/>
              </w:rPr>
            </w:r>
          </w:p>
          <w:p>
            <w:pPr>
              <w:ind w:right="83"/>
              <w:tabs>
                <w:tab w:val="center" w:pos="668" w:leader="none"/>
                <w:tab w:val="center" w:pos="209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активность, низкий уровень</w:t>
            </w:r>
            <w:r>
              <w:rPr>
                <w:sz w:val="22"/>
                <w:szCs w:val="22"/>
              </w:rPr>
            </w:r>
          </w:p>
          <w:p>
            <w:pPr>
              <w:ind w:right="83"/>
              <w:tabs>
                <w:tab w:val="center" w:pos="668" w:leader="none"/>
                <w:tab w:val="center" w:pos="209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компетенций субъектов</w:t>
            </w:r>
            <w:r>
              <w:rPr>
                <w:sz w:val="22"/>
                <w:szCs w:val="22"/>
              </w:rPr>
            </w:r>
          </w:p>
          <w:p>
            <w:pPr>
              <w:ind w:right="83"/>
              <w:tabs>
                <w:tab w:val="center" w:pos="668" w:leader="none"/>
                <w:tab w:val="center" w:pos="209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малого и среднего предпринимательства, а</w:t>
            </w:r>
            <w:r>
              <w:rPr>
                <w:sz w:val="22"/>
                <w:szCs w:val="22"/>
              </w:rPr>
            </w:r>
          </w:p>
          <w:p>
            <w:pPr>
              <w:ind w:right="83"/>
              <w:tabs>
                <w:tab w:val="center" w:pos="668" w:leader="none"/>
                <w:tab w:val="center" w:pos="209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также лиц, планирующих</w:t>
            </w:r>
            <w:r>
              <w:rPr>
                <w:sz w:val="22"/>
                <w:szCs w:val="22"/>
              </w:rPr>
            </w:r>
          </w:p>
          <w:p>
            <w:pPr>
              <w:ind w:right="83"/>
              <w:tabs>
                <w:tab w:val="center" w:pos="668" w:leader="none"/>
                <w:tab w:val="center" w:pos="209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начать собственное дело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консультаций, размещение информации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субъектов МСП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деятельности, ОЭР,</w:t>
            </w:r>
            <w:r>
              <w:rPr>
                <w:sz w:val="22"/>
                <w:szCs w:val="22"/>
              </w:rPr>
              <w:t xml:space="preserve"> консультант по приграничному сотрудничеству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13</w:t>
            </w:r>
            <w:r>
              <w:rPr>
                <w:b/>
                <w:sz w:val="22"/>
                <w:szCs w:val="22"/>
                <w:lang w:val="en-US"/>
              </w:rPr>
              <w:t xml:space="preserve">. </w:t>
            </w: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Выявление одаренны</w:t>
            </w:r>
            <w:r>
              <w:rPr>
                <w:b/>
                <w:sz w:val="22"/>
                <w:szCs w:val="22"/>
              </w:rPr>
              <w:t xml:space="preserve">х детей и молодежи, развитие их талантов и способностей, в том числе с использованием механизмов наставничества и дистанционного обучения в электронной форме, а также социальная поддержка молодых специалистов в различных сферах экономической деятельности (</w:t>
            </w:r>
            <w:r>
              <w:rPr>
                <w:b/>
                <w:sz w:val="22"/>
                <w:szCs w:val="22"/>
              </w:rPr>
              <w:t xml:space="preserve">пп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  <w:lang w:val="en-US"/>
              </w:rPr>
              <w:t xml:space="preserve">«</w:t>
            </w:r>
            <w:r>
              <w:rPr>
                <w:b/>
                <w:sz w:val="22"/>
                <w:szCs w:val="22"/>
              </w:rPr>
              <w:t xml:space="preserve">ж</w:t>
            </w:r>
            <w:r>
              <w:rPr>
                <w:b/>
                <w:sz w:val="22"/>
                <w:szCs w:val="22"/>
              </w:rPr>
              <w:t xml:space="preserve">6</w:t>
            </w:r>
            <w:r>
              <w:rPr>
                <w:b/>
                <w:sz w:val="22"/>
                <w:szCs w:val="22"/>
                <w:lang w:val="en-US"/>
              </w:rPr>
              <w:t xml:space="preserve">» п. </w:t>
            </w:r>
            <w:r>
              <w:rPr>
                <w:b/>
                <w:sz w:val="22"/>
                <w:szCs w:val="22"/>
              </w:rPr>
              <w:t xml:space="preserve">17</w:t>
            </w:r>
            <w:r>
              <w:rPr>
                <w:b/>
                <w:sz w:val="22"/>
                <w:szCs w:val="22"/>
                <w:lang w:val="en-US"/>
              </w:rPr>
              <w:t xml:space="preserve">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конкурсных мероприятий муниципального уровня (в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 муниципальные этапы мероприятий регионального, всероссийского и международного уровня) в сфере науки, культуры и спорта с целью выявления одаренных детей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демонстрации достижений обучающихся на муниципальном уровне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100 мероприятий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Выявление наиболее одаренных и перспективных школьников и студентов </w:t>
            </w:r>
            <w:r>
              <w:rPr>
                <w:sz w:val="22"/>
                <w:szCs w:val="22"/>
              </w:rPr>
              <w:t xml:space="preserve">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  <w:p>
            <w:pPr>
              <w:ind w:right="155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различных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сферах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Ежегодно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до</w:t>
            </w:r>
            <w:r>
              <w:rPr>
                <w:sz w:val="22"/>
                <w:szCs w:val="22"/>
                <w:lang w:val="en-US"/>
              </w:rPr>
              <w:t xml:space="preserve"> 31 </w:t>
            </w:r>
            <w:r>
              <w:rPr>
                <w:sz w:val="22"/>
                <w:szCs w:val="22"/>
                <w:lang w:val="en-US"/>
              </w:rPr>
              <w:t xml:space="preserve">декабря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pStyle w:val="950"/>
              <w:ind w:right="53"/>
              <w:spacing w:line="240" w:lineRule="auto"/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образования,</w:t>
            </w:r>
            <w:r>
              <w:rPr>
                <w:sz w:val="22"/>
                <w:szCs w:val="22"/>
              </w:rPr>
            </w:r>
          </w:p>
          <w:p>
            <w:pPr>
              <w:pStyle w:val="950"/>
              <w:ind w:right="53"/>
              <w:spacing w:line="240" w:lineRule="auto"/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 спорта и молодежной политики 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участия победителей муниципальных этапов региональных, федеральных конкурсов, </w:t>
            </w:r>
            <w:r>
              <w:rPr>
                <w:sz w:val="22"/>
                <w:szCs w:val="22"/>
              </w:rPr>
              <w:t xml:space="preserve">олимпиад, соревнований и иных мероприятий в региональных, зональных, федеральных и международных этапах, а также</w:t>
            </w:r>
            <w:r>
              <w:rPr>
                <w:sz w:val="22"/>
                <w:szCs w:val="22"/>
              </w:rPr>
              <w:t xml:space="preserve"> муниципальных делегаций в общественно значимых форумах регионального, зонального, федерального и международного уровня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Поддержка наиболее одаренных обучающихся детей Печенгского муниципального округа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30 мероприятий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демонстрации достижений обучающихся Печенгского муниципального округа на региональном, </w:t>
            </w:r>
            <w:r>
              <w:rPr>
                <w:sz w:val="22"/>
                <w:szCs w:val="22"/>
              </w:rPr>
              <w:t xml:space="preserve">межрегиональном, всероссийском и международном уровне 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Ежегодно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до</w:t>
            </w:r>
            <w:r>
              <w:rPr>
                <w:sz w:val="22"/>
                <w:szCs w:val="22"/>
                <w:lang w:val="en-US"/>
              </w:rPr>
              <w:t xml:space="preserve"> 31 </w:t>
            </w:r>
            <w:r>
              <w:rPr>
                <w:sz w:val="22"/>
                <w:szCs w:val="22"/>
                <w:lang w:val="en-US"/>
              </w:rPr>
              <w:t xml:space="preserve">декабря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pStyle w:val="950"/>
              <w:spacing w:line="240" w:lineRule="auto"/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образования,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 спорта и молодежной политики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  <w:highlight w:val="green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14</w:t>
            </w:r>
            <w:r>
              <w:rPr>
                <w:b/>
                <w:sz w:val="22"/>
                <w:szCs w:val="22"/>
                <w:lang w:val="en-US"/>
              </w:rPr>
              <w:t xml:space="preserve">. </w:t>
            </w:r>
            <w:r>
              <w:rPr>
                <w:b/>
                <w:sz w:val="22"/>
                <w:szCs w:val="22"/>
                <w:highlight w:val="green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Информационное обеспечение развития конкуренции на территории Печенгского муниципального округа (</w:t>
            </w:r>
            <w:r>
              <w:rPr>
                <w:b/>
                <w:sz w:val="22"/>
                <w:szCs w:val="22"/>
              </w:rPr>
              <w:t xml:space="preserve">пп</w:t>
            </w:r>
            <w:r>
              <w:rPr>
                <w:b/>
                <w:sz w:val="22"/>
                <w:szCs w:val="22"/>
              </w:rPr>
              <w:t xml:space="preserve">. «ж</w:t>
            </w:r>
            <w:r>
              <w:rPr>
                <w:b/>
                <w:sz w:val="22"/>
                <w:szCs w:val="22"/>
              </w:rPr>
              <w:t xml:space="preserve">9</w:t>
            </w:r>
            <w:r>
              <w:rPr>
                <w:b/>
                <w:sz w:val="22"/>
                <w:szCs w:val="22"/>
              </w:rPr>
              <w:t xml:space="preserve">» п. </w:t>
            </w:r>
            <w:bookmarkStart w:id="0" w:name="_GoBack"/>
            <w:r/>
            <w:bookmarkEnd w:id="0"/>
            <w:r>
              <w:rPr>
                <w:b/>
                <w:sz w:val="22"/>
                <w:szCs w:val="22"/>
              </w:rPr>
              <w:t xml:space="preserve">17)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14.1.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2" w:type="dxa"/>
            <w:textDirection w:val="lrTb"/>
            <w:noWrap w:val="false"/>
          </w:tcPr>
          <w:p>
            <w:pPr>
              <w:ind w:right="1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на официальном сайте Печенгского муниципального округа </w:t>
            </w:r>
            <w:r>
              <w:rPr>
                <w:sz w:val="22"/>
                <w:szCs w:val="22"/>
              </w:rPr>
              <w:t xml:space="preserve">в сети Интернет информации о результатах реализации муниципальной политики по развитию конкуренции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Несвоевременность, неполнота размещения о результатах реализации муниципальной политики по развитию конкуренции</w:t>
            </w:r>
            <w:r>
              <w:rPr>
                <w:sz w:val="22"/>
                <w:szCs w:val="22"/>
              </w:rPr>
            </w:r>
          </w:p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Доклад о состоянии и развитии конкурентной </w:t>
            </w:r>
            <w:r>
              <w:rPr>
                <w:sz w:val="22"/>
                <w:szCs w:val="22"/>
              </w:rPr>
              <w:t xml:space="preserve">среды на рынках товаров, работ, услуг Печенгского муниципального округа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0" w:type="dxa"/>
            <w:textDirection w:val="lrTb"/>
            <w:noWrap w:val="false"/>
          </w:tcPr>
          <w:p>
            <w:pPr>
              <w:ind w:right="79"/>
              <w:jc w:val="both"/>
              <w:rPr>
                <w:strike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Информация </w:t>
            </w:r>
            <w:r>
              <w:rPr>
                <w:sz w:val="22"/>
                <w:szCs w:val="22"/>
              </w:rPr>
              <w:t xml:space="preserve">о состоянии и развитии конкурентной среды на рынках товаров, работ, услуг Печенгского муниципального округа размещена</w:t>
            </w:r>
            <w:r>
              <w:rPr>
                <w:strike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Ежегодно, 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1 февраля года, следующего </w:t>
            </w:r>
            <w:r>
              <w:rPr>
                <w:sz w:val="22"/>
                <w:szCs w:val="22"/>
              </w:rPr>
              <w:t xml:space="preserve">за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отчетны</w:t>
            </w:r>
            <w:r>
              <w:rPr>
                <w:sz w:val="22"/>
                <w:szCs w:val="22"/>
              </w:rPr>
              <w:t xml:space="preserve">м 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left="-720" w:right="16191"/>
      </w:pPr>
      <w:r/>
      <w:r/>
    </w:p>
    <w:sectPr>
      <w:footnotePr/>
      <w:endnotePr/>
      <w:type w:val="nextPage"/>
      <w:pgSz w:w="16838" w:h="11906" w:orient="landscape"/>
      <w:pgMar w:top="851" w:right="648" w:bottom="737" w:left="720" w:header="720" w:footer="720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nsolas">
    <w:panose1 w:val="020B06090202040302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03"/>
      </w:pPr>
      <w:r>
        <w:rPr>
          <w:rStyle w:val="905"/>
        </w:rPr>
        <w:footnoteRef/>
      </w:r>
      <w:r>
        <w:t xml:space="preserve"> НУ – низкий индекс развития конкуренции; СУ – средний индекс развития конкуренции; ВУ – высокий индекс развития конкуренции; </w:t>
      </w:r>
      <w:r>
        <w:t xml:space="preserve">Кизмрег</w:t>
      </w:r>
      <w:r>
        <w:t xml:space="preserve"> – изменение количества участников товарного рынка; </w:t>
      </w:r>
      <w:r>
        <w:t xml:space="preserve">Кпд</w:t>
      </w:r>
      <w:r>
        <w:t xml:space="preserve"> – изменение количества участников товарного рынка, прекративших деятельность в возрасте до трех лет включительно; Кс – изменение количества субъектов малого и среднего предпринимательства участников товарного рынка</w:t>
      </w:r>
      <w:r>
        <w:rPr>
          <w:rFonts w:ascii="Times New Roman" w:hAnsi="Times New Roman" w:eastAsia="Times New Roman"/>
        </w:rPr>
        <w:t xml:space="preserve">. 0-1 – 0%-100%.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"/>
      <w:jc w:val="center"/>
    </w:pPr>
    <w:r>
      <w:rPr>
        <w:rFonts w:ascii="Calibri" w:hAnsi="Calibri" w:eastAsia="Calibri" w:cs="Calibri"/>
      </w:rPr>
      <w:fldChar w:fldCharType="begin"/>
    </w:r>
    <w:r>
      <w:instrText xml:space="preserve"> PAGE   \* MERGEFORMAT </w:instrText>
    </w:r>
    <w:r>
      <w:rPr>
        <w:rFonts w:ascii="Calibri" w:hAnsi="Calibri" w:eastAsia="Calibri" w:cs="Calibri"/>
      </w:rPr>
      <w:fldChar w:fldCharType="separate"/>
    </w:r>
    <w:r>
      <w:t xml:space="preserve">2</w:t>
    </w:r>
    <w:r>
      <w:fldChar w:fldCharType="end"/>
    </w:r>
    <w:r>
      <w:t xml:space="preserve"> </w:t>
    </w:r>
    <w:r/>
  </w:p>
  <w:p>
    <w:pPr>
      <w:ind w:right="13"/>
      <w:jc w:val="center"/>
    </w:pPr>
    <w:r>
      <w:rPr>
        <w:sz w:val="23"/>
      </w:rP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254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54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1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3"/>
      <w:numFmt w:val="upperRoman"/>
      <w:isLgl w:val="false"/>
      <w:suff w:val="space"/>
      <w:lvlText w:val="%1."/>
      <w:lvlJc w:val="left"/>
      <w:pPr>
        <w:ind w:left="816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9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1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3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5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7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9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1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3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77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3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77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3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bullet"/>
      <w:isLgl w:val="false"/>
      <w:suff w:val="space"/>
      <w:lvlText w:val="-"/>
      <w:lvlJc w:val="left"/>
      <w:pPr>
        <w:ind w:left="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65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50" w:hanging="1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9"/>
  </w:num>
  <w:num w:numId="5">
    <w:abstractNumId w:val="1"/>
  </w:num>
  <w:num w:numId="6">
    <w:abstractNumId w:val="1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12"/>
  </w:num>
  <w:num w:numId="12">
    <w:abstractNumId w:val="13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8">
    <w:name w:val="Heading 3 Char"/>
    <w:basedOn w:val="725"/>
    <w:link w:val="718"/>
    <w:uiPriority w:val="9"/>
    <w:rPr>
      <w:rFonts w:ascii="Arial" w:hAnsi="Arial" w:eastAsia="Arial" w:cs="Arial"/>
      <w:sz w:val="30"/>
      <w:szCs w:val="30"/>
    </w:rPr>
  </w:style>
  <w:style w:type="character" w:styleId="22">
    <w:name w:val="Heading 5 Char"/>
    <w:basedOn w:val="725"/>
    <w:link w:val="720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725"/>
    <w:link w:val="721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725"/>
    <w:link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725"/>
    <w:link w:val="723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725"/>
    <w:link w:val="724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25"/>
    <w:link w:val="737"/>
    <w:uiPriority w:val="10"/>
    <w:rPr>
      <w:sz w:val="48"/>
      <w:szCs w:val="48"/>
    </w:rPr>
  </w:style>
  <w:style w:type="character" w:styleId="37">
    <w:name w:val="Subtitle Char"/>
    <w:basedOn w:val="725"/>
    <w:link w:val="739"/>
    <w:uiPriority w:val="11"/>
    <w:rPr>
      <w:sz w:val="24"/>
      <w:szCs w:val="24"/>
    </w:rPr>
  </w:style>
  <w:style w:type="character" w:styleId="39">
    <w:name w:val="Quote Char"/>
    <w:link w:val="741"/>
    <w:uiPriority w:val="29"/>
    <w:rPr>
      <w:i/>
    </w:rPr>
  </w:style>
  <w:style w:type="character" w:styleId="41">
    <w:name w:val="Intense Quote Char"/>
    <w:link w:val="743"/>
    <w:uiPriority w:val="30"/>
    <w:rPr>
      <w:i/>
    </w:rPr>
  </w:style>
  <w:style w:type="character" w:styleId="179">
    <w:name w:val="Endnote Text Char"/>
    <w:link w:val="875"/>
    <w:uiPriority w:val="99"/>
    <w:rPr>
      <w:sz w:val="20"/>
    </w:rPr>
  </w:style>
  <w:style w:type="paragraph" w:styleId="71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16">
    <w:name w:val="Heading 1"/>
    <w:basedOn w:val="715"/>
    <w:next w:val="715"/>
    <w:link w:val="901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717">
    <w:name w:val="Heading 2"/>
    <w:basedOn w:val="715"/>
    <w:next w:val="715"/>
    <w:link w:val="902"/>
    <w:uiPriority w:val="9"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718">
    <w:name w:val="Heading 3"/>
    <w:basedOn w:val="715"/>
    <w:next w:val="715"/>
    <w:link w:val="73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9">
    <w:name w:val="Heading 4"/>
    <w:basedOn w:val="715"/>
    <w:next w:val="715"/>
    <w:link w:val="889"/>
    <w:qFormat/>
    <w:pPr>
      <w:ind w:firstLine="709"/>
      <w:keepNext/>
      <w:outlineLvl w:val="3"/>
    </w:pPr>
    <w:rPr>
      <w:sz w:val="28"/>
    </w:rPr>
  </w:style>
  <w:style w:type="paragraph" w:styleId="720">
    <w:name w:val="Heading 5"/>
    <w:basedOn w:val="715"/>
    <w:next w:val="715"/>
    <w:link w:val="73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1">
    <w:name w:val="Heading 6"/>
    <w:basedOn w:val="715"/>
    <w:next w:val="715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2">
    <w:name w:val="Heading 7"/>
    <w:basedOn w:val="715"/>
    <w:next w:val="715"/>
    <w:link w:val="73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3">
    <w:name w:val="Heading 8"/>
    <w:basedOn w:val="715"/>
    <w:next w:val="715"/>
    <w:link w:val="73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715"/>
    <w:next w:val="715"/>
    <w:link w:val="73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 w:default="1">
    <w:name w:val="Default Paragraph Font"/>
    <w:uiPriority w:val="1"/>
    <w:semiHidden/>
    <w:unhideWhenUsed/>
  </w:style>
  <w:style w:type="table" w:styleId="7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7" w:default="1">
    <w:name w:val="No List"/>
    <w:uiPriority w:val="99"/>
    <w:semiHidden/>
    <w:unhideWhenUsed/>
  </w:style>
  <w:style w:type="character" w:styleId="728" w:customStyle="1">
    <w:name w:val="Heading 1 Char"/>
    <w:basedOn w:val="725"/>
    <w:uiPriority w:val="9"/>
    <w:rPr>
      <w:rFonts w:ascii="Arial" w:hAnsi="Arial" w:eastAsia="Arial" w:cs="Arial"/>
      <w:sz w:val="40"/>
      <w:szCs w:val="40"/>
    </w:rPr>
  </w:style>
  <w:style w:type="character" w:styleId="729" w:customStyle="1">
    <w:name w:val="Heading 2 Char"/>
    <w:basedOn w:val="725"/>
    <w:uiPriority w:val="9"/>
    <w:rPr>
      <w:rFonts w:ascii="Arial" w:hAnsi="Arial" w:eastAsia="Arial" w:cs="Arial"/>
      <w:sz w:val="34"/>
    </w:rPr>
  </w:style>
  <w:style w:type="character" w:styleId="730" w:customStyle="1">
    <w:name w:val="Заголовок 3 Знак"/>
    <w:basedOn w:val="725"/>
    <w:link w:val="718"/>
    <w:uiPriority w:val="9"/>
    <w:rPr>
      <w:rFonts w:ascii="Arial" w:hAnsi="Arial" w:eastAsia="Arial" w:cs="Arial"/>
      <w:sz w:val="30"/>
      <w:szCs w:val="30"/>
    </w:rPr>
  </w:style>
  <w:style w:type="character" w:styleId="731" w:customStyle="1">
    <w:name w:val="Heading 4 Char"/>
    <w:basedOn w:val="725"/>
    <w:uiPriority w:val="9"/>
    <w:rPr>
      <w:rFonts w:ascii="Arial" w:hAnsi="Arial" w:eastAsia="Arial" w:cs="Arial"/>
      <w:b/>
      <w:bCs/>
      <w:sz w:val="26"/>
      <w:szCs w:val="26"/>
    </w:rPr>
  </w:style>
  <w:style w:type="character" w:styleId="732" w:customStyle="1">
    <w:name w:val="Заголовок 5 Знак"/>
    <w:basedOn w:val="725"/>
    <w:link w:val="720"/>
    <w:uiPriority w:val="9"/>
    <w:rPr>
      <w:rFonts w:ascii="Arial" w:hAnsi="Arial" w:eastAsia="Arial" w:cs="Arial"/>
      <w:b/>
      <w:bCs/>
      <w:sz w:val="24"/>
      <w:szCs w:val="24"/>
    </w:rPr>
  </w:style>
  <w:style w:type="character" w:styleId="733" w:customStyle="1">
    <w:name w:val="Заголовок 6 Знак"/>
    <w:basedOn w:val="725"/>
    <w:link w:val="721"/>
    <w:uiPriority w:val="9"/>
    <w:rPr>
      <w:rFonts w:ascii="Arial" w:hAnsi="Arial" w:eastAsia="Arial" w:cs="Arial"/>
      <w:b/>
      <w:bCs/>
      <w:sz w:val="22"/>
      <w:szCs w:val="22"/>
    </w:rPr>
  </w:style>
  <w:style w:type="character" w:styleId="734" w:customStyle="1">
    <w:name w:val="Заголовок 7 Знак"/>
    <w:basedOn w:val="725"/>
    <w:link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Заголовок 8 Знак"/>
    <w:basedOn w:val="725"/>
    <w:link w:val="723"/>
    <w:uiPriority w:val="9"/>
    <w:rPr>
      <w:rFonts w:ascii="Arial" w:hAnsi="Arial" w:eastAsia="Arial" w:cs="Arial"/>
      <w:i/>
      <w:iCs/>
      <w:sz w:val="22"/>
      <w:szCs w:val="22"/>
    </w:rPr>
  </w:style>
  <w:style w:type="character" w:styleId="736" w:customStyle="1">
    <w:name w:val="Заголовок 9 Знак"/>
    <w:basedOn w:val="725"/>
    <w:link w:val="724"/>
    <w:uiPriority w:val="9"/>
    <w:rPr>
      <w:rFonts w:ascii="Arial" w:hAnsi="Arial" w:eastAsia="Arial" w:cs="Arial"/>
      <w:i/>
      <w:iCs/>
      <w:sz w:val="21"/>
      <w:szCs w:val="21"/>
    </w:rPr>
  </w:style>
  <w:style w:type="paragraph" w:styleId="737">
    <w:name w:val="Title"/>
    <w:basedOn w:val="715"/>
    <w:next w:val="715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 w:customStyle="1">
    <w:name w:val="Название Знак"/>
    <w:basedOn w:val="725"/>
    <w:link w:val="737"/>
    <w:uiPriority w:val="10"/>
    <w:rPr>
      <w:sz w:val="48"/>
      <w:szCs w:val="48"/>
    </w:rPr>
  </w:style>
  <w:style w:type="paragraph" w:styleId="739">
    <w:name w:val="Subtitle"/>
    <w:basedOn w:val="715"/>
    <w:next w:val="715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 w:customStyle="1">
    <w:name w:val="Подзаголовок Знак"/>
    <w:basedOn w:val="725"/>
    <w:link w:val="739"/>
    <w:uiPriority w:val="11"/>
    <w:rPr>
      <w:sz w:val="24"/>
      <w:szCs w:val="24"/>
    </w:rPr>
  </w:style>
  <w:style w:type="paragraph" w:styleId="741">
    <w:name w:val="Quote"/>
    <w:basedOn w:val="715"/>
    <w:next w:val="715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715"/>
    <w:next w:val="715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character" w:styleId="745" w:customStyle="1">
    <w:name w:val="Header Char"/>
    <w:basedOn w:val="725"/>
    <w:uiPriority w:val="99"/>
  </w:style>
  <w:style w:type="character" w:styleId="746" w:customStyle="1">
    <w:name w:val="Footer Char"/>
    <w:basedOn w:val="725"/>
    <w:uiPriority w:val="99"/>
  </w:style>
  <w:style w:type="paragraph" w:styleId="747">
    <w:name w:val="Caption"/>
    <w:basedOn w:val="715"/>
    <w:next w:val="71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 w:customStyle="1">
    <w:name w:val="Caption Char"/>
    <w:uiPriority w:val="99"/>
  </w:style>
  <w:style w:type="table" w:styleId="749" w:customStyle="1">
    <w:name w:val="Table Grid Light"/>
    <w:basedOn w:val="72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0" w:customStyle="1">
    <w:name w:val="Plain Table 1"/>
    <w:basedOn w:val="72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Plain Table 2"/>
    <w:basedOn w:val="72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Plain Table 3"/>
    <w:basedOn w:val="72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 w:customStyle="1">
    <w:name w:val="Plain Table 4"/>
    <w:basedOn w:val="72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Plain Table 5"/>
    <w:basedOn w:val="72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1 Light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4"/>
    <w:basedOn w:val="72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72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8" w:customStyle="1">
    <w:name w:val="Grid Table 4 - Accent 2"/>
    <w:basedOn w:val="72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9" w:customStyle="1">
    <w:name w:val="Grid Table 4 - Accent 3"/>
    <w:basedOn w:val="72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0" w:customStyle="1">
    <w:name w:val="Grid Table 4 - Accent 4"/>
    <w:basedOn w:val="72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1" w:customStyle="1">
    <w:name w:val="Grid Table 4 - Accent 5"/>
    <w:basedOn w:val="72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2" w:customStyle="1">
    <w:name w:val="Grid Table 4 - Accent 6"/>
    <w:basedOn w:val="72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3" w:customStyle="1">
    <w:name w:val="Grid Table 5 Dark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6 Colorful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2" w:customStyle="1">
    <w:name w:val="Grid Table 6 Colorful - Accent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3" w:customStyle="1">
    <w:name w:val="Grid Table 6 Colorful - Accent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4" w:customStyle="1">
    <w:name w:val="Grid Table 6 Colorful - Accent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5" w:customStyle="1">
    <w:name w:val="Grid Table 6 Colorful - Accent 5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6 Colorful - Accent 6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Grid Table 7 Colorful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1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5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6"/>
    <w:basedOn w:val="72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1 Light"/>
    <w:basedOn w:val="72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72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72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72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72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72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72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8" w:customStyle="1">
    <w:name w:val="List Table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5 Dark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6 Colorful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0" w:customStyle="1">
    <w:name w:val="List Table 6 Colorful - Accent 1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1" w:customStyle="1">
    <w:name w:val="List Table 6 Colorful - Accent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List Table 6 Colorful - Accent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3" w:customStyle="1">
    <w:name w:val="List Table 6 Colorful - Accent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List Table 6 Colorful - Accent 5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5" w:customStyle="1">
    <w:name w:val="List Table 6 Colorful - Accent 6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6" w:customStyle="1">
    <w:name w:val="List Table 7 Colorful"/>
    <w:basedOn w:val="72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1"/>
    <w:basedOn w:val="72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5"/>
    <w:basedOn w:val="72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6"/>
    <w:basedOn w:val="72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ned - Accent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Lined - Accent 1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Lined - Accent 2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Lined - Accent 3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Lined - Accent 4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Lined - Accent 5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Lined - Accent 6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 &amp; Lined - Accent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Bordered &amp; Lined - Accent 1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Bordered &amp; Lined - Accent 2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Bordered &amp; Lined - Accent 3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Bordered &amp; Lined - Accent 4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Bordered &amp; Lined - Accent 5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Bordered &amp; Lined - Accent 6"/>
    <w:basedOn w:val="72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8" w:customStyle="1">
    <w:name w:val="Bordered - Accent 1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9" w:customStyle="1">
    <w:name w:val="Bordered - Accent 2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0" w:customStyle="1">
    <w:name w:val="Bordered - Accent 3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1" w:customStyle="1">
    <w:name w:val="Bordered - Accent 4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2" w:customStyle="1">
    <w:name w:val="Bordered - Accent 5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3" w:customStyle="1">
    <w:name w:val="Bordered - Accent 6"/>
    <w:basedOn w:val="72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4" w:customStyle="1">
    <w:name w:val="Footnote Text Char"/>
    <w:uiPriority w:val="99"/>
    <w:rPr>
      <w:sz w:val="18"/>
    </w:rPr>
  </w:style>
  <w:style w:type="paragraph" w:styleId="875">
    <w:name w:val="endnote text"/>
    <w:basedOn w:val="715"/>
    <w:link w:val="876"/>
    <w:uiPriority w:val="99"/>
    <w:semiHidden/>
    <w:unhideWhenUsed/>
  </w:style>
  <w:style w:type="character" w:styleId="876" w:customStyle="1">
    <w:name w:val="Текст концевой сноски Знак"/>
    <w:link w:val="875"/>
    <w:uiPriority w:val="99"/>
    <w:rPr>
      <w:sz w:val="20"/>
    </w:rPr>
  </w:style>
  <w:style w:type="character" w:styleId="877">
    <w:name w:val="endnote reference"/>
    <w:basedOn w:val="725"/>
    <w:uiPriority w:val="99"/>
    <w:semiHidden/>
    <w:unhideWhenUsed/>
    <w:rPr>
      <w:vertAlign w:val="superscript"/>
    </w:rPr>
  </w:style>
  <w:style w:type="paragraph" w:styleId="878">
    <w:name w:val="toc 1"/>
    <w:basedOn w:val="715"/>
    <w:next w:val="715"/>
    <w:uiPriority w:val="39"/>
    <w:unhideWhenUsed/>
    <w:pPr>
      <w:spacing w:after="57"/>
    </w:pPr>
  </w:style>
  <w:style w:type="paragraph" w:styleId="879">
    <w:name w:val="toc 2"/>
    <w:basedOn w:val="715"/>
    <w:next w:val="715"/>
    <w:uiPriority w:val="39"/>
    <w:unhideWhenUsed/>
    <w:pPr>
      <w:ind w:left="283"/>
      <w:spacing w:after="57"/>
    </w:pPr>
  </w:style>
  <w:style w:type="paragraph" w:styleId="880">
    <w:name w:val="toc 3"/>
    <w:basedOn w:val="715"/>
    <w:next w:val="715"/>
    <w:uiPriority w:val="39"/>
    <w:unhideWhenUsed/>
    <w:pPr>
      <w:ind w:left="567"/>
      <w:spacing w:after="57"/>
    </w:pPr>
  </w:style>
  <w:style w:type="paragraph" w:styleId="881">
    <w:name w:val="toc 4"/>
    <w:basedOn w:val="715"/>
    <w:next w:val="715"/>
    <w:uiPriority w:val="39"/>
    <w:unhideWhenUsed/>
    <w:pPr>
      <w:ind w:left="850"/>
      <w:spacing w:after="57"/>
    </w:pPr>
  </w:style>
  <w:style w:type="paragraph" w:styleId="882">
    <w:name w:val="toc 5"/>
    <w:basedOn w:val="715"/>
    <w:next w:val="715"/>
    <w:uiPriority w:val="39"/>
    <w:unhideWhenUsed/>
    <w:pPr>
      <w:ind w:left="1134"/>
      <w:spacing w:after="57"/>
    </w:pPr>
  </w:style>
  <w:style w:type="paragraph" w:styleId="883">
    <w:name w:val="toc 6"/>
    <w:basedOn w:val="715"/>
    <w:next w:val="715"/>
    <w:uiPriority w:val="39"/>
    <w:unhideWhenUsed/>
    <w:pPr>
      <w:ind w:left="1417"/>
      <w:spacing w:after="57"/>
    </w:pPr>
  </w:style>
  <w:style w:type="paragraph" w:styleId="884">
    <w:name w:val="toc 7"/>
    <w:basedOn w:val="715"/>
    <w:next w:val="715"/>
    <w:uiPriority w:val="39"/>
    <w:unhideWhenUsed/>
    <w:pPr>
      <w:ind w:left="1701"/>
      <w:spacing w:after="57"/>
    </w:pPr>
  </w:style>
  <w:style w:type="paragraph" w:styleId="885">
    <w:name w:val="toc 8"/>
    <w:basedOn w:val="715"/>
    <w:next w:val="715"/>
    <w:uiPriority w:val="39"/>
    <w:unhideWhenUsed/>
    <w:pPr>
      <w:ind w:left="1984"/>
      <w:spacing w:after="57"/>
    </w:pPr>
  </w:style>
  <w:style w:type="paragraph" w:styleId="886">
    <w:name w:val="toc 9"/>
    <w:basedOn w:val="715"/>
    <w:next w:val="715"/>
    <w:uiPriority w:val="39"/>
    <w:unhideWhenUsed/>
    <w:pPr>
      <w:ind w:left="2268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715"/>
    <w:next w:val="715"/>
    <w:uiPriority w:val="99"/>
    <w:unhideWhenUsed/>
  </w:style>
  <w:style w:type="character" w:styleId="889" w:customStyle="1">
    <w:name w:val="Заголовок 4 Знак"/>
    <w:basedOn w:val="725"/>
    <w:link w:val="71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90" w:customStyle="1">
    <w:name w:val="Знак Знак Знак Знак Знак Знак Знак Знак Знак Знак"/>
    <w:basedOn w:val="715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891" w:customStyle="1">
    <w:name w:val="ConsPlusTitle"/>
    <w:uiPriority w:val="99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92">
    <w:name w:val="List Paragraph"/>
    <w:basedOn w:val="715"/>
    <w:link w:val="913"/>
    <w:uiPriority w:val="34"/>
    <w:qFormat/>
    <w:pPr>
      <w:contextualSpacing/>
      <w:ind w:left="720"/>
    </w:pPr>
  </w:style>
  <w:style w:type="character" w:styleId="893">
    <w:name w:val="Hyperlink"/>
    <w:basedOn w:val="725"/>
    <w:uiPriority w:val="99"/>
    <w:unhideWhenUsed/>
    <w:rPr>
      <w:color w:val="0000ff"/>
      <w:u w:val="single"/>
    </w:rPr>
  </w:style>
  <w:style w:type="paragraph" w:styleId="894">
    <w:name w:val="Balloon Text"/>
    <w:basedOn w:val="715"/>
    <w:link w:val="895"/>
    <w:uiPriority w:val="99"/>
    <w:semiHidden/>
    <w:unhideWhenUsed/>
    <w:rPr>
      <w:rFonts w:ascii="Tahoma" w:hAnsi="Tahoma" w:cs="Tahoma"/>
      <w:sz w:val="16"/>
      <w:szCs w:val="16"/>
    </w:rPr>
  </w:style>
  <w:style w:type="character" w:styleId="895" w:customStyle="1">
    <w:name w:val="Текст выноски Знак"/>
    <w:basedOn w:val="725"/>
    <w:link w:val="894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96" w:customStyle="1">
    <w:name w:val="doccaption"/>
    <w:basedOn w:val="725"/>
  </w:style>
  <w:style w:type="paragraph" w:styleId="897">
    <w:name w:val="Header"/>
    <w:basedOn w:val="715"/>
    <w:link w:val="89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8" w:customStyle="1">
    <w:name w:val="Верхний колонтитул Знак"/>
    <w:basedOn w:val="725"/>
    <w:link w:val="897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99">
    <w:name w:val="Footer"/>
    <w:basedOn w:val="715"/>
    <w:link w:val="90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0" w:customStyle="1">
    <w:name w:val="Нижний колонтитул Знак"/>
    <w:basedOn w:val="725"/>
    <w:link w:val="899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01" w:customStyle="1">
    <w:name w:val="Заголовок 1 Знак"/>
    <w:basedOn w:val="725"/>
    <w:link w:val="716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902" w:customStyle="1">
    <w:name w:val="Заголовок 2 Знак"/>
    <w:basedOn w:val="725"/>
    <w:link w:val="717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paragraph" w:styleId="903">
    <w:name w:val="footnote text"/>
    <w:basedOn w:val="715"/>
    <w:link w:val="904"/>
    <w:uiPriority w:val="99"/>
    <w:semiHidden/>
    <w:unhideWhenUsed/>
    <w:rPr>
      <w:rFonts w:ascii="Calibri" w:hAnsi="Calibri" w:eastAsia="Calibri"/>
      <w:color w:val="auto"/>
      <w:lang w:eastAsia="en-US"/>
    </w:rPr>
  </w:style>
  <w:style w:type="character" w:styleId="904" w:customStyle="1">
    <w:name w:val="Текст сноски Знак"/>
    <w:basedOn w:val="725"/>
    <w:link w:val="903"/>
    <w:uiPriority w:val="99"/>
    <w:semiHidden/>
    <w:rPr>
      <w:rFonts w:ascii="Calibri" w:hAnsi="Calibri" w:eastAsia="Calibri" w:cs="Times New Roman"/>
      <w:sz w:val="20"/>
      <w:szCs w:val="20"/>
    </w:rPr>
  </w:style>
  <w:style w:type="character" w:styleId="905">
    <w:name w:val="footnote reference"/>
    <w:uiPriority w:val="99"/>
    <w:semiHidden/>
    <w:unhideWhenUsed/>
    <w:rPr>
      <w:vertAlign w:val="superscript"/>
    </w:rPr>
  </w:style>
  <w:style w:type="paragraph" w:styleId="906" w:customStyle="1">
    <w:name w:val="Default"/>
    <w:pPr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</w:rPr>
  </w:style>
  <w:style w:type="paragraph" w:styleId="907" w:customStyle="1">
    <w:name w:val="Знак Знак Знак"/>
    <w:basedOn w:val="715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paragraph" w:styleId="908">
    <w:name w:val="Body Text Indent"/>
    <w:basedOn w:val="715"/>
    <w:link w:val="909"/>
    <w:pPr>
      <w:ind w:firstLine="720"/>
      <w:jc w:val="both"/>
    </w:pPr>
    <w:rPr>
      <w:color w:val="auto"/>
      <w:sz w:val="24"/>
      <w:lang w:eastAsia="en-US"/>
    </w:rPr>
  </w:style>
  <w:style w:type="character" w:styleId="909" w:customStyle="1">
    <w:name w:val="Основной текст с отступом Знак"/>
    <w:basedOn w:val="725"/>
    <w:link w:val="908"/>
    <w:rPr>
      <w:rFonts w:ascii="Times New Roman" w:hAnsi="Times New Roman" w:eastAsia="Times New Roman" w:cs="Times New Roman"/>
      <w:sz w:val="24"/>
      <w:szCs w:val="20"/>
    </w:rPr>
  </w:style>
  <w:style w:type="paragraph" w:styleId="910">
    <w:name w:val="HTML Preformatted"/>
    <w:basedOn w:val="715"/>
    <w:link w:val="911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color w:val="auto"/>
    </w:rPr>
  </w:style>
  <w:style w:type="character" w:styleId="911" w:customStyle="1">
    <w:name w:val="Стандартный HTML Знак"/>
    <w:basedOn w:val="725"/>
    <w:link w:val="910"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912" w:customStyle="1">
    <w:name w:val="ConsPlusNormal"/>
    <w:link w:val="936"/>
    <w:pPr>
      <w:spacing w:after="0" w:line="240" w:lineRule="auto"/>
      <w:widowControl w:val="off"/>
    </w:pPr>
    <w:rPr>
      <w:rFonts w:ascii="Calibri" w:hAnsi="Calibri" w:eastAsia="Times New Roman" w:cs="Calibri"/>
      <w:lang w:eastAsia="ru-RU"/>
    </w:rPr>
  </w:style>
  <w:style w:type="character" w:styleId="913" w:customStyle="1">
    <w:name w:val="Абзац списка Знак"/>
    <w:link w:val="892"/>
    <w:uiPriority w:val="34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14" w:customStyle="1">
    <w:name w:val="Стиль1"/>
    <w:basedOn w:val="715"/>
    <w:link w:val="915"/>
    <w:qFormat/>
    <w:pPr>
      <w:ind w:firstLine="709"/>
      <w:jc w:val="both"/>
    </w:pPr>
    <w:rPr>
      <w:color w:val="ff0000"/>
      <w:sz w:val="28"/>
    </w:rPr>
  </w:style>
  <w:style w:type="character" w:styleId="915" w:customStyle="1">
    <w:name w:val="Стиль1 Знак"/>
    <w:link w:val="914"/>
    <w:rPr>
      <w:rFonts w:ascii="Times New Roman" w:hAnsi="Times New Roman" w:eastAsia="Times New Roman" w:cs="Times New Roman"/>
      <w:color w:val="ff0000"/>
      <w:sz w:val="28"/>
      <w:szCs w:val="20"/>
      <w:lang w:eastAsia="ru-RU"/>
    </w:rPr>
  </w:style>
  <w:style w:type="character" w:styleId="916" w:customStyle="1">
    <w:name w:val="Font Style44"/>
    <w:uiPriority w:val="99"/>
    <w:rPr>
      <w:rFonts w:ascii="Times New Roman" w:hAnsi="Times New Roman" w:cs="Times New Roman"/>
      <w:b/>
      <w:bCs/>
      <w:spacing w:val="-10"/>
      <w:sz w:val="22"/>
      <w:szCs w:val="22"/>
    </w:rPr>
  </w:style>
  <w:style w:type="table" w:styleId="917">
    <w:name w:val="Table Grid"/>
    <w:basedOn w:val="726"/>
    <w:uiPriority w:val="3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18">
    <w:name w:val="Strong"/>
    <w:uiPriority w:val="22"/>
    <w:qFormat/>
    <w:rPr>
      <w:b/>
      <w:bCs/>
    </w:rPr>
  </w:style>
  <w:style w:type="character" w:styleId="919">
    <w:name w:val="FollowedHyperlink"/>
    <w:uiPriority w:val="99"/>
    <w:semiHidden/>
    <w:unhideWhenUsed/>
    <w:rPr>
      <w:color w:val="954f72"/>
      <w:u w:val="single"/>
    </w:rPr>
  </w:style>
  <w:style w:type="paragraph" w:styleId="920" w:customStyle="1">
    <w:name w:val="p1"/>
    <w:basedOn w:val="715"/>
    <w:pPr>
      <w:spacing w:before="100" w:beforeAutospacing="1" w:after="100" w:afterAutospacing="1"/>
    </w:pPr>
    <w:rPr>
      <w:rFonts w:eastAsia="Calibri"/>
      <w:color w:val="auto"/>
      <w:sz w:val="24"/>
      <w:szCs w:val="24"/>
    </w:rPr>
  </w:style>
  <w:style w:type="character" w:styleId="921" w:customStyle="1">
    <w:name w:val="Font Style61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922">
    <w:name w:val="annotation reference"/>
    <w:uiPriority w:val="99"/>
    <w:semiHidden/>
    <w:unhideWhenUsed/>
    <w:rPr>
      <w:sz w:val="16"/>
      <w:szCs w:val="16"/>
    </w:rPr>
  </w:style>
  <w:style w:type="paragraph" w:styleId="923">
    <w:name w:val="annotation text"/>
    <w:basedOn w:val="715"/>
    <w:link w:val="924"/>
    <w:uiPriority w:val="99"/>
    <w:semiHidden/>
    <w:unhideWhenUsed/>
    <w:pPr>
      <w:spacing w:after="160"/>
    </w:pPr>
    <w:rPr>
      <w:rFonts w:ascii="Calibri" w:hAnsi="Calibri" w:eastAsia="Calibri"/>
      <w:color w:val="auto"/>
      <w:lang w:eastAsia="en-US"/>
    </w:rPr>
  </w:style>
  <w:style w:type="character" w:styleId="924" w:customStyle="1">
    <w:name w:val="Текст примечания Знак"/>
    <w:basedOn w:val="725"/>
    <w:link w:val="923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925">
    <w:name w:val="annotation subject"/>
    <w:basedOn w:val="923"/>
    <w:next w:val="923"/>
    <w:link w:val="926"/>
    <w:uiPriority w:val="99"/>
    <w:semiHidden/>
    <w:unhideWhenUsed/>
    <w:rPr>
      <w:b/>
      <w:bCs/>
    </w:rPr>
  </w:style>
  <w:style w:type="character" w:styleId="926" w:customStyle="1">
    <w:name w:val="Тема примечания Знак"/>
    <w:basedOn w:val="924"/>
    <w:link w:val="925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927">
    <w:name w:val="No Spacing"/>
    <w:link w:val="930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character" w:styleId="928" w:customStyle="1">
    <w:name w:val="Font Style62"/>
    <w:uiPriority w:val="99"/>
    <w:rPr>
      <w:rFonts w:hint="default" w:ascii="Times New Roman" w:hAnsi="Times New Roman" w:cs="Times New Roman"/>
      <w:sz w:val="26"/>
      <w:szCs w:val="26"/>
    </w:rPr>
  </w:style>
  <w:style w:type="character" w:styleId="929" w:customStyle="1">
    <w:name w:val="Основной шрифт абзаца1"/>
  </w:style>
  <w:style w:type="character" w:styleId="930" w:customStyle="1">
    <w:name w:val="Без интервала Знак"/>
    <w:link w:val="927"/>
    <w:uiPriority w:val="1"/>
    <w:rPr>
      <w:rFonts w:ascii="Calibri" w:hAnsi="Calibri" w:eastAsia="Calibri" w:cs="Times New Roman"/>
    </w:rPr>
  </w:style>
  <w:style w:type="paragraph" w:styleId="931" w:customStyle="1">
    <w:name w:val="font_7"/>
    <w:basedOn w:val="715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932" w:customStyle="1">
    <w:name w:val="Style8"/>
    <w:basedOn w:val="715"/>
    <w:uiPriority w:val="99"/>
    <w:pPr>
      <w:jc w:val="center"/>
      <w:widowControl w:val="off"/>
    </w:pPr>
    <w:rPr>
      <w:color w:val="auto"/>
      <w:sz w:val="24"/>
      <w:szCs w:val="24"/>
    </w:rPr>
  </w:style>
  <w:style w:type="character" w:styleId="933" w:customStyle="1">
    <w:name w:val="Font Style18"/>
    <w:uiPriority w:val="99"/>
    <w:rPr>
      <w:rFonts w:ascii="Times New Roman" w:hAnsi="Times New Roman" w:cs="Times New Roman"/>
      <w:sz w:val="24"/>
      <w:szCs w:val="24"/>
    </w:rPr>
  </w:style>
  <w:style w:type="paragraph" w:styleId="934" w:customStyle="1">
    <w:name w:val="Style9"/>
    <w:basedOn w:val="715"/>
    <w:uiPriority w:val="99"/>
    <w:pPr>
      <w:ind w:firstLine="696"/>
      <w:jc w:val="both"/>
      <w:spacing w:line="312" w:lineRule="exact"/>
      <w:widowControl w:val="off"/>
    </w:pPr>
    <w:rPr>
      <w:color w:val="auto"/>
      <w:sz w:val="24"/>
      <w:szCs w:val="24"/>
    </w:rPr>
  </w:style>
  <w:style w:type="character" w:styleId="935" w:customStyle="1">
    <w:name w:val="Font Style16"/>
    <w:uiPriority w:val="99"/>
    <w:rPr>
      <w:rFonts w:ascii="Times New Roman" w:hAnsi="Times New Roman" w:cs="Times New Roman"/>
      <w:sz w:val="26"/>
      <w:szCs w:val="26"/>
    </w:rPr>
  </w:style>
  <w:style w:type="character" w:styleId="936" w:customStyle="1">
    <w:name w:val="ConsPlusNormal Знак"/>
    <w:link w:val="912"/>
    <w:rPr>
      <w:rFonts w:ascii="Calibri" w:hAnsi="Calibri" w:eastAsia="Times New Roman" w:cs="Calibri"/>
      <w:lang w:eastAsia="ru-RU"/>
    </w:rPr>
  </w:style>
  <w:style w:type="paragraph" w:styleId="937">
    <w:name w:val="Normal (Web)"/>
    <w:basedOn w:val="715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938" w:customStyle="1">
    <w:name w:val="rmcoonvj"/>
    <w:basedOn w:val="715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939" w:customStyle="1">
    <w:name w:val="rmcbeymp"/>
    <w:basedOn w:val="715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940" w:customStyle="1">
    <w:name w:val="Обычный1"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941">
    <w:name w:val="Plain Text"/>
    <w:basedOn w:val="715"/>
    <w:link w:val="942"/>
    <w:uiPriority w:val="99"/>
    <w:semiHidden/>
    <w:unhideWhenUsed/>
    <w:rPr>
      <w:rFonts w:ascii="Consolas" w:hAnsi="Consolas" w:eastAsia="Calibri"/>
      <w:color w:val="auto"/>
      <w:sz w:val="21"/>
      <w:szCs w:val="21"/>
      <w:lang w:eastAsia="en-US"/>
    </w:rPr>
  </w:style>
  <w:style w:type="character" w:styleId="942" w:customStyle="1">
    <w:name w:val="Текст Знак"/>
    <w:basedOn w:val="725"/>
    <w:link w:val="941"/>
    <w:uiPriority w:val="99"/>
    <w:semiHidden/>
    <w:rPr>
      <w:rFonts w:ascii="Consolas" w:hAnsi="Consolas" w:eastAsia="Calibri" w:cs="Times New Roman"/>
      <w:sz w:val="21"/>
      <w:szCs w:val="21"/>
    </w:rPr>
  </w:style>
  <w:style w:type="numbering" w:styleId="943" w:customStyle="1">
    <w:name w:val="Нет списка1"/>
    <w:next w:val="727"/>
    <w:uiPriority w:val="99"/>
    <w:semiHidden/>
    <w:unhideWhenUsed/>
  </w:style>
  <w:style w:type="table" w:styleId="944" w:customStyle="1">
    <w:name w:val="Сетка таблицы1"/>
    <w:pPr>
      <w:spacing w:after="0" w:line="240" w:lineRule="auto"/>
    </w:pPr>
    <w:rPr>
      <w:rFonts w:eastAsiaTheme="minorEastAsia"/>
      <w:lang w:val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45" w:customStyle="1">
    <w:name w:val="footnote description"/>
    <w:next w:val="715"/>
    <w:link w:val="946"/>
    <w:hidden/>
    <w:pPr>
      <w:ind w:right="46"/>
      <w:jc w:val="both"/>
      <w:spacing w:after="0" w:line="259" w:lineRule="auto"/>
    </w:pPr>
    <w:rPr>
      <w:rFonts w:ascii="Times New Roman" w:hAnsi="Times New Roman" w:eastAsia="Times New Roman" w:cs="Times New Roman"/>
      <w:color w:val="000000"/>
      <w:sz w:val="20"/>
      <w:lang w:val="en-US"/>
    </w:rPr>
  </w:style>
  <w:style w:type="character" w:styleId="946" w:customStyle="1">
    <w:name w:val="footnote description Char"/>
    <w:link w:val="945"/>
    <w:rPr>
      <w:rFonts w:ascii="Times New Roman" w:hAnsi="Times New Roman" w:eastAsia="Times New Roman" w:cs="Times New Roman"/>
      <w:color w:val="000000"/>
      <w:sz w:val="20"/>
      <w:lang w:val="en-US"/>
    </w:rPr>
  </w:style>
  <w:style w:type="character" w:styleId="947" w:customStyle="1">
    <w:name w:val="footnote mark"/>
    <w:hidden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948" w:customStyle="1">
    <w:name w:val="Основной текст_"/>
    <w:basedOn w:val="725"/>
    <w:link w:val="950"/>
    <w:rPr>
      <w:rFonts w:ascii="Times New Roman" w:hAnsi="Times New Roman" w:eastAsia="Times New Roman" w:cs="Times New Roman"/>
      <w:sz w:val="20"/>
      <w:szCs w:val="20"/>
      <w:shd w:val="clear" w:color="auto" w:fill="ffffff"/>
    </w:rPr>
  </w:style>
  <w:style w:type="character" w:styleId="949" w:customStyle="1">
    <w:name w:val="Основной текст1"/>
    <w:basedOn w:val="948"/>
    <w:rPr>
      <w:rFonts w:ascii="Times New Roman" w:hAnsi="Times New Roman" w:eastAsia="Times New Roman" w:cs="Times New Roman"/>
      <w:color w:val="000000"/>
      <w:spacing w:val="0"/>
      <w:position w:val="0"/>
      <w:sz w:val="20"/>
      <w:szCs w:val="20"/>
      <w:shd w:val="clear" w:color="auto" w:fill="ffffff"/>
      <w:lang w:val="ru-RU"/>
    </w:rPr>
  </w:style>
  <w:style w:type="paragraph" w:styleId="950" w:customStyle="1">
    <w:name w:val="Основной текст6"/>
    <w:basedOn w:val="715"/>
    <w:link w:val="948"/>
    <w:pPr>
      <w:jc w:val="both"/>
      <w:spacing w:line="226" w:lineRule="exact"/>
      <w:shd w:val="clear" w:color="auto" w:fill="ffffff"/>
      <w:widowControl w:val="off"/>
    </w:pPr>
    <w:rPr>
      <w:color w:val="auto"/>
      <w:lang w:eastAsia="en-US"/>
    </w:rPr>
  </w:style>
  <w:style w:type="paragraph" w:styleId="951" w:customStyle="1">
    <w:name w:val="Заголовок 1;Заголовок параграфа (1.);Section;Section Heading;level2 hdg;111"/>
    <w:basedOn w:val="715"/>
    <w:link w:val="952"/>
    <w:uiPriority w:val="9"/>
    <w:qFormat/>
    <w:pPr>
      <w:jc w:val="both"/>
      <w:spacing w:before="240" w:after="240"/>
      <w:outlineLvl w:val="0"/>
    </w:pPr>
    <w:rPr>
      <w:bCs/>
      <w:color w:val="auto"/>
      <w:sz w:val="32"/>
      <w:szCs w:val="48"/>
      <w:lang w:eastAsia="en-US"/>
    </w:rPr>
  </w:style>
  <w:style w:type="character" w:styleId="952" w:customStyle="1">
    <w:name w:val="Заголовок 1 Знак;Заголовок параграфа (1.) Знак;Section Знак;Section Heading Знак;level2 hdg Знак;111 Знак"/>
    <w:link w:val="951"/>
    <w:uiPriority w:val="9"/>
    <w:rPr>
      <w:rFonts w:ascii="Times New Roman" w:hAnsi="Times New Roman" w:eastAsia="Times New Roman" w:cs="Times New Roman"/>
      <w:bCs/>
      <w:sz w:val="32"/>
      <w:szCs w:val="4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4AE46-2D9E-48C8-998E-EE622C0F6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162</cp:revision>
  <dcterms:created xsi:type="dcterms:W3CDTF">2025-07-15T12:01:00Z</dcterms:created>
  <dcterms:modified xsi:type="dcterms:W3CDTF">2026-08-31T14:12:27Z</dcterms:modified>
</cp:coreProperties>
</file>