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rPr>
      </w:pPr>
      <w:r>
        <w:rPr>
          <w:b/>
          <w:sz w:val="28"/>
        </w:rPr>
        <w:t xml:space="preserve">ПЕЧЕНГСКОГО МУНИЦИПАЛЬНОГО ОКРУГА</w:t>
      </w:r>
      <w:r>
        <w:rPr>
          <w:b/>
          <w:sz w:val="28"/>
        </w:rPr>
      </w:r>
      <w:r>
        <w:rPr>
          <w:b/>
          <w:sz w:val="28"/>
        </w:rPr>
      </w:r>
    </w:p>
    <w:p>
      <w:pPr>
        <w:jc w:val="center"/>
        <w:rPr>
          <w:b/>
          <w:sz w:val="28"/>
        </w:rPr>
      </w:pPr>
      <w:r>
        <w:rPr>
          <w:b/>
          <w:sz w:val="28"/>
        </w:rPr>
        <w:t xml:space="preserve">МУРМАНСКОЙ ОБЛАСТИ</w:t>
      </w:r>
      <w:r>
        <w:rPr>
          <w:b/>
          <w:sz w:val="28"/>
        </w:rPr>
      </w:r>
      <w:r>
        <w:rPr>
          <w:b/>
          <w:sz w:val="28"/>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pPr>
      <w:r/>
      <w:r/>
    </w:p>
    <w:p>
      <w:pPr>
        <w:jc w:val="center"/>
      </w:pPr>
      <w:r/>
      <w:r/>
    </w:p>
    <w:p>
      <w:pPr>
        <w:jc w:val="both"/>
        <w:rPr>
          <w:b/>
          <w:color w:val="000000"/>
          <w:szCs w:val="20"/>
        </w:rPr>
      </w:pPr>
      <w:r>
        <w:rPr>
          <w:b/>
          <w:color w:val="000000"/>
          <w:szCs w:val="20"/>
        </w:rPr>
        <w:t xml:space="preserve">от </w:t>
      </w:r>
      <w:r>
        <w:rPr>
          <w:b/>
          <w:color w:val="000000"/>
          <w:szCs w:val="20"/>
        </w:rPr>
        <w:t xml:space="preserve">09</w:t>
      </w:r>
      <w:r>
        <w:rPr>
          <w:b/>
          <w:color w:val="000000"/>
          <w:szCs w:val="20"/>
        </w:rPr>
        <w:t xml:space="preserve">.09.2026          </w:t>
      </w:r>
      <w:r>
        <w:rPr>
          <w:b/>
          <w:color w:val="000000"/>
          <w:szCs w:val="20"/>
        </w:rPr>
        <w:t xml:space="preserve"> </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w:t>
      </w:r>
      <w:r>
        <w:rPr>
          <w:b/>
          <w:color w:val="000000"/>
          <w:szCs w:val="20"/>
        </w:rPr>
        <w:tab/>
        <w:t xml:space="preserve"> № 1795</w:t>
      </w:r>
      <w:r>
        <w:rPr>
          <w:b/>
          <w:color w:val="000000"/>
          <w:szCs w:val="20"/>
        </w:rPr>
      </w:r>
      <w:r>
        <w:rPr>
          <w:b/>
          <w:color w:val="000000"/>
          <w:szCs w:val="20"/>
        </w:rPr>
      </w:r>
    </w:p>
    <w:p>
      <w:pPr>
        <w:jc w:val="center"/>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rPr>
          <w:b/>
          <w:bCs/>
        </w:rPr>
      </w:pPr>
      <w:r>
        <w:rPr>
          <w:b/>
          <w:bCs/>
        </w:rPr>
      </w:r>
      <w:r>
        <w:rPr>
          <w:b/>
          <w:bCs/>
        </w:rPr>
      </w:r>
      <w:r>
        <w:rPr>
          <w:b/>
          <w:bCs/>
        </w:rPr>
      </w:r>
    </w:p>
    <w:p>
      <w:pPr>
        <w:jc w:val="center"/>
        <w:rPr>
          <w:b/>
          <w:bCs/>
        </w:rPr>
      </w:pPr>
      <w:r>
        <w:rPr>
          <w:b/>
          <w:bCs/>
        </w:rPr>
      </w:r>
      <w:r>
        <w:rPr>
          <w:b/>
          <w:bCs/>
        </w:rPr>
      </w:r>
      <w:r>
        <w:rPr>
          <w:b/>
          <w:bCs/>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функционирования повышенной готовности для органов управления, сил</w:t>
      </w:r>
      <w:r>
        <w:rPr>
          <w:rFonts w:eastAsia="Calibri"/>
          <w:b/>
          <w:bCs/>
          <w:sz w:val="20"/>
          <w:szCs w:val="20"/>
        </w:rPr>
      </w:r>
      <w:r>
        <w:rPr>
          <w:rFonts w:eastAsia="Calibri"/>
          <w:b/>
          <w:bCs/>
          <w:sz w:val="20"/>
          <w:szCs w:val="20"/>
        </w:rPr>
      </w:r>
    </w:p>
    <w:p>
      <w:pPr>
        <w:jc w:val="center"/>
        <w:widowControl/>
        <w:tabs>
          <w:tab w:val="left" w:pos="993" w:leader="none"/>
        </w:tabs>
        <w:rPr>
          <w:rFonts w:eastAsia="Calibri"/>
          <w:b/>
          <w:bCs/>
          <w:sz w:val="20"/>
          <w:szCs w:val="20"/>
        </w:rPr>
      </w:pPr>
      <w:r>
        <w:rPr>
          <w:rFonts w:eastAsia="Calibri"/>
          <w:b/>
          <w:bCs/>
          <w:sz w:val="20"/>
          <w:szCs w:val="20"/>
        </w:rPr>
        <w:t xml:space="preserve">и средств Печенгского звена единой государственной системы предупреждения и ликвидации чрезвычайных ситуаций на территории</w:t>
      </w:r>
      <w:r>
        <w:rPr>
          <w:rFonts w:eastAsia="Calibri"/>
          <w:b/>
          <w:bCs/>
          <w:sz w:val="20"/>
          <w:szCs w:val="20"/>
        </w:rPr>
        <w:t xml:space="preserve"> н.п. Спутник,</w:t>
      </w:r>
      <w:r>
        <w:rPr>
          <w:rFonts w:eastAsia="Calibri"/>
          <w:b/>
          <w:bCs/>
          <w:sz w:val="20"/>
          <w:szCs w:val="20"/>
        </w:rPr>
        <w:t xml:space="preserve"> пгт. Печенга, ж/д ст. Печенга</w:t>
      </w:r>
      <w:r>
        <w:rPr>
          <w:rFonts w:eastAsia="Calibri"/>
          <w:b/>
          <w:bCs/>
          <w:sz w:val="20"/>
          <w:szCs w:val="20"/>
        </w:rPr>
        <w:t xml:space="preserve"> (19 км),</w:t>
      </w:r>
      <w:r>
        <w:rPr>
          <w:rFonts w:eastAsia="Calibri"/>
          <w:b/>
          <w:bCs/>
          <w:sz w:val="20"/>
          <w:szCs w:val="20"/>
        </w:rPr>
      </w:r>
      <w:r>
        <w:rPr>
          <w:rFonts w:eastAsia="Calibri"/>
          <w:b/>
          <w:bCs/>
          <w:sz w:val="20"/>
          <w:szCs w:val="20"/>
        </w:rPr>
      </w:r>
    </w:p>
    <w:p>
      <w:pPr>
        <w:jc w:val="center"/>
        <w:widowControl/>
        <w:tabs>
          <w:tab w:val="left" w:pos="993" w:leader="none"/>
        </w:tabs>
        <w:rPr>
          <w:rFonts w:eastAsia="Calibri"/>
          <w:bCs/>
          <w:sz w:val="20"/>
          <w:szCs w:val="20"/>
        </w:rPr>
      </w:pPr>
      <w:r>
        <w:rPr>
          <w:rFonts w:eastAsia="Calibri"/>
          <w:b/>
          <w:bCs/>
          <w:sz w:val="20"/>
          <w:szCs w:val="20"/>
        </w:rPr>
        <w:t xml:space="preserve"> н.п. </w:t>
      </w:r>
      <w:r>
        <w:rPr>
          <w:rFonts w:eastAsia="Calibri"/>
          <w:b/>
          <w:bCs/>
          <w:sz w:val="20"/>
          <w:szCs w:val="20"/>
        </w:rPr>
        <w:t xml:space="preserve">Корзуново </w:t>
      </w:r>
      <w:r>
        <w:rPr>
          <w:rFonts w:eastAsia="Calibri"/>
          <w:b/>
          <w:bCs/>
          <w:sz w:val="20"/>
          <w:szCs w:val="20"/>
        </w:rPr>
        <w:t xml:space="preserve">Печенгского муниципального округа</w:t>
      </w:r>
      <w:r>
        <w:rPr>
          <w:rFonts w:eastAsia="Calibri"/>
          <w:bCs/>
          <w:sz w:val="20"/>
          <w:szCs w:val="20"/>
        </w:rPr>
      </w:r>
      <w:r>
        <w:rPr>
          <w:rFonts w:eastAsia="Calibri"/>
          <w:bCs/>
          <w:sz w:val="20"/>
          <w:szCs w:val="20"/>
        </w:rPr>
      </w:r>
    </w:p>
    <w:p>
      <w:pPr>
        <w:ind w:firstLine="720"/>
        <w:jc w:val="both"/>
        <w:widowControl/>
        <w:tabs>
          <w:tab w:val="left" w:pos="993" w:leader="none"/>
        </w:tabs>
        <w:rPr>
          <w:rFonts w:eastAsia="Calibri"/>
          <w:sz w:val="20"/>
          <w:szCs w:val="20"/>
        </w:rPr>
      </w:pPr>
      <w:r>
        <w:rPr>
          <w:rFonts w:eastAsia="Calibri"/>
          <w:sz w:val="20"/>
          <w:szCs w:val="20"/>
        </w:rPr>
      </w:r>
      <w:r>
        <w:rPr>
          <w:rFonts w:eastAsia="Calibri"/>
          <w:sz w:val="20"/>
          <w:szCs w:val="20"/>
        </w:rPr>
      </w:r>
      <w:r>
        <w:rPr>
          <w:rFonts w:eastAsia="Calibri"/>
          <w:sz w:val="20"/>
          <w:szCs w:val="20"/>
        </w:rPr>
      </w:r>
    </w:p>
    <w:p>
      <w:pPr>
        <w:ind w:firstLine="720"/>
        <w:jc w:val="both"/>
        <w:widowControl/>
        <w:tabs>
          <w:tab w:val="left" w:pos="993" w:leader="none"/>
        </w:tabs>
        <w:rPr>
          <w:rFonts w:eastAsia="Calibri"/>
          <w:sz w:val="20"/>
          <w:szCs w:val="20"/>
        </w:rPr>
      </w:pPr>
      <w:r>
        <w:rPr>
          <w:rFonts w:eastAsia="Calibri"/>
          <w:sz w:val="20"/>
          <w:szCs w:val="20"/>
        </w:rPr>
      </w:r>
      <w:r>
        <w:rPr>
          <w:rFonts w:eastAsia="Calibri"/>
          <w:sz w:val="20"/>
          <w:szCs w:val="20"/>
        </w:rPr>
      </w:r>
      <w:r>
        <w:rPr>
          <w:rFonts w:eastAsia="Calibri"/>
          <w:sz w:val="20"/>
          <w:szCs w:val="20"/>
        </w:rPr>
      </w:r>
    </w:p>
    <w:p>
      <w:pPr>
        <w:ind w:firstLine="709"/>
        <w:jc w:val="both"/>
        <w:widowControl/>
        <w:tabs>
          <w:tab w:val="left" w:pos="993" w:leader="none"/>
        </w:tabs>
        <w:rPr>
          <w:rFonts w:eastAsia="Calibri"/>
          <w:bCs/>
        </w:rPr>
      </w:pPr>
      <w:r>
        <w:rPr>
          <w:rFonts w:eastAsia="Calibri"/>
          <w:bCs/>
        </w:rPr>
        <w:t xml:space="preserve">Руководствуясь Федеральным законом от 27.07.2010 № 190-ФЗ </w:t>
      </w:r>
      <w:r>
        <w:rPr>
          <w:rFonts w:eastAsia="Calibri"/>
          <w:bCs/>
        </w:rPr>
        <w:br/>
        <w:t xml:space="preserve">«О теплоснабжении», Федеральным законом от 06.10.2003 № 131-ФЗ «Об общих принципах организации м</w:t>
      </w:r>
      <w:r>
        <w:rPr>
          <w:rFonts w:eastAsia="Calibri"/>
          <w:bCs/>
        </w:rPr>
        <w:t xml:space="preserve">естного самоуправления в Российской Федерации», в соответствии с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w:t>
      </w:r>
      <w:r>
        <w:rPr>
          <w:rFonts w:eastAsia="Calibri"/>
          <w:bCs/>
        </w:rPr>
        <w:t xml:space="preserve">30.12.2003 № 794 «О единой государственной системе предупреждения и ликвидации чрезвычайных ситуаций», протоколом заседания комиссии по предупреждению и ликвидации чрезвычайных ситуаций и обеспечения пожарной безопасности Печенгского муниципального округа </w:t>
      </w:r>
      <w:r>
        <w:rPr>
          <w:rFonts w:eastAsia="Calibri"/>
          <w:bCs/>
        </w:rPr>
        <w:br/>
        <w:t xml:space="preserve">от 08.0</w:t>
      </w:r>
      <w:r>
        <w:rPr>
          <w:rFonts w:eastAsia="Calibri"/>
          <w:bCs/>
        </w:rPr>
        <w:t xml:space="preserve">9</w:t>
      </w:r>
      <w:r>
        <w:rPr>
          <w:rFonts w:eastAsia="Calibri"/>
          <w:bCs/>
        </w:rPr>
        <w:t xml:space="preserve">.2026 № </w:t>
      </w:r>
      <w:r>
        <w:rPr>
          <w:rFonts w:eastAsia="Calibri"/>
          <w:bCs/>
        </w:rPr>
        <w:t xml:space="preserve">47</w:t>
      </w:r>
      <w:r>
        <w:rPr>
          <w:rFonts w:eastAsia="Calibri"/>
          <w:bCs/>
        </w:rPr>
        <w:t xml:space="preserve">, в связи с</w:t>
      </w:r>
      <w:r>
        <w:rPr>
          <w:rFonts w:eastAsia="Calibri"/>
          <w:bCs/>
        </w:rPr>
        <w:t xml:space="preserve"> угрозой</w:t>
      </w:r>
      <w:r>
        <w:rPr>
          <w:rFonts w:eastAsia="Calibri"/>
          <w:bCs/>
        </w:rPr>
        <w:t xml:space="preserve"> </w:t>
      </w:r>
      <w:r>
        <w:rPr>
          <w:rFonts w:eastAsia="Calibri"/>
          <w:bCs/>
        </w:rPr>
        <w:t xml:space="preserve">нарушени</w:t>
      </w:r>
      <w:r>
        <w:rPr>
          <w:rFonts w:eastAsia="Calibri"/>
          <w:bCs/>
        </w:rPr>
        <w:t xml:space="preserve">я</w:t>
      </w:r>
      <w:r>
        <w:rPr>
          <w:rFonts w:eastAsia="Calibri"/>
          <w:bCs/>
        </w:rPr>
        <w:t xml:space="preserve"> жизнедеятельности населения</w:t>
      </w:r>
      <w:r>
        <w:rPr>
          <w:rFonts w:eastAsia="Calibri"/>
          <w:bCs/>
        </w:rPr>
        <w:t xml:space="preserve">,</w:t>
      </w:r>
      <w:r>
        <w:rPr>
          <w:rFonts w:eastAsia="Calibri"/>
          <w:bCs/>
        </w:rPr>
        <w:t xml:space="preserve"> обусловленной </w:t>
      </w:r>
      <w:r>
        <w:rPr>
          <w:rFonts w:eastAsia="Calibri"/>
          <w:bCs/>
        </w:rPr>
        <w:t xml:space="preserve">низким запасом </w:t>
      </w:r>
      <w:r>
        <w:rPr>
          <w:rFonts w:eastAsia="Calibri"/>
          <w:bCs/>
        </w:rPr>
        <w:t xml:space="preserve">угля на котельны</w:t>
      </w:r>
      <w:r>
        <w:rPr>
          <w:rFonts w:eastAsia="Calibri"/>
          <w:bCs/>
        </w:rPr>
        <w:t xml:space="preserve">х</w:t>
      </w:r>
      <w:r>
        <w:rPr>
          <w:rFonts w:eastAsia="Calibri"/>
          <w:bCs/>
        </w:rPr>
        <w:t xml:space="preserve">, расположенны</w:t>
      </w:r>
      <w:r>
        <w:rPr>
          <w:rFonts w:eastAsia="Calibri"/>
          <w:bCs/>
        </w:rPr>
        <w:t xml:space="preserve">х</w:t>
      </w:r>
      <w:r>
        <w:rPr>
          <w:rFonts w:eastAsia="Calibri"/>
          <w:bCs/>
        </w:rPr>
        <w:t xml:space="preserve"> на территории Печенгского муниципального округа</w:t>
      </w:r>
      <w:r>
        <w:rPr>
          <w:rFonts w:eastAsia="Calibri"/>
          <w:bCs/>
        </w:rPr>
        <w:t xml:space="preserve">, во избежание социальной напряженности,</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38"/>
        <w:numPr>
          <w:ilvl w:val="0"/>
          <w:numId w:val="28"/>
        </w:numPr>
        <w:ind w:left="0" w:firstLine="720"/>
        <w:jc w:val="both"/>
        <w:widowControl/>
        <w:tabs>
          <w:tab w:val="left" w:pos="993" w:leader="none"/>
        </w:tabs>
        <w:rPr>
          <w:rFonts w:eastAsia="Calibri"/>
          <w:bCs/>
        </w:rPr>
      </w:pPr>
      <w:r>
        <w:rPr>
          <w:rFonts w:eastAsia="Calibri"/>
          <w:bCs/>
        </w:rPr>
        <w:t xml:space="preserve">Ввести на территории</w:t>
      </w:r>
      <w:r>
        <w:rPr>
          <w:rFonts w:eastAsia="Calibri"/>
          <w:bCs/>
        </w:rPr>
        <w:t xml:space="preserve"> н.п. Спутник, пгт. Печенга, ж/д ст. Печенга (19 км), </w:t>
        <w:br/>
        <w:t xml:space="preserve">н.п. Корзуново</w:t>
      </w:r>
      <w:r>
        <w:rPr>
          <w:rFonts w:eastAsia="Calibri"/>
          <w:bCs/>
        </w:rPr>
        <w:t xml:space="preserve"> Печенгского муниципального округа с 1</w:t>
      </w:r>
      <w:r>
        <w:rPr>
          <w:rFonts w:eastAsia="Calibri"/>
          <w:bCs/>
        </w:rPr>
        <w:t xml:space="preserve">7</w:t>
      </w:r>
      <w:r>
        <w:rPr>
          <w:rFonts w:eastAsia="Calibri"/>
          <w:bCs/>
        </w:rPr>
        <w:t xml:space="preserve">.00 час. 08.0</w:t>
      </w:r>
      <w:r>
        <w:rPr>
          <w:rFonts w:eastAsia="Calibri"/>
          <w:bCs/>
        </w:rPr>
        <w:t xml:space="preserve">9</w:t>
      </w:r>
      <w:r>
        <w:rPr>
          <w:rFonts w:eastAsia="Calibri"/>
          <w:bCs/>
        </w:rPr>
        <w:t xml:space="preserve">.2026 до особого решения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938"/>
        <w:numPr>
          <w:ilvl w:val="0"/>
          <w:numId w:val="28"/>
        </w:numPr>
        <w:ind w:left="0" w:firstLine="709"/>
        <w:jc w:val="both"/>
        <w:widowControl/>
        <w:rPr>
          <w:rFonts w:eastAsia="Calibri"/>
          <w:bCs/>
        </w:rPr>
      </w:pPr>
      <w:r>
        <w:rPr>
          <w:rFonts w:eastAsia="Calibri"/>
          <w:bCs/>
        </w:rPr>
        <w:t xml:space="preserve">Организовать выполнение комплекса мер по предотвращению угрозы возникновения чрезвычайной ситуации, обусловленной риском </w:t>
      </w:r>
      <w:r>
        <w:rPr>
          <w:rFonts w:eastAsia="Calibri"/>
          <w:bCs/>
        </w:rPr>
        <w:t xml:space="preserve">срыва начала отопительного периода 2026 - 2027 годов, вызванной низким количеством угля на котельных,</w:t>
      </w:r>
      <w:r>
        <w:rPr>
          <w:rFonts w:eastAsia="Calibri"/>
          <w:bCs/>
        </w:rPr>
        <w:t xml:space="preserve"> что может</w:t>
      </w:r>
      <w:r>
        <w:rPr>
          <w:rFonts w:eastAsia="Calibri"/>
          <w:bCs/>
        </w:rPr>
        <w:t xml:space="preserve"> повлечь нарушение жизнедеятельности населения.</w:t>
      </w:r>
      <w:r>
        <w:rPr>
          <w:rFonts w:eastAsia="Calibri"/>
          <w:bCs/>
        </w:rPr>
      </w:r>
      <w:r>
        <w:rPr>
          <w:rFonts w:eastAsia="Calibri"/>
          <w:bCs/>
        </w:rPr>
      </w:r>
    </w:p>
    <w:p>
      <w:pPr>
        <w:numPr>
          <w:ilvl w:val="0"/>
          <w:numId w:val="28"/>
        </w:numPr>
        <w:ind w:left="0" w:right="0" w:firstLine="709"/>
        <w:jc w:val="both"/>
        <w:widowControl/>
        <w:tabs>
          <w:tab w:val="left" w:pos="993" w:leader="none"/>
        </w:tabs>
      </w:pPr>
      <w:r>
        <w:t xml:space="preserve">Администрации Печенгского муниципального округа выделить MУП «Тепловые сети» из резервного фонда </w:t>
      </w:r>
      <w:r>
        <w:t xml:space="preserve">администрации Печенгского муниципального округа денежные средства для выполнения комплекса мер для предупреждения чрезвычайной ситуации обусловленной риском срыва начала отопительного периода 2026-2027 годов, вызванной низким количеством угля на котельных.</w:t>
      </w:r>
      <w:r/>
    </w:p>
    <w:p>
      <w:pPr>
        <w:pStyle w:val="938"/>
        <w:numPr>
          <w:ilvl w:val="0"/>
          <w:numId w:val="28"/>
        </w:numPr>
        <w:ind w:left="0" w:firstLine="709"/>
        <w:jc w:val="both"/>
        <w:widowControl/>
        <w:tabs>
          <w:tab w:val="left" w:pos="993" w:leader="none"/>
        </w:tabs>
        <w:rPr>
          <w:rFonts w:eastAsia="Calibri"/>
          <w:bCs/>
        </w:rPr>
      </w:pPr>
      <w:r>
        <w:rPr>
          <w:rFonts w:eastAsia="Calibri"/>
          <w:bCs/>
        </w:rPr>
        <w:t xml:space="preserve">МУП «Тепловые сети» </w:t>
      </w:r>
      <w:r>
        <w:rPr>
          <w:rFonts w:eastAsia="Calibri"/>
          <w:bCs/>
        </w:rPr>
        <w:t xml:space="preserve">(Богданов А.Н.):</w:t>
      </w:r>
      <w:r>
        <w:rPr>
          <w:rFonts w:eastAsia="Calibri"/>
          <w:bCs/>
        </w:rPr>
      </w:r>
      <w:r>
        <w:rPr>
          <w:rFonts w:eastAsia="Calibri"/>
          <w:bCs/>
        </w:rPr>
      </w:r>
    </w:p>
    <w:p>
      <w:pPr>
        <w:ind w:firstLine="709"/>
        <w:jc w:val="both"/>
      </w:pPr>
      <w:r>
        <w:t xml:space="preserve">4</w:t>
      </w:r>
      <w:r>
        <w:t xml:space="preserve">.1. В целях предотвращения нарушения жизнеобеспечения населения, взять на особый контроль функционирование и обеспечение топливом объектов </w:t>
      </w:r>
      <w:r>
        <w:t xml:space="preserve">теплоэнергетического комплекса,</w:t>
      </w:r>
      <w:r>
        <w:t xml:space="preserve"> расположенных на территории н.п. Спутник, </w:t>
        <w:br/>
        <w:t xml:space="preserve">пгт. Печенга, ж/д ст. Печенга (19 км), н.п. Корзуново Печенгского муниципального округа. </w:t>
      </w:r>
      <w:r>
        <w:t xml:space="preserve">Максимально отслеживать ситуацию с поставкой угля и работой систем теплоснабжения. </w:t>
      </w:r>
      <w:r/>
    </w:p>
    <w:p>
      <w:pPr>
        <w:ind w:firstLine="709"/>
        <w:jc w:val="both"/>
      </w:pPr>
      <w:r>
        <w:t xml:space="preserve">4</w:t>
      </w:r>
      <w:r>
        <w:t xml:space="preserve">.2. Организовать создание нормативных эксплуатационных запасов угля на котельных, расположенных на территории Печенгского муниципального округа:</w:t>
      </w:r>
      <w:r/>
    </w:p>
    <w:p>
      <w:pPr>
        <w:ind w:left="0" w:right="0" w:firstLine="709"/>
        <w:jc w:val="both"/>
      </w:pPr>
      <w:r>
        <w:t xml:space="preserve">- пгт. Печенга, ул. Стадионная (котельная №13/73);</w:t>
      </w:r>
      <w:r/>
    </w:p>
    <w:p>
      <w:pPr>
        <w:ind w:left="0" w:right="0" w:firstLine="709"/>
        <w:jc w:val="both"/>
      </w:pPr>
      <w:r>
        <w:t xml:space="preserve">- пгт. Печенга, ул. Печенгское шоссе (котельная № 13/55);</w:t>
      </w:r>
      <w:r/>
    </w:p>
    <w:p>
      <w:pPr>
        <w:ind w:left="0" w:right="0" w:firstLine="709"/>
        <w:jc w:val="both"/>
      </w:pPr>
      <w:r>
        <w:t xml:space="preserve">- ж/д ст. Печенга (котельная № 4/152);</w:t>
      </w:r>
      <w:r/>
    </w:p>
    <w:p>
      <w:pPr>
        <w:ind w:left="0" w:right="0" w:firstLine="709"/>
        <w:jc w:val="both"/>
      </w:pPr>
      <w:r>
        <w:t xml:space="preserve">- н</w:t>
      </w:r>
      <w:r>
        <w:t xml:space="preserve">.</w:t>
      </w:r>
      <w:r>
        <w:t xml:space="preserve">п. Спутник (котельная № 42/138);</w:t>
      </w:r>
      <w:r/>
    </w:p>
    <w:p>
      <w:pPr>
        <w:ind w:left="0" w:right="0" w:firstLine="709"/>
        <w:jc w:val="both"/>
      </w:pPr>
      <w:r>
        <w:t xml:space="preserve">- н</w:t>
      </w:r>
      <w:r>
        <w:t xml:space="preserve">.</w:t>
      </w:r>
      <w:r>
        <w:t xml:space="preserve">п. Козуново (котельная № 51). </w:t>
      </w:r>
      <w:r/>
    </w:p>
    <w:p>
      <w:pPr>
        <w:ind w:left="0" w:right="0" w:firstLine="709"/>
        <w:jc w:val="both"/>
      </w:pPr>
      <w:r>
        <w:t xml:space="preserve">Принять все необходимые решения в целях обеспечения безаварийной работы вверенных объектов ЖКХ.</w:t>
      </w:r>
      <w:r/>
    </w:p>
    <w:p>
      <w:pPr>
        <w:ind w:firstLine="709"/>
        <w:jc w:val="both"/>
      </w:pPr>
      <w:r>
        <w:t xml:space="preserve">4</w:t>
      </w:r>
      <w:r>
        <w:t xml:space="preserve">.3. </w:t>
      </w:r>
      <w:r>
        <w:t xml:space="preserve">Составить </w:t>
      </w:r>
      <w:r>
        <w:t xml:space="preserve">до 14.09.2026 </w:t>
      </w:r>
      <w:r>
        <w:t xml:space="preserve">планы - графики поставки угля на котельные и представить их в адрес МКУ «ЕДДС Печенгского муниципального округа» и в адрес отдела строительства и ЖКХ администрации Печенгского муниципального округа.</w:t>
      </w:r>
      <w:r/>
    </w:p>
    <w:p>
      <w:pPr>
        <w:ind w:firstLine="709"/>
        <w:jc w:val="both"/>
        <w:rPr>
          <w:sz w:val="26"/>
          <w:szCs w:val="26"/>
        </w:rPr>
      </w:pPr>
      <w:r>
        <w:t xml:space="preserve">4</w:t>
      </w:r>
      <w:r>
        <w:t xml:space="preserve">.4. Обеспечить своевременную поставку</w:t>
      </w:r>
      <w:r>
        <w:rPr>
          <w:sz w:val="26"/>
          <w:szCs w:val="26"/>
        </w:rPr>
        <w:t xml:space="preserve"> угля на объекты теплоснабжени</w:t>
      </w:r>
      <w:r>
        <w:rPr>
          <w:sz w:val="26"/>
          <w:szCs w:val="26"/>
        </w:rPr>
        <w:t xml:space="preserve">я</w:t>
      </w:r>
      <w:r>
        <w:rPr>
          <w:sz w:val="26"/>
          <w:szCs w:val="26"/>
        </w:rPr>
        <w:t xml:space="preserve">, находящиеся в ведении организации.</w:t>
      </w:r>
      <w:r>
        <w:rPr>
          <w:sz w:val="26"/>
          <w:szCs w:val="26"/>
        </w:rPr>
      </w:r>
      <w:r>
        <w:rPr>
          <w:sz w:val="26"/>
          <w:szCs w:val="26"/>
        </w:rPr>
      </w:r>
    </w:p>
    <w:p>
      <w:pPr>
        <w:ind w:firstLine="720"/>
        <w:jc w:val="both"/>
        <w:widowControl/>
        <w:tabs>
          <w:tab w:val="left" w:pos="993" w:leader="none"/>
        </w:tabs>
        <w:rPr>
          <w:rFonts w:eastAsia="Calibri"/>
          <w:bCs/>
        </w:rPr>
      </w:pPr>
      <w:r>
        <w:rPr>
          <w:rFonts w:eastAsia="Calibri"/>
          <w:lang w:eastAsia="ar-SA"/>
        </w:rPr>
        <w:t xml:space="preserve">5</w:t>
      </w:r>
      <w:r>
        <w:rPr>
          <w:rFonts w:eastAsia="Calibri"/>
          <w:lang w:eastAsia="ar-SA"/>
        </w:rPr>
        <w:t xml:space="preserve">. Настоящее постановление вступ</w:t>
      </w:r>
      <w:r>
        <w:rPr>
          <w:rFonts w:eastAsia="Calibri"/>
          <w:lang w:eastAsia="ar-SA"/>
        </w:rPr>
        <w:t xml:space="preserve">ает в силу после его подписания и распространяется на правоотношения, возникшие с 08.09.2026.</w:t>
      </w:r>
      <w:bookmarkStart w:id="0" w:name="_GoBack"/>
      <w:r/>
      <w:bookmarkEnd w:id="0"/>
      <w:r>
        <w:rPr>
          <w:rFonts w:eastAsia="Calibri"/>
          <w:bCs/>
        </w:rPr>
      </w:r>
      <w:r>
        <w:rPr>
          <w:rFonts w:eastAsia="Calibri"/>
          <w:bCs/>
        </w:rPr>
      </w:r>
    </w:p>
    <w:p>
      <w:pPr>
        <w:ind w:firstLine="709"/>
        <w:jc w:val="both"/>
        <w:widowControl/>
        <w:tabs>
          <w:tab w:val="left" w:pos="1080" w:leader="none"/>
        </w:tabs>
        <w:rPr>
          <w:bCs/>
          <w:iCs/>
        </w:rPr>
      </w:pPr>
      <w:r>
        <w:rPr>
          <w:rFonts w:eastAsia="Calibri"/>
          <w:lang w:eastAsia="ar-SA"/>
        </w:rPr>
        <w:t xml:space="preserve">6</w:t>
      </w:r>
      <w:r>
        <w:rPr>
          <w:rFonts w:eastAsia="Calibri"/>
          <w:lang w:eastAsia="ar-SA"/>
        </w:rPr>
        <w:t xml:space="preserve">. Настоящее постановление разместить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54"/>
        <w:ind w:firstLine="720"/>
        <w:jc w:val="both"/>
        <w:rPr>
          <w:b w:val="0"/>
          <w:bCs w:val="0"/>
          <w:sz w:val="24"/>
          <w:szCs w:val="24"/>
        </w:rPr>
      </w:pPr>
      <w:r>
        <w:rPr>
          <w:b w:val="0"/>
          <w:sz w:val="24"/>
          <w:szCs w:val="24"/>
        </w:rPr>
        <w:t xml:space="preserve">7</w:t>
      </w:r>
      <w:r>
        <w:rPr>
          <w:b w:val="0"/>
          <w:sz w:val="24"/>
          <w:szCs w:val="24"/>
        </w:rPr>
        <w:t xml:space="preserve">. </w:t>
      </w:r>
      <w:r>
        <w:rPr>
          <w:rFonts w:eastAsia="Times New Roman"/>
          <w:b w:val="0"/>
          <w:sz w:val="24"/>
          <w:szCs w:val="24"/>
        </w:rPr>
        <w:t xml:space="preserve">Контроль за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pPr>
        <w:rPr>
          <w:sz w:val="20"/>
          <w:szCs w:val="20"/>
        </w:rPr>
      </w:pPr>
      <w:r>
        <w:t xml:space="preserve">Глава Печенгского муниципального округа                                                         А.С. Пеньшин</w:t>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Самойлов С.А., 62479, ЮрО</w:t>
      </w:r>
      <w:r>
        <w:rPr>
          <w:sz w:val="20"/>
          <w:szCs w:val="20"/>
        </w:rPr>
      </w:r>
      <w:r>
        <w:rPr>
          <w:sz w:val="20"/>
          <w:szCs w:val="20"/>
        </w:rPr>
      </w:r>
    </w:p>
    <w:p>
      <w:pPr>
        <w:rPr>
          <w:sz w:val="20"/>
          <w:szCs w:val="20"/>
        </w:rPr>
      </w:pPr>
      <w:r>
        <w:rPr>
          <w:sz w:val="20"/>
          <w:szCs w:val="20"/>
        </w:rPr>
      </w:r>
      <w:r>
        <w:rPr>
          <w:sz w:val="20"/>
          <w:szCs w:val="20"/>
        </w:rPr>
      </w:r>
      <w:r>
        <w:rPr>
          <w:sz w:val="20"/>
          <w:szCs w:val="20"/>
        </w:rPr>
      </w:r>
    </w:p>
    <w:p>
      <w:pPr>
        <w:jc w:val="center"/>
        <w:rPr>
          <w:b/>
        </w:rPr>
      </w:pPr>
      <w:r>
        <w:rPr>
          <w:b/>
        </w:rPr>
      </w:r>
      <w:r>
        <w:rPr>
          <w:b/>
        </w:rPr>
      </w:r>
      <w:r>
        <w:rPr>
          <w:b/>
        </w:rPr>
      </w:r>
    </w:p>
    <w:sectPr>
      <w:footnotePr/>
      <w:endnotePr/>
      <w:type w:val="nextPage"/>
      <w:pgSz w:w="11906" w:h="16838" w:orient="portrait"/>
      <w:pgMar w:top="567" w:right="850" w:bottom="397"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decimal"/>
      <w:isLgl w:val="false"/>
      <w:suff w:val="space"/>
      <w:lvlText w:val="%1."/>
      <w:lvlJc w:val="left"/>
      <w:pPr>
        <w:ind w:left="1740"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5">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7">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871" w:hanging="10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15">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1353" w:hanging="360"/>
      </w:pPr>
      <w:rPr>
        <w:rFonts w:hint="default"/>
      </w:rPr>
    </w:lvl>
    <w:lvl w:ilvl="1">
      <w:start w:val="1"/>
      <w:numFmt w:val="decimal"/>
      <w:isLgl/>
      <w:suff w:val="tab"/>
      <w:lvlText w:val="%1.%2."/>
      <w:lvlJc w:val="left"/>
      <w:pPr>
        <w:ind w:left="928" w:hanging="360"/>
      </w:pPr>
      <w:rPr>
        <w:rFonts w:hint="default"/>
      </w:rPr>
    </w:lvl>
    <w:lvl w:ilvl="2">
      <w:start w:val="1"/>
      <w:numFmt w:val="decimal"/>
      <w:isLgl/>
      <w:suff w:val="tab"/>
      <w:lvlText w:val="%1.%2.%3."/>
      <w:lvlJc w:val="left"/>
      <w:pPr>
        <w:ind w:left="1713" w:hanging="720"/>
      </w:pPr>
      <w:rPr>
        <w:rFonts w:hint="default"/>
      </w:rPr>
    </w:lvl>
    <w:lvl w:ilvl="3">
      <w:start w:val="1"/>
      <w:numFmt w:val="decimal"/>
      <w:isLgl/>
      <w:suff w:val="tab"/>
      <w:lvlText w:val="%1.%2.%3.%4."/>
      <w:lvlJc w:val="left"/>
      <w:pPr>
        <w:ind w:left="1713" w:hanging="720"/>
      </w:pPr>
      <w:rPr>
        <w:rFonts w:hint="default"/>
      </w:rPr>
    </w:lvl>
    <w:lvl w:ilvl="4">
      <w:start w:val="1"/>
      <w:numFmt w:val="decimal"/>
      <w:isLgl/>
      <w:suff w:val="tab"/>
      <w:lvlText w:val="%1.%2.%3.%4.%5."/>
      <w:lvlJc w:val="left"/>
      <w:pPr>
        <w:ind w:left="2073" w:hanging="1080"/>
      </w:pPr>
      <w:rPr>
        <w:rFonts w:hint="default"/>
      </w:rPr>
    </w:lvl>
    <w:lvl w:ilvl="5">
      <w:start w:val="1"/>
      <w:numFmt w:val="decimal"/>
      <w:isLgl/>
      <w:suff w:val="tab"/>
      <w:lvlText w:val="%1.%2.%3.%4.%5.%6."/>
      <w:lvlJc w:val="left"/>
      <w:pPr>
        <w:ind w:left="2073" w:hanging="1080"/>
      </w:pPr>
      <w:rPr>
        <w:rFonts w:hint="default"/>
      </w:rPr>
    </w:lvl>
    <w:lvl w:ilvl="6">
      <w:start w:val="1"/>
      <w:numFmt w:val="decimal"/>
      <w:isLgl/>
      <w:suff w:val="tab"/>
      <w:lvlText w:val="%1.%2.%3.%4.%5.%6.%7."/>
      <w:lvlJc w:val="left"/>
      <w:pPr>
        <w:ind w:left="2433" w:hanging="1440"/>
      </w:pPr>
      <w:rPr>
        <w:rFonts w:hint="default"/>
      </w:rPr>
    </w:lvl>
    <w:lvl w:ilvl="7">
      <w:start w:val="1"/>
      <w:numFmt w:val="decimal"/>
      <w:isLgl/>
      <w:suff w:val="tab"/>
      <w:lvlText w:val="%1.%2.%3.%4.%5.%6.%7.%8."/>
      <w:lvlJc w:val="left"/>
      <w:pPr>
        <w:ind w:left="2433" w:hanging="1440"/>
      </w:pPr>
      <w:rPr>
        <w:rFonts w:hint="default"/>
      </w:rPr>
    </w:lvl>
    <w:lvl w:ilvl="8">
      <w:start w:val="1"/>
      <w:numFmt w:val="decimal"/>
      <w:isLgl/>
      <w:suff w:val="tab"/>
      <w:lvlText w:val="%1.%2.%3.%4.%5.%6.%7.%8.%9."/>
      <w:lvlJc w:val="left"/>
      <w:pPr>
        <w:ind w:left="2793" w:hanging="1800"/>
      </w:pPr>
      <w:rPr>
        <w:rFonts w:hint="default"/>
      </w:rPr>
    </w:lvl>
  </w:abstractNum>
  <w:abstractNum w:abstractNumId="22">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4">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6">
    <w:multiLevelType w:val="hybridMultilevel"/>
    <w:lvl w:ilvl="0">
      <w:start w:val="1"/>
      <w:numFmt w:val="decimal"/>
      <w:isLgl w:val="false"/>
      <w:suff w:val="tab"/>
      <w:lvlText w:val="%1."/>
      <w:lvlJc w:val="left"/>
      <w:pPr>
        <w:ind w:left="644" w:hanging="360"/>
      </w:pPr>
      <w:rPr>
        <w:b/>
        <w:sz w:val="20"/>
        <w:szCs w:val="20"/>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27">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9">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num w:numId="1">
    <w:abstractNumId w:val="7"/>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6"/>
  </w:num>
  <w:num w:numId="3">
    <w:abstractNumId w:val="5"/>
  </w:num>
  <w:num w:numId="4">
    <w:abstractNumId w:val="24"/>
  </w:num>
  <w:num w:numId="5">
    <w:abstractNumId w:val="10"/>
  </w:num>
  <w:num w:numId="6">
    <w:abstractNumId w:val="18"/>
  </w:num>
  <w:num w:numId="7">
    <w:abstractNumId w:val="8"/>
  </w:num>
  <w:num w:numId="8">
    <w:abstractNumId w:val="4"/>
  </w:num>
  <w:num w:numId="9">
    <w:abstractNumId w:val="29"/>
  </w:num>
  <w:num w:numId="10">
    <w:abstractNumId w:val="0"/>
  </w:num>
  <w:num w:numId="11">
    <w:abstractNumId w:val="2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3"/>
  </w:num>
  <w:num w:numId="15">
    <w:abstractNumId w:val="22"/>
  </w:num>
  <w:num w:numId="16">
    <w:abstractNumId w:val="11"/>
  </w:num>
  <w:num w:numId="17">
    <w:abstractNumId w:val="2"/>
  </w:num>
  <w:num w:numId="18">
    <w:abstractNumId w:val="27"/>
  </w:num>
  <w:num w:numId="19">
    <w:abstractNumId w:val="15"/>
  </w:num>
  <w:num w:numId="20">
    <w:abstractNumId w:val="12"/>
  </w:num>
  <w:num w:numId="21">
    <w:abstractNumId w:val="3"/>
  </w:num>
  <w:num w:numId="22">
    <w:abstractNumId w:val="19"/>
  </w:num>
  <w:num w:numId="23">
    <w:abstractNumId w:val="28"/>
  </w:num>
  <w:num w:numId="24">
    <w:abstractNumId w:val="25"/>
  </w:num>
  <w:num w:numId="25">
    <w:abstractNumId w:val="6"/>
  </w:num>
  <w:num w:numId="26">
    <w:abstractNumId w:val="9"/>
  </w:num>
  <w:num w:numId="27">
    <w:abstractNumId w:val="17"/>
  </w:num>
  <w:num w:numId="28">
    <w:abstractNumId w:val="1"/>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qFormat/>
    <w:pPr>
      <w:widowControl w:val="off"/>
    </w:pPr>
    <w:rPr>
      <w:rFonts w:ascii="Times New Roman" w:hAnsi="Times New Roman" w:eastAsia="Times New Roman"/>
      <w:sz w:val="24"/>
      <w:szCs w:val="24"/>
    </w:rPr>
  </w:style>
  <w:style w:type="paragraph" w:styleId="716">
    <w:name w:val="Heading 1"/>
    <w:basedOn w:val="715"/>
    <w:next w:val="715"/>
    <w:link w:val="764"/>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65"/>
    <w:qFormat/>
    <w:pPr>
      <w:jc w:val="center"/>
      <w:keepNext/>
      <w:widowControl/>
      <w:outlineLvl w:val="1"/>
    </w:pPr>
    <w:rPr>
      <w:b/>
      <w:sz w:val="44"/>
    </w:rPr>
  </w:style>
  <w:style w:type="paragraph" w:styleId="718">
    <w:name w:val="Heading 3"/>
    <w:basedOn w:val="715"/>
    <w:next w:val="715"/>
    <w:link w:val="766"/>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767"/>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68"/>
    <w:uiPriority w:val="9"/>
    <w:unhideWhenUsed/>
    <w:qFormat/>
    <w:pPr>
      <w:keepLines/>
      <w:keepNext/>
      <w:spacing w:before="320" w:after="200"/>
      <w:outlineLvl w:val="4"/>
    </w:pPr>
    <w:rPr>
      <w:rFonts w:ascii="Arial" w:hAnsi="Arial" w:eastAsia="Arial" w:cs="Arial"/>
      <w:b/>
      <w:bCs/>
    </w:rPr>
  </w:style>
  <w:style w:type="paragraph" w:styleId="721">
    <w:name w:val="Heading 6"/>
    <w:basedOn w:val="715"/>
    <w:next w:val="715"/>
    <w:link w:val="769"/>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71"/>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72"/>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1"/>
    <w:semiHidden/>
    <w:unhideWhenUsed/>
  </w:style>
  <w:style w:type="table" w:styleId="726" w:default="1">
    <w:name w:val="Normal Table"/>
    <w:uiPriority w:val="99"/>
    <w:semiHidden/>
    <w:unhideWhenUsed/>
    <w:tblPr>
      <w:tblInd w:w="0" w:type="dxa"/>
      <w:tblCellMar>
        <w:left w:w="108" w:type="dxa"/>
        <w:top w:w="0" w:type="dxa"/>
        <w:right w:w="108" w:type="dxa"/>
        <w:bottom w:w="0" w:type="dxa"/>
      </w:tblCellMar>
    </w:tblPr>
  </w:style>
  <w:style w:type="numbering" w:styleId="727" w:default="1">
    <w:name w:val="No List"/>
    <w:uiPriority w:val="99"/>
    <w:semiHidden/>
    <w:unhideWhenUsed/>
  </w:style>
  <w:style w:type="character" w:styleId="728" w:customStyle="1">
    <w:name w:val="Heading 1 Char"/>
    <w:basedOn w:val="725"/>
    <w:uiPriority w:val="9"/>
    <w:rPr>
      <w:rFonts w:ascii="Arial" w:hAnsi="Arial" w:eastAsia="Arial" w:cs="Arial"/>
      <w:sz w:val="40"/>
      <w:szCs w:val="40"/>
    </w:rPr>
  </w:style>
  <w:style w:type="character" w:styleId="729" w:customStyle="1">
    <w:name w:val="Heading 2 Char"/>
    <w:basedOn w:val="725"/>
    <w:uiPriority w:val="9"/>
    <w:rPr>
      <w:rFonts w:ascii="Arial" w:hAnsi="Arial" w:eastAsia="Arial" w:cs="Arial"/>
      <w:sz w:val="34"/>
    </w:rPr>
  </w:style>
  <w:style w:type="character" w:styleId="730" w:customStyle="1">
    <w:name w:val="Heading 3 Char"/>
    <w:basedOn w:val="725"/>
    <w:uiPriority w:val="9"/>
    <w:rPr>
      <w:rFonts w:ascii="Arial" w:hAnsi="Arial" w:eastAsia="Arial" w:cs="Arial"/>
      <w:sz w:val="30"/>
      <w:szCs w:val="30"/>
    </w:rPr>
  </w:style>
  <w:style w:type="character" w:styleId="731" w:customStyle="1">
    <w:name w:val="Heading 4 Char"/>
    <w:basedOn w:val="725"/>
    <w:uiPriority w:val="9"/>
    <w:rPr>
      <w:rFonts w:ascii="Arial" w:hAnsi="Arial" w:eastAsia="Arial" w:cs="Arial"/>
      <w:b/>
      <w:bCs/>
      <w:sz w:val="26"/>
      <w:szCs w:val="26"/>
    </w:rPr>
  </w:style>
  <w:style w:type="character" w:styleId="732" w:customStyle="1">
    <w:name w:val="Heading 5 Char"/>
    <w:basedOn w:val="725"/>
    <w:uiPriority w:val="9"/>
    <w:rPr>
      <w:rFonts w:ascii="Arial" w:hAnsi="Arial" w:eastAsia="Arial" w:cs="Arial"/>
      <w:b/>
      <w:bCs/>
      <w:sz w:val="24"/>
      <w:szCs w:val="24"/>
    </w:rPr>
  </w:style>
  <w:style w:type="character" w:styleId="733" w:customStyle="1">
    <w:name w:val="Heading 6 Char"/>
    <w:basedOn w:val="725"/>
    <w:uiPriority w:val="9"/>
    <w:rPr>
      <w:rFonts w:ascii="Arial" w:hAnsi="Arial" w:eastAsia="Arial" w:cs="Arial"/>
      <w:b/>
      <w:bCs/>
      <w:sz w:val="22"/>
      <w:szCs w:val="22"/>
    </w:rPr>
  </w:style>
  <w:style w:type="character" w:styleId="734" w:customStyle="1">
    <w:name w:val="Heading 7 Char"/>
    <w:basedOn w:val="725"/>
    <w:uiPriority w:val="9"/>
    <w:rPr>
      <w:rFonts w:ascii="Arial" w:hAnsi="Arial" w:eastAsia="Arial" w:cs="Arial"/>
      <w:b/>
      <w:bCs/>
      <w:i/>
      <w:iCs/>
      <w:sz w:val="22"/>
      <w:szCs w:val="22"/>
    </w:rPr>
  </w:style>
  <w:style w:type="character" w:styleId="735" w:customStyle="1">
    <w:name w:val="Heading 8 Char"/>
    <w:basedOn w:val="725"/>
    <w:uiPriority w:val="9"/>
    <w:rPr>
      <w:rFonts w:ascii="Arial" w:hAnsi="Arial" w:eastAsia="Arial" w:cs="Arial"/>
      <w:i/>
      <w:iCs/>
      <w:sz w:val="22"/>
      <w:szCs w:val="22"/>
    </w:rPr>
  </w:style>
  <w:style w:type="character" w:styleId="736" w:customStyle="1">
    <w:name w:val="Heading 9 Char"/>
    <w:basedOn w:val="725"/>
    <w:uiPriority w:val="9"/>
    <w:rPr>
      <w:rFonts w:ascii="Arial" w:hAnsi="Arial" w:eastAsia="Arial" w:cs="Arial"/>
      <w:i/>
      <w:iCs/>
      <w:sz w:val="21"/>
      <w:szCs w:val="21"/>
    </w:rPr>
  </w:style>
  <w:style w:type="character" w:styleId="737" w:customStyle="1">
    <w:name w:val="Title Char"/>
    <w:basedOn w:val="725"/>
    <w:uiPriority w:val="10"/>
    <w:rPr>
      <w:sz w:val="48"/>
      <w:szCs w:val="48"/>
    </w:rPr>
  </w:style>
  <w:style w:type="character" w:styleId="738" w:customStyle="1">
    <w:name w:val="Subtitle Char"/>
    <w:basedOn w:val="725"/>
    <w:uiPriority w:val="11"/>
    <w:rPr>
      <w:sz w:val="24"/>
      <w:szCs w:val="24"/>
    </w:rPr>
  </w:style>
  <w:style w:type="character" w:styleId="739" w:customStyle="1">
    <w:name w:val="Quote Char"/>
    <w:uiPriority w:val="29"/>
    <w:rPr>
      <w:i/>
    </w:rPr>
  </w:style>
  <w:style w:type="character" w:styleId="740" w:customStyle="1">
    <w:name w:val="Intense Quote Char"/>
    <w:uiPriority w:val="30"/>
    <w:rPr>
      <w:i/>
    </w:rPr>
  </w:style>
  <w:style w:type="character" w:styleId="741" w:customStyle="1">
    <w:name w:val="Header Char"/>
    <w:basedOn w:val="725"/>
    <w:uiPriority w:val="99"/>
  </w:style>
  <w:style w:type="character" w:styleId="742" w:customStyle="1">
    <w:name w:val="Caption Char"/>
    <w:uiPriority w:val="99"/>
  </w:style>
  <w:style w:type="table" w:styleId="743">
    <w:name w:val="Plain Table 1"/>
    <w:basedOn w:val="72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72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name w:val="Grid Table 1 Light"/>
    <w:basedOn w:val="72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9">
    <w:name w:val="Grid Table 2"/>
    <w:basedOn w:val="72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0">
    <w:name w:val="Grid Table 3"/>
    <w:basedOn w:val="72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72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5 Dark"/>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name w:val="Grid Table 6 Colorful"/>
    <w:basedOn w:val="72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4">
    <w:name w:val="Grid Table 7 Colorful"/>
    <w:basedOn w:val="72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55">
    <w:name w:val="List Table 1 Light"/>
    <w:basedOn w:val="72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2"/>
    <w:basedOn w:val="72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7">
    <w:name w:val="List Table 3"/>
    <w:basedOn w:val="72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name w:val="List Table 4"/>
    <w:basedOn w:val="72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name w:val="List Table 5 Dark"/>
    <w:basedOn w:val="72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0">
    <w:name w:val="List Table 6 Colorful"/>
    <w:basedOn w:val="72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1">
    <w:name w:val="List Table 7 Colorful"/>
    <w:basedOn w:val="72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62" w:customStyle="1">
    <w:name w:val="Footnote Text Char"/>
    <w:uiPriority w:val="99"/>
    <w:rPr>
      <w:sz w:val="18"/>
    </w:rPr>
  </w:style>
  <w:style w:type="character" w:styleId="763" w:customStyle="1">
    <w:name w:val="Endnote Text Char"/>
    <w:uiPriority w:val="99"/>
    <w:rPr>
      <w:sz w:val="20"/>
    </w:rPr>
  </w:style>
  <w:style w:type="character" w:styleId="764" w:customStyle="1">
    <w:name w:val="Заголовок 1 Знак"/>
    <w:basedOn w:val="725"/>
    <w:link w:val="716"/>
    <w:uiPriority w:val="9"/>
    <w:rPr>
      <w:rFonts w:ascii="Arial" w:hAnsi="Arial" w:eastAsia="Arial" w:cs="Arial"/>
      <w:sz w:val="40"/>
      <w:szCs w:val="40"/>
    </w:rPr>
  </w:style>
  <w:style w:type="character" w:styleId="765" w:customStyle="1">
    <w:name w:val="Заголовок 2 Знак"/>
    <w:basedOn w:val="725"/>
    <w:link w:val="717"/>
    <w:uiPriority w:val="9"/>
    <w:rPr>
      <w:rFonts w:ascii="Arial" w:hAnsi="Arial" w:eastAsia="Arial" w:cs="Arial"/>
      <w:sz w:val="34"/>
    </w:rPr>
  </w:style>
  <w:style w:type="character" w:styleId="766" w:customStyle="1">
    <w:name w:val="Заголовок 3 Знак"/>
    <w:basedOn w:val="725"/>
    <w:link w:val="718"/>
    <w:uiPriority w:val="9"/>
    <w:rPr>
      <w:rFonts w:ascii="Arial" w:hAnsi="Arial" w:eastAsia="Arial" w:cs="Arial"/>
      <w:sz w:val="30"/>
      <w:szCs w:val="30"/>
    </w:rPr>
  </w:style>
  <w:style w:type="character" w:styleId="767" w:customStyle="1">
    <w:name w:val="Заголовок 4 Знак"/>
    <w:basedOn w:val="725"/>
    <w:link w:val="719"/>
    <w:uiPriority w:val="9"/>
    <w:rPr>
      <w:rFonts w:ascii="Arial" w:hAnsi="Arial" w:eastAsia="Arial" w:cs="Arial"/>
      <w:b/>
      <w:bCs/>
      <w:sz w:val="26"/>
      <w:szCs w:val="26"/>
    </w:rPr>
  </w:style>
  <w:style w:type="character" w:styleId="768" w:customStyle="1">
    <w:name w:val="Заголовок 5 Знак"/>
    <w:basedOn w:val="725"/>
    <w:link w:val="720"/>
    <w:uiPriority w:val="9"/>
    <w:rPr>
      <w:rFonts w:ascii="Arial" w:hAnsi="Arial" w:eastAsia="Arial" w:cs="Arial"/>
      <w:b/>
      <w:bCs/>
      <w:sz w:val="24"/>
      <w:szCs w:val="24"/>
    </w:rPr>
  </w:style>
  <w:style w:type="character" w:styleId="769" w:customStyle="1">
    <w:name w:val="Заголовок 6 Знак"/>
    <w:basedOn w:val="725"/>
    <w:link w:val="721"/>
    <w:uiPriority w:val="9"/>
    <w:rPr>
      <w:rFonts w:ascii="Arial" w:hAnsi="Arial" w:eastAsia="Arial" w:cs="Arial"/>
      <w:b/>
      <w:bCs/>
      <w:sz w:val="22"/>
      <w:szCs w:val="22"/>
    </w:rPr>
  </w:style>
  <w:style w:type="character" w:styleId="770" w:customStyle="1">
    <w:name w:val="Заголовок 7 Знак"/>
    <w:basedOn w:val="725"/>
    <w:link w:val="722"/>
    <w:uiPriority w:val="9"/>
    <w:rPr>
      <w:rFonts w:ascii="Arial" w:hAnsi="Arial" w:eastAsia="Arial" w:cs="Arial"/>
      <w:b/>
      <w:bCs/>
      <w:i/>
      <w:iCs/>
      <w:sz w:val="22"/>
      <w:szCs w:val="22"/>
    </w:rPr>
  </w:style>
  <w:style w:type="character" w:styleId="771" w:customStyle="1">
    <w:name w:val="Заголовок 8 Знак"/>
    <w:basedOn w:val="725"/>
    <w:link w:val="723"/>
    <w:uiPriority w:val="9"/>
    <w:rPr>
      <w:rFonts w:ascii="Arial" w:hAnsi="Arial" w:eastAsia="Arial" w:cs="Arial"/>
      <w:i/>
      <w:iCs/>
      <w:sz w:val="22"/>
      <w:szCs w:val="22"/>
    </w:rPr>
  </w:style>
  <w:style w:type="character" w:styleId="772" w:customStyle="1">
    <w:name w:val="Заголовок 9 Знак"/>
    <w:basedOn w:val="725"/>
    <w:link w:val="724"/>
    <w:uiPriority w:val="9"/>
    <w:rPr>
      <w:rFonts w:ascii="Arial" w:hAnsi="Arial" w:eastAsia="Arial" w:cs="Arial"/>
      <w:i/>
      <w:iCs/>
      <w:sz w:val="21"/>
      <w:szCs w:val="21"/>
    </w:rPr>
  </w:style>
  <w:style w:type="paragraph" w:styleId="773">
    <w:name w:val="No Spacing"/>
    <w:uiPriority w:val="1"/>
    <w:qFormat/>
  </w:style>
  <w:style w:type="paragraph" w:styleId="774">
    <w:name w:val="Title"/>
    <w:basedOn w:val="715"/>
    <w:next w:val="715"/>
    <w:link w:val="775"/>
    <w:uiPriority w:val="10"/>
    <w:qFormat/>
    <w:pPr>
      <w:contextualSpacing/>
      <w:spacing w:before="300" w:after="200"/>
    </w:pPr>
    <w:rPr>
      <w:sz w:val="48"/>
      <w:szCs w:val="48"/>
    </w:rPr>
  </w:style>
  <w:style w:type="character" w:styleId="775" w:customStyle="1">
    <w:name w:val="Название Знак"/>
    <w:basedOn w:val="725"/>
    <w:link w:val="774"/>
    <w:uiPriority w:val="10"/>
    <w:rPr>
      <w:sz w:val="48"/>
      <w:szCs w:val="48"/>
    </w:rPr>
  </w:style>
  <w:style w:type="paragraph" w:styleId="776">
    <w:name w:val="Subtitle"/>
    <w:basedOn w:val="715"/>
    <w:next w:val="715"/>
    <w:link w:val="777"/>
    <w:uiPriority w:val="11"/>
    <w:qFormat/>
    <w:pPr>
      <w:spacing w:before="200" w:after="200"/>
    </w:pPr>
  </w:style>
  <w:style w:type="character" w:styleId="777" w:customStyle="1">
    <w:name w:val="Подзаголовок Знак"/>
    <w:basedOn w:val="725"/>
    <w:link w:val="776"/>
    <w:uiPriority w:val="11"/>
    <w:rPr>
      <w:sz w:val="24"/>
      <w:szCs w:val="24"/>
    </w:rPr>
  </w:style>
  <w:style w:type="paragraph" w:styleId="778">
    <w:name w:val="Quote"/>
    <w:basedOn w:val="715"/>
    <w:next w:val="715"/>
    <w:link w:val="779"/>
    <w:uiPriority w:val="29"/>
    <w:qFormat/>
    <w:pPr>
      <w:ind w:left="720" w:right="720"/>
    </w:pPr>
    <w:rPr>
      <w:i/>
    </w:rPr>
  </w:style>
  <w:style w:type="character" w:styleId="779" w:customStyle="1">
    <w:name w:val="Цитата 2 Знак"/>
    <w:link w:val="778"/>
    <w:uiPriority w:val="29"/>
    <w:rPr>
      <w:i/>
    </w:rPr>
  </w:style>
  <w:style w:type="paragraph" w:styleId="780">
    <w:name w:val="Intense Quote"/>
    <w:basedOn w:val="715"/>
    <w:next w:val="715"/>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Выделенная цитата Знак"/>
    <w:link w:val="780"/>
    <w:uiPriority w:val="30"/>
    <w:rPr>
      <w:i/>
    </w:rPr>
  </w:style>
  <w:style w:type="character" w:styleId="782" w:customStyle="1">
    <w:name w:val="Верхний колонтитул Знак"/>
    <w:basedOn w:val="725"/>
    <w:link w:val="945"/>
    <w:uiPriority w:val="99"/>
  </w:style>
  <w:style w:type="paragraph" w:styleId="783">
    <w:name w:val="Footer"/>
    <w:basedOn w:val="715"/>
    <w:link w:val="785"/>
    <w:uiPriority w:val="99"/>
    <w:unhideWhenUsed/>
    <w:pPr>
      <w:tabs>
        <w:tab w:val="center" w:pos="7143" w:leader="none"/>
        <w:tab w:val="right" w:pos="14287" w:leader="none"/>
      </w:tabs>
    </w:pPr>
  </w:style>
  <w:style w:type="character" w:styleId="784" w:customStyle="1">
    <w:name w:val="Footer Char"/>
    <w:basedOn w:val="725"/>
    <w:uiPriority w:val="99"/>
  </w:style>
  <w:style w:type="character" w:styleId="785" w:customStyle="1">
    <w:name w:val="Нижний колонтитул Знак"/>
    <w:link w:val="783"/>
    <w:uiPriority w:val="99"/>
  </w:style>
  <w:style w:type="table" w:styleId="786" w:customStyle="1">
    <w:name w:val="Table Grid Light"/>
    <w:basedOn w:val="72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7" w:customStyle="1">
    <w:name w:val="Таблица простая 11"/>
    <w:basedOn w:val="72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Таблица простая 21"/>
    <w:basedOn w:val="72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Таблица простая 31"/>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Таблица простая 41"/>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Таблица простая 51"/>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Таблица-сетка 1 светлая1"/>
    <w:basedOn w:val="72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2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2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2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2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2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2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Таблица-сетка 21"/>
    <w:basedOn w:val="72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2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2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2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2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2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2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Таблица-сетка 31"/>
    <w:basedOn w:val="72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2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2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2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2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2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2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Таблица-сетка 41"/>
    <w:basedOn w:val="72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26"/>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5" w:customStyle="1">
    <w:name w:val="Grid Table 4 - Accent 2"/>
    <w:basedOn w:val="726"/>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6" w:customStyle="1">
    <w:name w:val="Grid Table 4 - Accent 3"/>
    <w:basedOn w:val="726"/>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7" w:customStyle="1">
    <w:name w:val="Grid Table 4 - Accent 4"/>
    <w:basedOn w:val="726"/>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726"/>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726"/>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Таблица-сетка 5 темная1"/>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Таблица-сетка 6 цветная1"/>
    <w:basedOn w:val="72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8" w:customStyle="1">
    <w:name w:val="Grid Table 6 Colorful - Accent 1"/>
    <w:basedOn w:val="726"/>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basedOn w:val="72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0" w:customStyle="1">
    <w:name w:val="Grid Table 6 Colorful - Accent 3"/>
    <w:basedOn w:val="726"/>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1" w:customStyle="1">
    <w:name w:val="Grid Table 6 Colorful - Accent 4"/>
    <w:basedOn w:val="72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basedOn w:val="726"/>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basedOn w:val="726"/>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Таблица-сетка 7 цветная1"/>
    <w:basedOn w:val="72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26"/>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26"/>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26"/>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26"/>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26"/>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26"/>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Список-таблица 1 светлая1"/>
    <w:basedOn w:val="72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26"/>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26"/>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26"/>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26"/>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26"/>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26"/>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Список-таблица 21"/>
    <w:basedOn w:val="72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9" w:customStyle="1">
    <w:name w:val="List Table 2 - Accent 1"/>
    <w:basedOn w:val="726"/>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basedOn w:val="726"/>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1" w:customStyle="1">
    <w:name w:val="List Table 2 - Accent 3"/>
    <w:basedOn w:val="726"/>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basedOn w:val="726"/>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basedOn w:val="726"/>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basedOn w:val="726"/>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Список-таблица 31"/>
    <w:basedOn w:val="72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26"/>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basedOn w:val="72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26"/>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2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26"/>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26"/>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Список-таблица 41"/>
    <w:basedOn w:val="72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26"/>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basedOn w:val="726"/>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basedOn w:val="726"/>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basedOn w:val="726"/>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basedOn w:val="726"/>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basedOn w:val="726"/>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Список-таблица 5 темная1"/>
    <w:basedOn w:val="72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basedOn w:val="726"/>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basedOn w:val="726"/>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basedOn w:val="726"/>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basedOn w:val="726"/>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basedOn w:val="726"/>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basedOn w:val="726"/>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Список-таблица 6 цветная1"/>
    <w:basedOn w:val="72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7" w:customStyle="1">
    <w:name w:val="List Table 6 Colorful - Accent 1"/>
    <w:basedOn w:val="726"/>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8" w:customStyle="1">
    <w:name w:val="List Table 6 Colorful - Accent 2"/>
    <w:basedOn w:val="726"/>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9" w:customStyle="1">
    <w:name w:val="List Table 6 Colorful - Accent 3"/>
    <w:basedOn w:val="726"/>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0" w:customStyle="1">
    <w:name w:val="List Table 6 Colorful - Accent 4"/>
    <w:basedOn w:val="726"/>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basedOn w:val="726"/>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basedOn w:val="726"/>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Список-таблица 7 цветная1"/>
    <w:basedOn w:val="72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26"/>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26"/>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26"/>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26"/>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26"/>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26"/>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1" w:customStyle="1">
    <w:name w:val="Lined - Accent 1"/>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2" w:customStyle="1">
    <w:name w:val="Lined - Accent 2"/>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3" w:customStyle="1">
    <w:name w:val="Lined - Accent 3"/>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4" w:customStyle="1">
    <w:name w:val="Lined - Accent 4"/>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basedOn w:val="72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Bordered &amp; Lined - Accent 1"/>
    <w:basedOn w:val="726"/>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9" w:customStyle="1">
    <w:name w:val="Bordered &amp; Lined - Accent 2"/>
    <w:basedOn w:val="726"/>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0" w:customStyle="1">
    <w:name w:val="Bordered &amp; Lined - Accent 3"/>
    <w:basedOn w:val="726"/>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1" w:customStyle="1">
    <w:name w:val="Bordered &amp; Lined - Accent 4"/>
    <w:basedOn w:val="726"/>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basedOn w:val="726"/>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basedOn w:val="726"/>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basedOn w:val="72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5" w:customStyle="1">
    <w:name w:val="Bordered - Accent 1"/>
    <w:basedOn w:val="72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basedOn w:val="72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7" w:customStyle="1">
    <w:name w:val="Bordered - Accent 3"/>
    <w:basedOn w:val="72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8" w:customStyle="1">
    <w:name w:val="Bordered - Accent 4"/>
    <w:basedOn w:val="72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basedOn w:val="72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basedOn w:val="72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1">
    <w:name w:val="footnote text"/>
    <w:basedOn w:val="715"/>
    <w:link w:val="912"/>
    <w:uiPriority w:val="99"/>
    <w:semiHidden/>
    <w:unhideWhenUsed/>
    <w:pPr>
      <w:spacing w:after="40"/>
    </w:pPr>
    <w:rPr>
      <w:sz w:val="18"/>
    </w:rPr>
  </w:style>
  <w:style w:type="character" w:styleId="912" w:customStyle="1">
    <w:name w:val="Текст сноски Знак"/>
    <w:link w:val="911"/>
    <w:uiPriority w:val="99"/>
    <w:rPr>
      <w:sz w:val="18"/>
    </w:rPr>
  </w:style>
  <w:style w:type="character" w:styleId="913">
    <w:name w:val="footnote reference"/>
    <w:basedOn w:val="725"/>
    <w:uiPriority w:val="99"/>
    <w:unhideWhenUsed/>
    <w:rPr>
      <w:vertAlign w:val="superscript"/>
    </w:rPr>
  </w:style>
  <w:style w:type="paragraph" w:styleId="914">
    <w:name w:val="endnote text"/>
    <w:basedOn w:val="715"/>
    <w:link w:val="915"/>
    <w:uiPriority w:val="99"/>
    <w:semiHidden/>
    <w:unhideWhenUsed/>
    <w:rPr>
      <w:sz w:val="20"/>
    </w:rPr>
  </w:style>
  <w:style w:type="character" w:styleId="915" w:customStyle="1">
    <w:name w:val="Текст концевой сноски Знак"/>
    <w:link w:val="914"/>
    <w:uiPriority w:val="99"/>
    <w:rPr>
      <w:sz w:val="20"/>
    </w:rPr>
  </w:style>
  <w:style w:type="character" w:styleId="916">
    <w:name w:val="endnote reference"/>
    <w:basedOn w:val="725"/>
    <w:uiPriority w:val="99"/>
    <w:semiHidden/>
    <w:unhideWhenUsed/>
    <w:rPr>
      <w:vertAlign w:val="superscript"/>
    </w:rPr>
  </w:style>
  <w:style w:type="paragraph" w:styleId="917">
    <w:name w:val="toc 1"/>
    <w:basedOn w:val="715"/>
    <w:next w:val="715"/>
    <w:uiPriority w:val="39"/>
    <w:unhideWhenUsed/>
    <w:pPr>
      <w:spacing w:after="57"/>
    </w:pPr>
  </w:style>
  <w:style w:type="paragraph" w:styleId="918">
    <w:name w:val="toc 2"/>
    <w:basedOn w:val="715"/>
    <w:next w:val="715"/>
    <w:uiPriority w:val="39"/>
    <w:unhideWhenUsed/>
    <w:pPr>
      <w:ind w:left="283"/>
      <w:spacing w:after="57"/>
    </w:pPr>
  </w:style>
  <w:style w:type="paragraph" w:styleId="919">
    <w:name w:val="toc 3"/>
    <w:basedOn w:val="715"/>
    <w:next w:val="715"/>
    <w:uiPriority w:val="39"/>
    <w:unhideWhenUsed/>
    <w:pPr>
      <w:ind w:left="567"/>
      <w:spacing w:after="57"/>
    </w:pPr>
  </w:style>
  <w:style w:type="paragraph" w:styleId="920">
    <w:name w:val="toc 4"/>
    <w:basedOn w:val="715"/>
    <w:next w:val="715"/>
    <w:uiPriority w:val="39"/>
    <w:unhideWhenUsed/>
    <w:pPr>
      <w:ind w:left="850"/>
      <w:spacing w:after="57"/>
    </w:pPr>
  </w:style>
  <w:style w:type="paragraph" w:styleId="921">
    <w:name w:val="toc 5"/>
    <w:basedOn w:val="715"/>
    <w:next w:val="715"/>
    <w:uiPriority w:val="39"/>
    <w:unhideWhenUsed/>
    <w:pPr>
      <w:ind w:left="1134"/>
      <w:spacing w:after="57"/>
    </w:pPr>
  </w:style>
  <w:style w:type="paragraph" w:styleId="922">
    <w:name w:val="toc 6"/>
    <w:basedOn w:val="715"/>
    <w:next w:val="715"/>
    <w:uiPriority w:val="39"/>
    <w:unhideWhenUsed/>
    <w:pPr>
      <w:ind w:left="1417"/>
      <w:spacing w:after="57"/>
    </w:pPr>
  </w:style>
  <w:style w:type="paragraph" w:styleId="923">
    <w:name w:val="toc 7"/>
    <w:basedOn w:val="715"/>
    <w:next w:val="715"/>
    <w:uiPriority w:val="39"/>
    <w:unhideWhenUsed/>
    <w:pPr>
      <w:ind w:left="1701"/>
      <w:spacing w:after="57"/>
    </w:pPr>
  </w:style>
  <w:style w:type="paragraph" w:styleId="924">
    <w:name w:val="toc 8"/>
    <w:basedOn w:val="715"/>
    <w:next w:val="715"/>
    <w:uiPriority w:val="39"/>
    <w:unhideWhenUsed/>
    <w:pPr>
      <w:ind w:left="1984"/>
      <w:spacing w:after="57"/>
    </w:pPr>
  </w:style>
  <w:style w:type="paragraph" w:styleId="925">
    <w:name w:val="toc 9"/>
    <w:basedOn w:val="715"/>
    <w:next w:val="715"/>
    <w:uiPriority w:val="39"/>
    <w:unhideWhenUsed/>
    <w:pPr>
      <w:ind w:left="2268"/>
      <w:spacing w:after="57"/>
    </w:pPr>
  </w:style>
  <w:style w:type="paragraph" w:styleId="926">
    <w:name w:val="TOC Heading"/>
    <w:uiPriority w:val="39"/>
    <w:unhideWhenUsed/>
  </w:style>
  <w:style w:type="paragraph" w:styleId="927">
    <w:name w:val="table of figures"/>
    <w:basedOn w:val="715"/>
    <w:next w:val="715"/>
    <w:uiPriority w:val="99"/>
    <w:unhideWhenUsed/>
  </w:style>
  <w:style w:type="paragraph" w:styleId="928" w:customStyle="1">
    <w:name w:val="Style5"/>
    <w:basedOn w:val="715"/>
    <w:uiPriority w:val="99"/>
    <w:pPr>
      <w:spacing w:line="307" w:lineRule="exact"/>
    </w:pPr>
  </w:style>
  <w:style w:type="paragraph" w:styleId="929" w:customStyle="1">
    <w:name w:val="Style6"/>
    <w:basedOn w:val="715"/>
    <w:uiPriority w:val="99"/>
    <w:pPr>
      <w:ind w:firstLine="749"/>
      <w:spacing w:line="302" w:lineRule="exact"/>
    </w:pPr>
  </w:style>
  <w:style w:type="paragraph" w:styleId="930" w:customStyle="1">
    <w:name w:val="Style7"/>
    <w:basedOn w:val="715"/>
    <w:uiPriority w:val="99"/>
    <w:pPr>
      <w:jc w:val="both"/>
      <w:spacing w:line="298" w:lineRule="exact"/>
    </w:pPr>
  </w:style>
  <w:style w:type="paragraph" w:styleId="931" w:customStyle="1">
    <w:name w:val="Style8"/>
    <w:basedOn w:val="715"/>
    <w:uiPriority w:val="99"/>
  </w:style>
  <w:style w:type="paragraph" w:styleId="932" w:customStyle="1">
    <w:name w:val="Style9"/>
    <w:basedOn w:val="715"/>
    <w:uiPriority w:val="99"/>
    <w:pPr>
      <w:ind w:hanging="125"/>
      <w:spacing w:line="298" w:lineRule="exact"/>
    </w:pPr>
  </w:style>
  <w:style w:type="paragraph" w:styleId="933" w:customStyle="1">
    <w:name w:val="Style10"/>
    <w:basedOn w:val="715"/>
    <w:uiPriority w:val="99"/>
    <w:pPr>
      <w:ind w:firstLine="720"/>
      <w:jc w:val="both"/>
      <w:spacing w:line="288" w:lineRule="exact"/>
    </w:pPr>
  </w:style>
  <w:style w:type="paragraph" w:styleId="934" w:customStyle="1">
    <w:name w:val="Style11"/>
    <w:basedOn w:val="715"/>
    <w:uiPriority w:val="99"/>
  </w:style>
  <w:style w:type="paragraph" w:styleId="935" w:customStyle="1">
    <w:name w:val="Style12"/>
    <w:basedOn w:val="715"/>
    <w:uiPriority w:val="99"/>
    <w:pPr>
      <w:jc w:val="both"/>
      <w:spacing w:line="302" w:lineRule="exact"/>
    </w:pPr>
  </w:style>
  <w:style w:type="character" w:styleId="936" w:customStyle="1">
    <w:name w:val="Font Style18"/>
    <w:uiPriority w:val="99"/>
    <w:rPr>
      <w:rFonts w:ascii="Times New Roman" w:hAnsi="Times New Roman" w:cs="Times New Roman"/>
      <w:b/>
      <w:bCs/>
      <w:sz w:val="16"/>
      <w:szCs w:val="16"/>
    </w:rPr>
  </w:style>
  <w:style w:type="character" w:styleId="937" w:customStyle="1">
    <w:name w:val="Font Style19"/>
    <w:uiPriority w:val="99"/>
    <w:rPr>
      <w:rFonts w:ascii="Times New Roman" w:hAnsi="Times New Roman" w:cs="Times New Roman"/>
      <w:sz w:val="24"/>
      <w:szCs w:val="24"/>
    </w:rPr>
  </w:style>
  <w:style w:type="paragraph" w:styleId="938">
    <w:name w:val="List Paragraph"/>
    <w:basedOn w:val="715"/>
    <w:uiPriority w:val="34"/>
    <w:qFormat/>
    <w:pPr>
      <w:contextualSpacing/>
      <w:ind w:left="720"/>
    </w:pPr>
  </w:style>
  <w:style w:type="paragraph" w:styleId="939" w:customStyle="1">
    <w:name w:val="Style2"/>
    <w:basedOn w:val="715"/>
    <w:uiPriority w:val="99"/>
  </w:style>
  <w:style w:type="character" w:styleId="940" w:customStyle="1">
    <w:name w:val="Font Style13"/>
    <w:uiPriority w:val="99"/>
    <w:rPr>
      <w:rFonts w:ascii="Times New Roman" w:hAnsi="Times New Roman" w:cs="Times New Roman"/>
      <w:sz w:val="26"/>
      <w:szCs w:val="26"/>
    </w:rPr>
  </w:style>
  <w:style w:type="table" w:styleId="941">
    <w:name w:val="Table Grid"/>
    <w:basedOn w:val="72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2">
    <w:name w:val="Caption"/>
    <w:basedOn w:val="715"/>
    <w:next w:val="715"/>
    <w:qFormat/>
    <w:pPr>
      <w:jc w:val="center"/>
      <w:widowControl/>
    </w:pPr>
    <w:rPr>
      <w:b/>
      <w:sz w:val="32"/>
      <w:szCs w:val="20"/>
    </w:rPr>
  </w:style>
  <w:style w:type="character" w:styleId="943">
    <w:name w:val="Hyperlink"/>
    <w:rPr>
      <w:color w:val="0000ff"/>
      <w:u w:val="single"/>
    </w:rPr>
  </w:style>
  <w:style w:type="paragraph" w:styleId="94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15"/>
    <w:pPr>
      <w:jc w:val="right"/>
      <w:spacing w:after="160" w:line="240" w:lineRule="exact"/>
    </w:pPr>
    <w:rPr>
      <w:sz w:val="20"/>
      <w:szCs w:val="20"/>
      <w:lang w:val="en-GB" w:eastAsia="en-US"/>
    </w:rPr>
  </w:style>
  <w:style w:type="paragraph" w:styleId="945">
    <w:name w:val="Header"/>
    <w:basedOn w:val="715"/>
    <w:link w:val="782"/>
    <w:pPr>
      <w:widowControl/>
      <w:tabs>
        <w:tab w:val="center" w:pos="4677" w:leader="none"/>
        <w:tab w:val="right" w:pos="9355" w:leader="none"/>
      </w:tabs>
    </w:pPr>
    <w:rPr>
      <w:sz w:val="28"/>
      <w:szCs w:val="20"/>
    </w:rPr>
  </w:style>
  <w:style w:type="paragraph" w:styleId="946">
    <w:name w:val="Body Text Indent 2"/>
    <w:basedOn w:val="715"/>
    <w:link w:val="949"/>
    <w:pPr>
      <w:ind w:firstLine="851"/>
      <w:jc w:val="both"/>
      <w:widowControl/>
    </w:pPr>
    <w:rPr>
      <w:sz w:val="28"/>
      <w:szCs w:val="20"/>
    </w:rPr>
  </w:style>
  <w:style w:type="paragraph" w:styleId="947">
    <w:name w:val="Body Text"/>
    <w:basedOn w:val="715"/>
    <w:link w:val="948"/>
    <w:pPr>
      <w:spacing w:after="120"/>
      <w:widowControl/>
    </w:pPr>
    <w:rPr>
      <w:sz w:val="20"/>
      <w:szCs w:val="20"/>
    </w:rPr>
  </w:style>
  <w:style w:type="character" w:styleId="948" w:customStyle="1">
    <w:name w:val="Основной текст Знак"/>
    <w:link w:val="947"/>
    <w:rPr>
      <w:lang w:val="ru-RU" w:eastAsia="ru-RU" w:bidi="ar-SA"/>
    </w:rPr>
  </w:style>
  <w:style w:type="character" w:styleId="949" w:customStyle="1">
    <w:name w:val="Основной текст с отступом 2 Знак"/>
    <w:link w:val="946"/>
    <w:rPr>
      <w:sz w:val="28"/>
      <w:lang w:bidi="ar-SA"/>
    </w:rPr>
  </w:style>
  <w:style w:type="paragraph" w:styleId="950">
    <w:name w:val="Normal (Web)"/>
    <w:basedOn w:val="715"/>
    <w:pPr>
      <w:spacing w:before="100" w:beforeAutospacing="1" w:after="100" w:afterAutospacing="1"/>
      <w:widowControl/>
    </w:pPr>
  </w:style>
  <w:style w:type="paragraph" w:styleId="951">
    <w:name w:val="Body Text Indent"/>
    <w:basedOn w:val="715"/>
    <w:pPr>
      <w:ind w:left="283"/>
      <w:spacing w:after="120"/>
    </w:pPr>
  </w:style>
  <w:style w:type="paragraph" w:styleId="952">
    <w:name w:val="Balloon Text"/>
    <w:basedOn w:val="715"/>
    <w:link w:val="953"/>
    <w:uiPriority w:val="99"/>
    <w:semiHidden/>
    <w:unhideWhenUsed/>
    <w:rPr>
      <w:rFonts w:ascii="Tahoma" w:hAnsi="Tahoma" w:cs="Tahoma"/>
      <w:sz w:val="16"/>
      <w:szCs w:val="16"/>
    </w:rPr>
  </w:style>
  <w:style w:type="character" w:styleId="953" w:customStyle="1">
    <w:name w:val="Текст выноски Знак"/>
    <w:link w:val="952"/>
    <w:uiPriority w:val="99"/>
    <w:semiHidden/>
    <w:rPr>
      <w:rFonts w:ascii="Tahoma" w:hAnsi="Tahoma" w:eastAsia="Times New Roman" w:cs="Tahoma"/>
      <w:sz w:val="16"/>
      <w:szCs w:val="16"/>
    </w:rPr>
  </w:style>
  <w:style w:type="paragraph" w:styleId="954" w:customStyle="1">
    <w:name w:val="ConsPlusNormal"/>
    <w:rPr>
      <w:rFonts w:ascii="Times New Roman" w:hAnsi="Times New Roman"/>
      <w:b/>
      <w:bCs/>
    </w:rPr>
  </w:style>
  <w:style w:type="paragraph" w:styleId="955" w:customStyle="1">
    <w:name w:val="Знак Знак1 Знак Знак Знак Знак Знак Знак Знак Знак Знак Знак Знак Знак Знак Знак"/>
    <w:basedOn w:val="715"/>
    <w:pPr>
      <w:spacing w:after="160" w:line="240" w:lineRule="exact"/>
      <w:widowControl/>
    </w:pPr>
    <w:rPr>
      <w:rFonts w:ascii="Verdana" w:hAnsi="Verdana" w:cs="Verdana"/>
      <w:sz w:val="20"/>
      <w:szCs w:val="20"/>
      <w:lang w:val="en-US" w:eastAsia="en-US"/>
    </w:rPr>
  </w:style>
  <w:style w:type="paragraph" w:styleId="956"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1C360-8398-445A-9BBB-3CDE113EB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21</cp:revision>
  <dcterms:created xsi:type="dcterms:W3CDTF">2026-05-18T14:42:00Z</dcterms:created>
  <dcterms:modified xsi:type="dcterms:W3CDTF">2026-09-09T09:36:05Z</dcterms:modified>
</cp:coreProperties>
</file>