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08.09.2026</w:t>
      </w:r>
      <w:r>
        <w:rPr>
          <w:b/>
          <w:sz w:val="24"/>
        </w:rPr>
        <w:t xml:space="preserve">              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1777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Об утверждении</w:t>
      </w:r>
      <w:r>
        <w:rPr>
          <w:sz w:val="24"/>
        </w:rPr>
        <w:t xml:space="preserve"> </w:t>
      </w:r>
      <w:r>
        <w:rPr>
          <w:b/>
        </w:rPr>
        <w:t xml:space="preserve">Порядка предоставления из бюджета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субсидии на</w:t>
      </w:r>
      <w:r>
        <w:rPr>
          <w:b/>
        </w:rPr>
        <w:t xml:space="preserve"> </w:t>
      </w:r>
      <w:r>
        <w:rPr>
          <w:b/>
        </w:rPr>
        <w:t xml:space="preserve">возмещение</w:t>
      </w:r>
      <w:r>
        <w:rPr>
          <w:b/>
        </w:rPr>
        <w:t xml:space="preserve"> затрат</w:t>
      </w:r>
      <w:r>
        <w:rPr>
          <w:b/>
        </w:rPr>
        <w:t xml:space="preserve"> </w:t>
      </w:r>
      <w:r>
        <w:rPr>
          <w:b/>
        </w:rPr>
        <w:t xml:space="preserve">по содержанию многоквартирных домов, обслуживаемых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ООО «Никельская управляющая компания», </w:t>
      </w:r>
      <w:r>
        <w:rPr>
          <w:b/>
        </w:rPr>
        <w:t xml:space="preserve">в том числе по промывке их систем отопления</w:t>
      </w:r>
      <w:r>
        <w:rPr>
          <w:b/>
        </w:rPr>
      </w:r>
      <w:r>
        <w:rPr>
          <w:b/>
        </w:rPr>
      </w:r>
    </w:p>
    <w:p>
      <w:pPr>
        <w:ind w:right="0"/>
        <w:jc w:val="both"/>
        <w:rPr>
          <w:b/>
          <w:bCs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78 Бюджетного кодекса Российской Федерации, Гражданским кодексом Российской Федерации, Федеральным законом от 06.10.2003 </w:t>
      </w:r>
      <w:r>
        <w:rPr>
          <w:sz w:val="24"/>
          <w:szCs w:val="24"/>
        </w:rPr>
        <w:br/>
        <w:t xml:space="preserve">№ 131-ФЗ «Об общих принципах организации местного самоуправления в Российской Федерации», постановлением Правительства Российской Федерации от 25.10.2023 № 1782 «Об утверждении общих требований к нормативным</w:t>
      </w:r>
      <w:r>
        <w:rPr>
          <w:sz w:val="24"/>
          <w:szCs w:val="24"/>
        </w:rPr>
        <w:t xml:space="preserve">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</w:t>
      </w:r>
      <w:r>
        <w:rPr>
          <w:sz w:val="24"/>
          <w:szCs w:val="24"/>
        </w:rPr>
        <w:br/>
        <w:t xml:space="preserve">лицам – производителям товаров</w:t>
      </w:r>
      <w:r>
        <w:rPr>
          <w:sz w:val="24"/>
          <w:szCs w:val="24"/>
        </w:rPr>
        <w:t xml:space="preserve">, работ, услуг и проведение отборов получателей указанных субсидий, в том числе грантов в форме субсидий», решением Совета депутатов Печенгского муниципального округа от 19.12.2025 № 22 «О бюджете округа на 2026 год и на плановый период 2027 и 2028 годов»,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18.08.2026 № 1631 «</w:t>
      </w:r>
      <w:r>
        <w:rPr>
          <w:sz w:val="24"/>
          <w:szCs w:val="24"/>
        </w:rPr>
        <w:t xml:space="preserve">О введении режима функционирования повышенной готовности для органов управления, сил и средств Печенгского звена единой государственной системы предупреждения и ликвидации чрезвычайных ситуаций на территории п.г.т. Никель Печенгского муниципального округа»</w:t>
      </w:r>
      <w:r>
        <w:rPr>
          <w:sz w:val="24"/>
          <w:szCs w:val="24"/>
        </w:rPr>
        <w:t xml:space="preserve">,</w:t>
      </w:r>
      <w:r>
        <w:t xml:space="preserve"> </w:t>
      </w:r>
      <w:r>
        <w:rPr>
          <w:sz w:val="24"/>
          <w:szCs w:val="24"/>
        </w:rPr>
        <w:t xml:space="preserve">а также в целях реализации мероприятий по подготовке к отопительному периоду 2026/2027 </w:t>
      </w:r>
      <w:r>
        <w:rPr>
          <w:sz w:val="24"/>
          <w:szCs w:val="24"/>
        </w:rPr>
        <w:t xml:space="preserve">и предупреждения</w:t>
      </w:r>
      <w:r>
        <w:rPr>
          <w:sz w:val="24"/>
          <w:szCs w:val="24"/>
        </w:rPr>
        <w:t xml:space="preserve"> чрезвычайной ситуации,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 w:firstLine="567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Порядок предоставления из бюджета Печенгского муниципального округа субсидии </w:t>
      </w:r>
      <w:r>
        <w:rPr>
          <w:sz w:val="24"/>
          <w:szCs w:val="24"/>
        </w:rPr>
        <w:t xml:space="preserve">на возмещение затрат по содержанию многоквартирных домов, обслуживаемых ООО «Никельская управляющая компания», в том числе по промывке их систем отопления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567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подлежит размещению на официальном сайте Печенгского муниципального окру</w:t>
      </w:r>
      <w:r>
        <w:rPr>
          <w:color w:val="000000" w:themeColor="text1"/>
          <w:sz w:val="24"/>
          <w:szCs w:val="24"/>
        </w:rPr>
        <w:t xml:space="preserve">га </w:t>
      </w:r>
      <w:hyperlink r:id="rId11" w:tooltip="http://pechengamr.gov-murman.ru/" w:history="1">
        <w:r>
          <w:rPr>
            <w:rStyle w:val="928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right="-5"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Контроль 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Л.Я., 60718</w:t>
      </w:r>
      <w:r>
        <w:t xml:space="preserve">, ЮрО</w:t>
      </w:r>
      <w:r>
        <w:t xml:space="preserve"> </w:t>
      </w:r>
      <w:r>
        <w:rPr>
          <w:highlight w:val="none"/>
        </w:rPr>
      </w:r>
    </w:p>
    <w:p>
      <w:pPr>
        <w:ind w:left="5528"/>
        <w:widowControl w:val="off"/>
        <w:rPr>
          <w:spacing w:val="-2"/>
          <w:sz w:val="24"/>
          <w:szCs w:val="24"/>
          <w:highlight w:val="none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УТВЕРЖДЕН</w:t>
      </w:r>
      <w:r>
        <w:rPr>
          <w:spacing w:val="-2"/>
          <w:sz w:val="24"/>
          <w:szCs w:val="24"/>
          <w:highlight w:val="none"/>
          <w:lang w:eastAsia="en-US"/>
        </w:rPr>
      </w:r>
      <w:r>
        <w:rPr>
          <w:spacing w:val="-2"/>
          <w:sz w:val="24"/>
          <w:szCs w:val="24"/>
          <w:highlight w:val="none"/>
          <w:lang w:eastAsia="en-US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о</w:t>
      </w:r>
      <w:r>
        <w:rPr>
          <w:sz w:val="24"/>
          <w:szCs w:val="24"/>
          <w:lang w:eastAsia="en-US"/>
        </w:rPr>
        <w:t xml:space="preserve">т</w:t>
      </w:r>
      <w:r>
        <w:rPr>
          <w:sz w:val="24"/>
          <w:szCs w:val="24"/>
          <w:lang w:eastAsia="en-US"/>
        </w:rPr>
        <w:t xml:space="preserve"> 08.09.2026 № 1777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3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right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Порядок предоставления из бюджета Печенгского м</w:t>
      </w:r>
      <w:r>
        <w:rPr>
          <w:b/>
          <w:sz w:val="24"/>
          <w:szCs w:val="24"/>
          <w:lang w:eastAsia="en-US"/>
        </w:rPr>
        <w:t xml:space="preserve">униципального округа субсидии </w:t>
      </w:r>
      <w:r>
        <w:rPr>
          <w:b/>
          <w:sz w:val="24"/>
          <w:szCs w:val="24"/>
          <w:lang w:eastAsia="en-US"/>
        </w:rPr>
        <w:t xml:space="preserve"> </w:t>
      </w:r>
      <w:r>
        <w:rPr>
          <w:b/>
          <w:sz w:val="24"/>
          <w:szCs w:val="24"/>
          <w:lang w:eastAsia="en-US"/>
        </w:rPr>
        <w:t xml:space="preserve"> на возмещение затрат по содержанию многоквартирных домов, обслуживаемых ООО «Никельская управляющая компания», 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в том числе по промывке их систем отопления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pStyle w:val="924"/>
        <w:numPr>
          <w:ilvl w:val="0"/>
          <w:numId w:val="26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устанавливает общие положения о предоставлении из бюджета Печенгского муниципального округа (далее – Бюджет округа)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 на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возмещение затрат по содержанию многоквартирных домов, обслуживаемых </w:t>
        <w:br/>
        <w:t xml:space="preserve">ООО «Никельская управляющая компания», в том числе по промывке их систем отопления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Порядок, Субсидия), условия и порядок предоставления Субсидии, требования к отчетности, требования об осуществлении контроля за соблюдением условий, целей и порядка предоставления субсиди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и ответственность за их нарушение.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6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Субсидия предоставляется МУП «Жилищный сервис» (ОГРН </w:t>
      </w:r>
      <w:r>
        <w:rPr>
          <w:sz w:val="24"/>
          <w:szCs w:val="24"/>
        </w:rPr>
        <w:t xml:space="preserve">1075109000504</w:t>
      </w:r>
      <w:r>
        <w:rPr>
          <w:sz w:val="24"/>
          <w:szCs w:val="24"/>
        </w:rPr>
        <w:t xml:space="preserve">, ИНН </w:t>
      </w:r>
      <w:r>
        <w:rPr>
          <w:sz w:val="24"/>
          <w:szCs w:val="24"/>
        </w:rPr>
        <w:t xml:space="preserve">510900825068</w:t>
      </w:r>
      <w:r>
        <w:rPr>
          <w:sz w:val="24"/>
          <w:szCs w:val="24"/>
        </w:rPr>
        <w:t xml:space="preserve">) (далее – Получатель субсидии) в целях возмещения затрат, понесённых им при выполнении работ по содержанию общего имущества и промывке систем теплоснабжения в многоквар</w:t>
      </w:r>
      <w:r>
        <w:rPr>
          <w:sz w:val="24"/>
          <w:szCs w:val="24"/>
        </w:rPr>
        <w:t xml:space="preserve">тирных домах, включённых в перечень согласно приложению № 3 к настоящему Порядку, в связи с временным возложением указанных обязанностей на Получателя субсидии на основании постановления администрации Печенгского муниципального округа от 18.08.2026 № 1631.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382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Главным распорядителем бюджетных средств, до которого в соответствии с бюджетным законодательством Росс</w:t>
      </w:r>
      <w:r>
        <w:rPr>
          <w:sz w:val="24"/>
          <w:szCs w:val="24"/>
          <w:lang w:eastAsia="en-US"/>
        </w:rPr>
        <w:t xml:space="preserve">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администрация Печенгского муниципального округа (далее – Администрация).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Субсидия предоставляется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дминистрацией в пределах лимитов бюджетных ассигнований, предусмотрен</w:t>
      </w:r>
      <w:r>
        <w:rPr>
          <w:sz w:val="24"/>
          <w:szCs w:val="24"/>
        </w:rPr>
        <w:t xml:space="preserve">ных по соответствующим кодам классификации расходов бюджета решением Совета депутатов Печенгского муниципального округа о бюджете, и в соответствии со сводной бюджетной росписью Печенгского муниципального округа, на цели, предусмотренные пунктом 1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Субсидия носит целевой характер и не может быть израсходована на цели, не предусмотренные настоящим Порядком.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Сведения о Субсидии размещаются на Едином портале бюджетной системы Российской Федерации в информационно-телекоммуникационной сети Интернет, в порядке, установленном Министерством финансов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4"/>
        <w:numPr>
          <w:ilvl w:val="0"/>
          <w:numId w:val="24"/>
        </w:numPr>
        <w:ind w:left="0" w:right="138" w:firstLine="709"/>
        <w:jc w:val="both"/>
        <w:widowControl w:val="off"/>
        <w:tabs>
          <w:tab w:val="left" w:pos="12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Организационные работы по реализации настоящего Порядка осуществляет отдел строительства и жилищно-коммунального хозяйства администрации Печенгского муниципального округа (далее – отдел строительства и ЖКХ). 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4"/>
        <w:numPr>
          <w:ilvl w:val="0"/>
          <w:numId w:val="26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Условия и порядок предоставления субсидии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924"/>
        <w:ind w:left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 связи с введением режима повышенной готовности </w:t>
      </w:r>
      <w:r>
        <w:rPr>
          <w:bCs/>
          <w:sz w:val="24"/>
          <w:szCs w:val="24"/>
        </w:rPr>
        <w:t xml:space="preserve">и предупреждения чрезвычайной ситуации </w:t>
      </w:r>
      <w:r>
        <w:rPr>
          <w:bCs/>
          <w:sz w:val="24"/>
          <w:szCs w:val="24"/>
        </w:rPr>
        <w:t xml:space="preserve">на территории п.г.т. Никель (постановление администрации </w:t>
        <w:br/>
        <w:t xml:space="preserve">от 18.08.2026 № 1631) Субсидия предоставляется без проведения отбора получателей. Получатель </w:t>
      </w:r>
      <w:r>
        <w:rPr>
          <w:bCs/>
          <w:sz w:val="24"/>
          <w:szCs w:val="24"/>
        </w:rPr>
        <w:t xml:space="preserve">субсидии </w:t>
      </w:r>
      <w:r>
        <w:rPr>
          <w:bCs/>
          <w:sz w:val="24"/>
          <w:szCs w:val="24"/>
        </w:rPr>
        <w:t xml:space="preserve">определён непосредственно указанным постановлением и настоящим Порядком.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Субсидия предоставляется Получателю субсидии на основании Соглашения о предоставлении субсидии, заключенного между Администрацией и Получателем субсидии (далее – Соглашение).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 Для заключения Соглашения Получатель субсидии представляет в Администрацию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 заявление о предоставлении субсидии по форме, согласно Приложению № 1 </w:t>
      </w:r>
      <w:r>
        <w:rPr>
          <w:bCs/>
          <w:sz w:val="24"/>
          <w:szCs w:val="24"/>
        </w:rPr>
        <w:br/>
        <w:t xml:space="preserve">к настоящему Порядку (далее –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Заявление);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б) копии учредительных документов Получателя субсидии, заверенные в установленном порядке;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в) выписка из ЕГРЮЛ;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г) копии документа, подтверждающего полномочия лица, подписавшего Заявление;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д) копия свидетельства о постановке на налоговый учёт в налоговом органе;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е) справка налогового органа об отсутствии задолженности в бюджет по обязательным платежам;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ж) банковские реквизиты на перечисление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з) </w:t>
      </w:r>
      <w:r>
        <w:rPr>
          <w:bCs/>
          <w:sz w:val="24"/>
          <w:szCs w:val="24"/>
        </w:rPr>
        <w:t xml:space="preserve">график </w:t>
      </w:r>
      <w:r>
        <w:rPr>
          <w:bCs/>
          <w:sz w:val="24"/>
          <w:szCs w:val="24"/>
        </w:rPr>
        <w:t xml:space="preserve">выполнения работ по промывке систем теплоснабжения и содержанию общего имущества (далее – График), согласованный с отделом строительства и ЖКХ, содержащий перечень многоквартирных домов с указанием планируемых дат начала и завершения работ по каждому дому.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Копии документов принимаются при предъявлении подлинников документов (в случае если копии не заверены нотариально), если иное не предусмотрено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Ответственность за достоверность сведений, содержащихся в представленных документах, несет руководитель Получателя субсидии в соответствии с действующим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В представленных документах наличие помарок и исправлений не </w:t>
      </w:r>
      <w:r>
        <w:rPr>
          <w:spacing w:val="-2"/>
          <w:sz w:val="24"/>
          <w:szCs w:val="24"/>
          <w:lang w:eastAsia="en-US"/>
        </w:rPr>
        <w:t xml:space="preserve">допускается.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В случае если информация в документах, указанных в пункте </w:t>
      </w:r>
      <w:r>
        <w:rPr>
          <w:sz w:val="24"/>
          <w:szCs w:val="24"/>
          <w:lang w:eastAsia="en-US"/>
        </w:rPr>
        <w:t xml:space="preserve">8</w:t>
      </w:r>
      <w:r>
        <w:rPr>
          <w:sz w:val="24"/>
          <w:szCs w:val="24"/>
          <w:lang w:eastAsia="en-US"/>
        </w:rPr>
        <w:t xml:space="preserve"> настоящего Порядка, содержит персональные данные, Администрацией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обеспечивается защита персональных данных в соответствии с законодательством Российской Федерации о защите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Вышеуказанные документы представляются на бумажном носителе в одном экземпляре непосредственно в Администрацию или направ</w:t>
      </w:r>
      <w:r>
        <w:rPr>
          <w:bCs/>
          <w:sz w:val="24"/>
          <w:szCs w:val="24"/>
        </w:rPr>
        <w:t xml:space="preserve">ляются в адрес Администрации через организацию почтовой связи, иную организацию, осуществляющую доставку корреспонденции, по адресу: 184421, Мурманская область, Печенгский район, пгт. Никель, ул. Пионерская, д. 2, приемная (для отдела строительства и ЖКХ).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 На первое число месяца, предшествующего месяцу, в котором планируется заключение соглашения о предоставлении субсидии, Получатель субсидии должен соответствовать следующим требованиям: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29"/>
        <w:ind w:firstLine="540"/>
        <w:jc w:val="both"/>
        <w:spacing w:before="0" w:beforeAutospacing="0" w:after="0" w:afterAutospacing="0" w:line="288" w:lineRule="atLeast"/>
        <w:rPr>
          <w:bCs/>
        </w:rPr>
      </w:pPr>
      <w:r>
        <w:rPr>
          <w:bCs/>
        </w:rPr>
        <w:t xml:space="preserve">а) Получатель субсидии не является</w:t>
      </w:r>
      <w:r>
        <w:rPr>
          <w:b/>
          <w:bCs/>
          <w:i/>
          <w:color w:val="0000ff"/>
        </w:rPr>
        <w:t xml:space="preserve"> </w:t>
      </w:r>
      <w:r>
        <w:rPr>
          <w:bCs/>
        </w:rPr>
        <w:t xml:space="preserve">иностранным юридическим лицом, в том числе местом регистрации которого является государство или территория, включенные в  утверждённый</w:t>
      </w:r>
      <w:r>
        <w:rPr>
          <w:b/>
          <w:bCs/>
          <w:color w:val="0000ff"/>
        </w:rPr>
        <w:t xml:space="preserve"> </w:t>
      </w:r>
      <w:r>
        <w:rPr>
          <w:bCs/>
        </w:rPr>
        <w:t xml:space="preserve">Министерством финансов Российской Федерации перечень государств и территорий, используемых для промежуточного (офшорного) владе</w:t>
      </w:r>
      <w:r>
        <w:rPr>
          <w:bCs/>
        </w:rPr>
        <w:t xml:space="preserve">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</w:t>
      </w:r>
      <w:r>
        <w:t xml:space="preserve"> </w:t>
      </w:r>
      <w:r>
        <w:t xml:space="preserve">(если иное не предусмотрено законодательством Российской Федерации).</w:t>
      </w:r>
      <w:r>
        <w:rPr>
          <w:bCs/>
          <w:color w:val="0000ff"/>
        </w:rPr>
        <w:t xml:space="preserve"> </w:t>
      </w:r>
      <w:r>
        <w:rPr>
          <w:bCs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</w:r>
      <w:r>
        <w:rPr>
          <w:bCs/>
        </w:rPr>
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sz w:val="24"/>
          <w:szCs w:val="24"/>
          <w:lang w:eastAsia="en-US"/>
        </w:rPr>
        <w:outlineLvl w:val="2"/>
      </w:pPr>
      <w:r>
        <w:rPr>
          <w:sz w:val="24"/>
          <w:szCs w:val="24"/>
          <w:lang w:eastAsia="en-US"/>
        </w:rPr>
        <w:t xml:space="preserve">б) 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  <w:lang w:eastAsia="en-US"/>
        </w:rPr>
        <w:outlineLvl w:val="2"/>
      </w:pPr>
      <w:r>
        <w:rPr>
          <w:bCs/>
          <w:sz w:val="24"/>
          <w:szCs w:val="24"/>
        </w:rPr>
        <w:t xml:space="preserve">в) </w:t>
      </w:r>
      <w:r>
        <w:rPr>
          <w:sz w:val="24"/>
          <w:szCs w:val="24"/>
          <w:lang w:eastAsia="en-US"/>
        </w:rPr>
        <w:t xml:space="preserve">Получатель субсидии не находится в составляемых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sz w:val="24"/>
            <w:szCs w:val="24"/>
            <w:lang w:eastAsia="en-US"/>
          </w:rPr>
          <w:t xml:space="preserve">главой VII</w:t>
        </w:r>
      </w:hyperlink>
      <w:r>
        <w:rPr>
          <w:sz w:val="24"/>
          <w:szCs w:val="24"/>
          <w:lang w:eastAsia="en-US"/>
        </w:rPr>
        <w:t xml:space="preserve"> Устава ООН, Советом Безопасности ООН или органами, специально созданными решениями Совета Безопасности ООН, перечнях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 физических лиц, связанных с террористическими организациями и террористами или с распространением оружия массового уничтожения;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г)</w:t>
      </w:r>
      <w:r>
        <w:rPr>
          <w:sz w:val="24"/>
          <w:szCs w:val="24"/>
        </w:rPr>
        <w:t xml:space="preserve"> Получатель субсидии не получает средства из </w:t>
      </w:r>
      <w:r>
        <w:rPr>
          <w:sz w:val="24"/>
          <w:szCs w:val="24"/>
        </w:rPr>
        <w:t xml:space="preserve">Бюджета о</w:t>
      </w:r>
      <w:r>
        <w:rPr>
          <w:sz w:val="24"/>
          <w:szCs w:val="24"/>
        </w:rPr>
        <w:t xml:space="preserve">круга на основании иных муниципальных правовых актов на цели, установленные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д) </w:t>
      </w:r>
      <w:r>
        <w:rPr>
          <w:sz w:val="24"/>
          <w:szCs w:val="24"/>
          <w:lang w:eastAsia="en-US"/>
        </w:rPr>
        <w:t xml:space="preserve">Получатель субсидии не является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62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е) у </w:t>
      </w:r>
      <w:r>
        <w:rPr>
          <w:sz w:val="24"/>
          <w:szCs w:val="24"/>
          <w:lang w:eastAsia="en-US"/>
        </w:rPr>
        <w:t xml:space="preserve">Получателя субсидии на едином налоговом счёте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</w:t>
      </w:r>
      <w:r>
        <w:rPr>
          <w:spacing w:val="-2"/>
          <w:sz w:val="24"/>
          <w:szCs w:val="24"/>
          <w:lang w:eastAsia="en-US"/>
        </w:rPr>
        <w:t xml:space="preserve">Федерации;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ж) у П</w:t>
      </w:r>
      <w:r>
        <w:rPr>
          <w:sz w:val="24"/>
          <w:szCs w:val="24"/>
        </w:rPr>
        <w:t xml:space="preserve">олучателя субсидии отсутствуют просроченная задолженность по возврату в Бюджет округа, из которого планируется предоставление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 в соответствии с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з) Получатель субсидии не находится в процессе реорганизации (за исключением реорганизации в форме присоединения к юриди</w:t>
      </w:r>
      <w:r>
        <w:rPr>
          <w:sz w:val="24"/>
          <w:szCs w:val="24"/>
        </w:rPr>
        <w:t xml:space="preserve">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и) в ре</w:t>
      </w:r>
      <w:r>
        <w:rPr>
          <w:sz w:val="24"/>
          <w:szCs w:val="24"/>
        </w:rPr>
        <w:t xml:space="preserve">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color w:val="ff0000"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10</w:t>
      </w:r>
      <w:r>
        <w:rPr>
          <w:bCs/>
          <w:sz w:val="24"/>
          <w:szCs w:val="24"/>
        </w:rPr>
        <w:t xml:space="preserve">. Отдел строительства и ЖКХ регистрирует поступившее Заявление и в течение трех рабочих дней со дня е</w:t>
      </w:r>
      <w:r>
        <w:rPr>
          <w:bCs/>
          <w:sz w:val="24"/>
          <w:szCs w:val="24"/>
        </w:rPr>
        <w:t xml:space="preserve">го</w:t>
      </w:r>
      <w:r>
        <w:rPr>
          <w:bCs/>
          <w:sz w:val="24"/>
          <w:szCs w:val="24"/>
        </w:rPr>
        <w:t xml:space="preserve"> поступления проверяет комплектность документов, рассматривает их и принимает решение о предоставлении Субсидии или об отказе в предоставлении Субсидии по основаниям, предусмотренным пунктом 1</w:t>
      </w:r>
      <w:r>
        <w:rPr>
          <w:bCs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 Порядка</w:t>
      </w:r>
      <w:r>
        <w:rPr>
          <w:bCs/>
          <w:color w:val="ff0000"/>
          <w:sz w:val="24"/>
          <w:szCs w:val="24"/>
        </w:rPr>
        <w:t xml:space="preserve">.</w:t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. Основаниями для отказа Получателю субсидии в предоставлении Субсидии являются: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а) несоответствие Получателя субсидии требованиям и условиям, предусмотренным настоящим Порядком;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б) несоответствие представленных Получателем субсидии документов требованиям Порядка, непредставление необходимых документов или их предоставление не в полном объеме;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в) недостоверность представленной Получателем субсидии информации;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г) документы, представленные Получателем субсидии, содержат подчистки, приписки, зачеркнутые слова и иные неоговоренные исправления.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Получатель субсидии после устранения причин, послуживших основанием для отказа в заключении соглашения о предоставлении субсидии, вправе вновь обратиться для заключения соглашения в соответствии с Порядком.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2</w:t>
      </w:r>
      <w:r>
        <w:rPr>
          <w:bCs/>
          <w:color w:val="000000"/>
          <w:sz w:val="24"/>
          <w:szCs w:val="24"/>
        </w:rPr>
        <w:t xml:space="preserve">. Соглашение должно содержать следующие положения: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целевое назначение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б) размер и порядок перечисления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в) срок предоставления и расходования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г) осуществление Администрацией в отношении Получателя субсидии проверки соблюдения им порядка и условий предоставления Субсидии, в том числе в части достижения</w:t>
      </w:r>
      <w:r>
        <w:rPr>
          <w:bCs/>
          <w:color w:val="000000" w:themeColor="text1"/>
          <w:sz w:val="24"/>
          <w:szCs w:val="24"/>
        </w:rPr>
        <w:t xml:space="preserve"> результатов предоставления субсидии, а также органами муниципального финансового контроля проверки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Федерации;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д</w:t>
      </w:r>
      <w:r>
        <w:rPr>
          <w:bCs/>
          <w:sz w:val="24"/>
          <w:szCs w:val="24"/>
        </w:rPr>
        <w:t xml:space="preserve">) условие о согласовании новых условий Соглашения или о расторжении Согла</w:t>
      </w:r>
      <w:r>
        <w:rPr>
          <w:bCs/>
          <w:sz w:val="24"/>
          <w:szCs w:val="24"/>
        </w:rPr>
        <w:t xml:space="preserve">шения при не 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) значение показателя, необходимого для результата предоставления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</w:t>
      </w:r>
      <w:r>
        <w:rPr>
          <w:bCs/>
          <w:sz w:val="24"/>
          <w:szCs w:val="24"/>
        </w:rPr>
        <w:t xml:space="preserve">) формы предоставления отчётов о достижении значений результатов показателя результативности и о расходах;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) порядок и сроки возврата Субсидии в случае нарушений целей, условий и порядка предоставления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В течение трех рабочих дней со дня принятия соотв</w:t>
      </w:r>
      <w:r>
        <w:rPr>
          <w:bCs/>
          <w:sz w:val="24"/>
          <w:szCs w:val="24"/>
        </w:rPr>
        <w:t xml:space="preserve">етствующего решения  отдел строительства и ЖКХ направляет Получателю субсидии проект Соглашения, разработанный в соответствии с типовой формой, утвержденной приказом Финансового управления администрации Печенгского муниципального округа от 18.03.2021 № 74 </w:t>
      </w:r>
      <w:r>
        <w:rPr>
          <w:bCs/>
          <w:sz w:val="24"/>
          <w:szCs w:val="24"/>
        </w:rPr>
        <w:br/>
        <w:t xml:space="preserve">«Об утверждении типовой формы соглашения (договора) о предоставлен</w:t>
      </w:r>
      <w:r>
        <w:rPr>
          <w:bCs/>
          <w:sz w:val="24"/>
          <w:szCs w:val="24"/>
        </w:rPr>
        <w:t xml:space="preserve">ии из бюджета муниципального образования Печенгский муниципальный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</w:t>
      </w:r>
      <w:r>
        <w:rPr>
          <w:bCs/>
          <w:sz w:val="24"/>
          <w:szCs w:val="24"/>
        </w:rPr>
        <w:t xml:space="preserve">ополученных доходов) в связи с производством (реализацией) товаров, выполнением работ, оказанием услуг» (далее – типовая форма), подписанный со стороны Администрации, либо письменное уведомление об отказе от заключения Соглашения с указанием причин отказа.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 Получатель субсидии должен подписать Соглашение и направить его в адрес </w:t>
      </w:r>
      <w:r>
        <w:rPr>
          <w:bCs/>
          <w:sz w:val="24"/>
          <w:szCs w:val="24"/>
        </w:rPr>
        <w:t xml:space="preserve">Администрации не</w:t>
      </w:r>
      <w:r>
        <w:rPr>
          <w:bCs/>
          <w:sz w:val="24"/>
          <w:szCs w:val="24"/>
        </w:rPr>
        <w:t xml:space="preserve"> позднее трех рабочих дней со дня его получения.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 При нарушении Получателем субсидии срока, указанного в пункте 1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 настоящего Порядка, Получатель субсидии признается уклонившимся от заключения Соглашения, что является основанием для отказа в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 Дополнительные соглашения, в том числе дополнительные соглашения о расторжении Соглашения, оформляются в соответствии с типовой формой.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Размер Субсидии определяется в объеме произведенных затрат на основании документов, предусмотренных в настоящем Порядке, но не превышающем лимиты бюджетных ассигнований, предусмотренных на указанные цели в </w:t>
      </w:r>
      <w:r>
        <w:rPr>
          <w:bCs/>
          <w:sz w:val="24"/>
          <w:szCs w:val="24"/>
        </w:rPr>
        <w:t xml:space="preserve">Бюджете округа </w:t>
      </w:r>
      <w:r>
        <w:rPr>
          <w:bCs/>
          <w:sz w:val="24"/>
          <w:szCs w:val="24"/>
        </w:rPr>
        <w:t xml:space="preserve">на текущий финансовый год, и лимитов бюджетных обязательств, утвержденных в установленном порядке на предоставление субсидии и доведенных до Администрации как получателя бюджетных средств.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18.</w:t>
      </w:r>
      <w:r>
        <w:rPr>
          <w:bCs/>
          <w:sz w:val="24"/>
          <w:szCs w:val="24"/>
        </w:rPr>
        <w:t xml:space="preserve"> Результатом предоставления субсидии является выполнение промывки систем теплоснабжения и гидравлических испытаний в 100% многокварт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рных домов, включённых в перечень согласно приложению № 3 к настоящему Порядку, в срок </w:t>
        <w:br/>
        <w:t xml:space="preserve">до 15.09.2026, а также проведение неотложных работ по содержанию общего имущества, обеспечивающих безаварийную работу инженерных систем в отопительный период 2026/2027.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Значение результата предоставления субсидии и его показателей устанавливаются в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оглашении о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 Для получения Субсидии Получатель субсидии представляет в отдел строительства и ЖКХ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заявку о перечислении Субсидии по форме согласно Приложению № 2 к настоящему Порядку;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реквизиты дл</w:t>
      </w:r>
      <w:r>
        <w:rPr>
          <w:bCs/>
          <w:sz w:val="24"/>
          <w:szCs w:val="24"/>
        </w:rPr>
        <w:t xml:space="preserve">я перечисления средств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копии договоров, заключённые Пол</w:t>
      </w:r>
      <w:r>
        <w:rPr>
          <w:bCs/>
          <w:sz w:val="24"/>
          <w:szCs w:val="24"/>
        </w:rPr>
        <w:t xml:space="preserve">учателем субсидии в рамках выполнения работ по содержанию многоквартирных домов, в том числе по промывке их систем отопления; копии справок о стоимости товаров (выполненных работ, оказанных услуг); копии актов о приёмке выполненных работ (оказанных услуг);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bCs/>
          <w:sz w:val="24"/>
          <w:szCs w:val="24"/>
        </w:rPr>
        <w:t xml:space="preserve">копии платёжных документов, подтверждающих оплату выполненных работ (о</w:t>
      </w:r>
      <w:r>
        <w:rPr>
          <w:bCs/>
          <w:sz w:val="24"/>
          <w:szCs w:val="24"/>
        </w:rPr>
        <w:t xml:space="preserve">казанных услуг).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20</w:t>
      </w:r>
      <w:r>
        <w:rPr>
          <w:bCs/>
          <w:sz w:val="24"/>
          <w:szCs w:val="24"/>
        </w:rPr>
        <w:t xml:space="preserve">. Перечисление средств Субсидии на расчетный счет, указанный в Соглашении, открытый Получателем субсидии в учреждениях Центрального банка Российской Федерации или кредитных организациях, осуществляется не позднее 10 рабочего дня, </w:t>
      </w:r>
      <w:r>
        <w:rPr>
          <w:bCs/>
          <w:sz w:val="24"/>
          <w:szCs w:val="24"/>
        </w:rPr>
        <w:t xml:space="preserve">следующего за днем регистрации документов, указанных в пункте 18 настоящего Порядка, в МБУ «ЦБ».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. В случае формирования на конец финансового года остатков средств Субсидии Получатель субсидии по окончанию финансового года возвращает Субсидию путём перечисления денежных средств в бюджет Печенгского муниципального округа в течение 10 рабочих дней.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Ответственность за достоверность и подлинность сведений, представленных в соответствии с настоящим Порядком, а также целевое и эффективное использование Субсидии несет Получатель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Субсидия носит целевой характер и не может быть использована на иные цели.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</w:rPr>
        <w:t xml:space="preserve">3. Требования к отчетности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24"/>
        <w:numPr>
          <w:ilvl w:val="0"/>
          <w:numId w:val="27"/>
        </w:numPr>
        <w:ind w:left="0" w:firstLine="709"/>
        <w:jc w:val="both"/>
        <w:widowControl w:val="off"/>
        <w:tabs>
          <w:tab w:val="left" w:pos="1199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формирует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5"/>
          <w:sz w:val="24"/>
          <w:szCs w:val="24"/>
          <w:lang w:eastAsia="en-US"/>
        </w:rPr>
        <w:t xml:space="preserve"> отдел строительства и ЖКХ</w:t>
      </w:r>
      <w:r>
        <w:rPr>
          <w:sz w:val="24"/>
          <w:szCs w:val="24"/>
          <w:lang w:eastAsia="en-US"/>
        </w:rPr>
        <w:t xml:space="preserve"> следующие отчеты: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46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 о расходах бюджета Печенгского муниципального округа, в целях софинансирования которых предоставляется Субсидия, по форме установленной Соглашением о предоставлении субсидии, не позднее 3 числа месяца, следующего за </w:t>
      </w:r>
      <w:r>
        <w:rPr>
          <w:sz w:val="24"/>
          <w:szCs w:val="24"/>
          <w:lang w:eastAsia="en-US"/>
        </w:rPr>
        <w:br/>
        <w:t xml:space="preserve">отчетным кварталом,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позднее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рабочего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дня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месяца,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отчетным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годом, в котором была получена Субсидия;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1070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- о достижении значений показателе</w:t>
      </w:r>
      <w:r>
        <w:rPr>
          <w:sz w:val="24"/>
          <w:szCs w:val="24"/>
          <w:lang w:eastAsia="en-US"/>
        </w:rPr>
        <w:t xml:space="preserve">й результативности использования Субсидии по форме, установленной Соглашением на предоставление субсидии, не позднее 3 числа месяца следующего за отчетным кварталом, и не позднее 3 рабочего дня месяца, следующего за отчетным годом, в котором была получена </w:t>
      </w:r>
      <w:r>
        <w:rPr>
          <w:spacing w:val="-2"/>
          <w:sz w:val="24"/>
          <w:szCs w:val="24"/>
          <w:lang w:eastAsia="en-US"/>
        </w:rPr>
        <w:t xml:space="preserve">Субсидия;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70" w:leader="none"/>
        </w:tabs>
        <w:rPr>
          <w:sz w:val="24"/>
          <w:szCs w:val="24"/>
        </w:rPr>
      </w:pPr>
      <w:r>
        <w:rPr>
          <w:spacing w:val="-2"/>
          <w:sz w:val="24"/>
          <w:szCs w:val="24"/>
          <w:lang w:eastAsia="en-US"/>
        </w:rPr>
        <w:t xml:space="preserve">- кроме того, </w:t>
      </w:r>
      <w:r>
        <w:rPr>
          <w:spacing w:val="-2"/>
          <w:sz w:val="24"/>
          <w:szCs w:val="24"/>
          <w:lang w:eastAsia="en-US"/>
        </w:rPr>
        <w:t xml:space="preserve">копии договоров, заключённые Получателем субсидии в рамках выполнения работ по </w:t>
      </w:r>
      <w:r>
        <w:rPr>
          <w:spacing w:val="-2"/>
          <w:sz w:val="24"/>
          <w:szCs w:val="24"/>
          <w:lang w:eastAsia="en-US"/>
        </w:rPr>
        <w:t xml:space="preserve">содержанию многоквартирных домов, в том числе по </w:t>
      </w:r>
      <w:r>
        <w:rPr>
          <w:bCs/>
          <w:spacing w:val="-2"/>
          <w:sz w:val="24"/>
          <w:szCs w:val="24"/>
          <w:lang w:eastAsia="en-US"/>
        </w:rPr>
        <w:t xml:space="preserve">промывке </w:t>
      </w:r>
      <w:r>
        <w:rPr>
          <w:bCs/>
          <w:spacing w:val="-2"/>
          <w:sz w:val="24"/>
          <w:szCs w:val="24"/>
          <w:lang w:eastAsia="en-US"/>
        </w:rPr>
        <w:t xml:space="preserve"> их </w:t>
      </w:r>
      <w:r>
        <w:rPr>
          <w:bCs/>
          <w:spacing w:val="-2"/>
          <w:sz w:val="24"/>
          <w:szCs w:val="24"/>
          <w:lang w:eastAsia="en-US"/>
        </w:rPr>
        <w:t xml:space="preserve">систем отопления</w:t>
      </w:r>
      <w:r>
        <w:rPr>
          <w:spacing w:val="-2"/>
          <w:sz w:val="24"/>
          <w:szCs w:val="24"/>
          <w:lang w:eastAsia="en-US"/>
        </w:rPr>
        <w:t xml:space="preserve">; копии справок о стоимости товаров (выполненных работ, оказанных услуг); копии актов о приёмке </w:t>
      </w:r>
      <w:r>
        <w:rPr>
          <w:spacing w:val="-2"/>
          <w:sz w:val="24"/>
          <w:szCs w:val="24"/>
          <w:lang w:eastAsia="en-US"/>
        </w:rPr>
        <w:t xml:space="preserve">выполненных работ (</w:t>
      </w:r>
      <w:r>
        <w:rPr>
          <w:spacing w:val="-2"/>
          <w:sz w:val="24"/>
          <w:szCs w:val="24"/>
          <w:lang w:eastAsia="en-US"/>
        </w:rPr>
        <w:t xml:space="preserve">оказанных услуг</w:t>
      </w:r>
      <w:r>
        <w:rPr>
          <w:spacing w:val="-2"/>
          <w:sz w:val="24"/>
          <w:szCs w:val="24"/>
          <w:lang w:eastAsia="en-US"/>
        </w:rPr>
        <w:t xml:space="preserve">)</w:t>
      </w:r>
      <w:r>
        <w:rPr>
          <w:spacing w:val="-2"/>
          <w:sz w:val="24"/>
          <w:szCs w:val="24"/>
          <w:lang w:eastAsia="en-US"/>
        </w:rPr>
        <w:t xml:space="preserve">; 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копии актов, предоставленные в ресурсоснабжающую организацию, акты приемки многоквартирных  домов, </w:t>
      </w:r>
      <w:r>
        <w:rPr>
          <w:spacing w:val="-2"/>
          <w:sz w:val="24"/>
          <w:szCs w:val="24"/>
          <w:lang w:eastAsia="en-US"/>
        </w:rPr>
        <w:t xml:space="preserve">копии платёжных документов, подтверждающих оплату выполненных работ</w:t>
      </w:r>
      <w:r>
        <w:rPr>
          <w:spacing w:val="-2"/>
          <w:sz w:val="24"/>
          <w:szCs w:val="24"/>
          <w:lang w:eastAsia="en-US"/>
        </w:rPr>
        <w:t xml:space="preserve"> (о</w:t>
      </w:r>
      <w:r>
        <w:rPr>
          <w:spacing w:val="-2"/>
          <w:sz w:val="24"/>
          <w:szCs w:val="24"/>
          <w:lang w:eastAsia="en-US"/>
        </w:rPr>
        <w:t xml:space="preserve">казанных услуг); копии иных документов, подтверждающих целевое расходование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trike/>
          <w:sz w:val="24"/>
          <w:szCs w:val="24"/>
        </w:rPr>
      </w:pPr>
      <w:r>
        <w:rPr>
          <w:sz w:val="24"/>
          <w:szCs w:val="24"/>
          <w:lang w:eastAsia="en-US"/>
        </w:rPr>
        <w:t xml:space="preserve">25. </w:t>
      </w: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течение двух рабочих дней со дня получения отчетов Получателя субсидии осуществляет их проверку и при отсутствии замечаний принимает отчетность. В случае выявления расхождений в показателях, влекущих отражение в отчетности недостоверных сведений,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 строительства и ЖКХ отклоняет отчетность. В течение 2 рабочих дней Получателю субсидии необходимо внести изменения в отчетность в части выявленных расхождений и повторно представить уточненную отчетность в адрес Отдела строительства и ЖКХ.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Требования к осуществлению контроля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 соблюдением условий, целей и порядка предоставления субсидии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 ответственности за их нарушение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</w:t>
      </w:r>
      <w:r>
        <w:rPr>
          <w:color w:val="000000"/>
          <w:sz w:val="24"/>
          <w:szCs w:val="24"/>
        </w:rPr>
        <w:t xml:space="preserve">6</w:t>
      </w:r>
      <w:r>
        <w:rPr>
          <w:color w:val="000000"/>
          <w:sz w:val="24"/>
          <w:szCs w:val="24"/>
        </w:rPr>
        <w:t xml:space="preserve">. Отдел строительства и ЖКХ осуществляет проверку соблюдения условий и порядка </w:t>
      </w:r>
      <w:r>
        <w:rPr>
          <w:color w:val="000000"/>
          <w:sz w:val="24"/>
          <w:szCs w:val="24"/>
        </w:rPr>
        <w:t xml:space="preserve">предоставления субсидии Получателем субсидии, в том числе в части достижения результатов предоставления субсидии, в порядке и сроки, предусмотренные законодательством Российской Федерации и муниципальными правовыми актами Печенгского муниципального округа.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Органы муниципального финансового контроля осуществляют проверку в соответствии со статьями 268.1 и 269.2 Бюджетного кодекса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right="136" w:firstLine="709"/>
        <w:jc w:val="both"/>
        <w:widowControl w:val="off"/>
        <w:tabs>
          <w:tab w:val="left" w:pos="127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 </w:t>
      </w:r>
      <w:r>
        <w:rPr>
          <w:sz w:val="24"/>
          <w:szCs w:val="24"/>
          <w:lang w:eastAsia="en-US"/>
        </w:rPr>
        <w:t xml:space="preserve">Отдел строительства и ЖКХ осуществляет проведение мониторинга достижения результатов предоставления субсидии исходя из достижения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значений результатов предоставления субсидии,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определенных Соглашением, и событий, отражающих</w:t>
      </w:r>
      <w:r>
        <w:rPr>
          <w:spacing w:val="3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факт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завершения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соответствующего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мероприятия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</w:t>
      </w:r>
      <w:r>
        <w:rPr>
          <w:spacing w:val="3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получению </w:t>
      </w:r>
      <w:r>
        <w:rPr>
          <w:sz w:val="24"/>
          <w:szCs w:val="24"/>
          <w:lang w:eastAsia="en-US"/>
        </w:rPr>
        <w:t xml:space="preserve">результата предоставления субсидии (контрольная точка), в порядке и формам, которые </w:t>
      </w:r>
      <w:r>
        <w:rPr>
          <w:sz w:val="24"/>
          <w:szCs w:val="24"/>
          <w:lang w:eastAsia="en-US"/>
        </w:rPr>
        <w:t xml:space="preserve">установлены приказом Министерства финансов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 от 27.04.2024 </w:t>
      </w:r>
      <w:r>
        <w:rPr>
          <w:sz w:val="24"/>
          <w:szCs w:val="24"/>
          <w:lang w:eastAsia="en-US"/>
        </w:rPr>
        <w:br/>
        <w:t xml:space="preserve">№ 53н «Об утверждении Порядка проведения</w:t>
      </w:r>
      <w:r>
        <w:rPr>
          <w:sz w:val="24"/>
          <w:szCs w:val="24"/>
          <w:lang w:eastAsia="en-US"/>
        </w:rPr>
        <w:t xml:space="preserve">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 </w:t>
      </w:r>
      <w:r>
        <w:rPr>
          <w:color w:val="000000"/>
          <w:sz w:val="24"/>
          <w:szCs w:val="24"/>
        </w:rPr>
        <w:t xml:space="preserve">В случае установления фак</w:t>
      </w:r>
      <w:r>
        <w:rPr>
          <w:color w:val="000000"/>
          <w:sz w:val="24"/>
          <w:szCs w:val="24"/>
        </w:rPr>
        <w:t xml:space="preserve">тов необоснованного получения субсидии Отдел строительства и ЖКХ принимает решение о возврате необоснованно полученных средств в местный бюджет в полном объеме и в течение 5 рабочих дней со дня его принятия письменно уведомляет об этом Получателя субсидии.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  <w:t xml:space="preserve"> В случае не перечисления получателем субсидии необоснованно полученных средств в полном объеме в срок, предусмотренный Порядком, указанные средства взыскиваются Администрацией в судебном порядке.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30.</w:t>
      </w:r>
      <w:r>
        <w:rPr>
          <w:color w:val="000000"/>
          <w:sz w:val="24"/>
          <w:szCs w:val="24"/>
        </w:rPr>
        <w:t xml:space="preserve"> В случае представления Администрации заведомо ложной информации Получатель субсидии несет ответственность, предусмотренную действующим законодательством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Порядку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left="6" w:right="7"/>
        <w:jc w:val="center"/>
        <w:spacing w:line="322" w:lineRule="exact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ЗАЯВЛЕНИЕ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4"/>
        <w:jc w:val="center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НА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ПРЕДОСТАВЛЕНИЕ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3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934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534"/>
      </w:tblGrid>
      <w:tr>
        <w:tblPrEx/>
        <w:trPr>
          <w:trHeight w:val="789"/>
        </w:trPr>
        <w:tc>
          <w:tcPr>
            <w:tcBorders>
              <w:top w:val="single" w:color="000000" w:sz="12" w:space="0"/>
            </w:tcBorders>
            <w:tcW w:w="9534" w:type="dxa"/>
            <w:textDirection w:val="lrTb"/>
            <w:noWrap w:val="false"/>
          </w:tcPr>
          <w:p>
            <w:pPr>
              <w:ind w:left="3881" w:hanging="2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субсидии,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ИНН,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КПП,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юридический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адрес, контактные телефоны)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261"/>
        </w:trPr>
        <w:tc>
          <w:tcPr>
            <w:tcW w:w="9534" w:type="dxa"/>
            <w:textDirection w:val="lrTb"/>
            <w:noWrap w:val="false"/>
          </w:tcPr>
          <w:p>
            <w:pPr>
              <w:ind w:left="28" w:firstLine="559"/>
              <w:spacing w:before="235"/>
              <w:tabs>
                <w:tab w:val="left" w:pos="1671" w:leader="none"/>
                <w:tab w:val="left" w:pos="953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Просит</w:t>
            </w:r>
            <w:r>
              <w:rPr>
                <w:sz w:val="24"/>
                <w:szCs w:val="24"/>
                <w:lang w:val="ru-RU"/>
              </w:rPr>
              <w:t xml:space="preserve"> заключить Соглашение о предоставлении субсидии из бюджета Печенгского муниципального округа в целях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4349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(указывается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предоставления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68"/>
        </w:trPr>
        <w:tc>
          <w:tcPr>
            <w:tcW w:w="9534" w:type="dxa"/>
            <w:textDirection w:val="lrTb"/>
            <w:noWrap w:val="false"/>
          </w:tcPr>
          <w:p>
            <w:pPr>
              <w:ind w:left="28" w:right="26" w:firstLine="487"/>
              <w:jc w:val="both"/>
              <w:spacing w:before="97"/>
              <w:tabs>
                <w:tab w:val="left" w:pos="8789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Настоящим подтверждаю, что на первое число месяца, предшествующего месяцу в котором заключается Соглашение о предоставлении субсидии из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бюджета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: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509"/>
              <w:spacing w:before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субсидии)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824"/>
        </w:trPr>
        <w:tc>
          <w:tcPr>
            <w:tcW w:w="9534" w:type="dxa"/>
            <w:textDirection w:val="lrTb"/>
            <w:noWrap w:val="false"/>
          </w:tcPr>
          <w:p>
            <w:pPr>
              <w:ind w:firstLine="709"/>
              <w:jc w:val="both"/>
              <w:tabs>
                <w:tab w:val="left" w:pos="833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 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</w:t>
            </w:r>
            <w:r>
              <w:rPr>
                <w:sz w:val="24"/>
                <w:szCs w:val="24"/>
                <w:lang w:val="ru-RU"/>
              </w:rPr>
              <w:t xml:space="preserve">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(складочном) капитале которого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доля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прямого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косвенного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(через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третьих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лиц)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участия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офшорных компаний в совокупности превышает 25 процентов (если иное не предусмотрено законодат</w:t>
            </w:r>
            <w:r>
              <w:rPr>
                <w:sz w:val="24"/>
                <w:szCs w:val="24"/>
                <w:lang w:val="ru-RU"/>
              </w:rPr>
              <w:t xml:space="preserve">ельством Российской Федерации.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      </w:r>
            <w:r>
              <w:rPr>
                <w:sz w:val="24"/>
                <w:szCs w:val="24"/>
                <w:lang w:val="ru-RU"/>
              </w:rPr>
      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tabs>
                <w:tab w:val="left" w:pos="804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 не находится в перечне организаций и физических лиц, в отношении которых имеются сведения об их причастности к экстремистской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 или терроризму;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tabs>
                <w:tab w:val="left" w:pos="891" w:leader="none"/>
              </w:tabs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 не находится в составляемых в рамках реализации полномочий, предусмотренных </w:t>
            </w:r>
            <w:hyperlink r:id="rId13" w:tooltip="https://login.consultant.ru/link/?req=doc&amp;base=LAW&amp;n=121087&amp;dst=100142" w:history="1">
              <w:r>
                <w:rPr>
                  <w:sz w:val="24"/>
                  <w:szCs w:val="24"/>
                  <w:lang w:val="ru-RU"/>
                </w:rPr>
                <w:t xml:space="preserve">главой </w:t>
              </w:r>
              <w:r>
                <w:rPr>
                  <w:sz w:val="24"/>
                  <w:szCs w:val="24"/>
                </w:rPr>
                <w:t xml:space="preserve">VII</w:t>
              </w:r>
            </w:hyperlink>
            <w:r>
              <w:rPr>
                <w:sz w:val="24"/>
                <w:szCs w:val="24"/>
                <w:lang w:val="ru-RU"/>
              </w:rPr>
              <w:t xml:space="preserve"> Устава ООН, Советом Безопасности ООН или органами,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специально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созданными</w:t>
            </w:r>
            <w:r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решениями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Безопасности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ООН, </w:t>
            </w:r>
            <w:r>
              <w:rPr>
                <w:sz w:val="24"/>
                <w:szCs w:val="24"/>
                <w:lang w:val="ru-RU"/>
              </w:rPr>
              <w:t xml:space="preserve">перечнях организаций и физических лиц, связанных с террористическими организациями</w:t>
            </w:r>
            <w:r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террористами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распространением</w:t>
            </w:r>
            <w:r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оружия</w:t>
            </w:r>
            <w:r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массового уничтожения;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является иностранным агентом в соответствии с Федеральным законом </w:t>
            </w:r>
            <w:r>
              <w:rPr>
                <w:spacing w:val="-2"/>
                <w:sz w:val="24"/>
                <w:szCs w:val="24"/>
                <w:lang w:val="ru-RU"/>
              </w:rPr>
              <w:br/>
              <w:t xml:space="preserve">от 14.07.2022 № 255-ФЗ «О контроле за деятельностью лиц, находящихся под иностранным влиянием»;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не получает средства из бюджета Печенгского муниципального округа на основании иных муниципальных правовых актов на цели, установленные настоящим Порядком;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деятельность Получателя субсидии не приостановлена в порядке, предусмотренном законодательством Российской Федерации;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имеет просроченной задолженности по возврату в бюджет Печенгского муниципального округа иных су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бсидий, бюджетных инвестиций, предоставляемых в том числе в соответствии с иными муниципальными правовыми актами, а также иная просроченная (неурегулированная) задолженность по денежным обязательствам перед администрацией Печенгского муниципального округа;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firstLine="709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не находится в реестре дисквалифицированных лиц, отсутствуют сведения о дисквалифицированных руководителе, главном бухгалтере.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Достоверность представленной информации гарантирую.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78"/>
              <w:spacing w:before="234"/>
              <w:tabs>
                <w:tab w:val="left" w:pos="4699" w:leader="none"/>
                <w:tab w:val="left" w:pos="5610" w:leader="none"/>
                <w:tab w:val="left" w:pos="8897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Получатель субсидии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232"/>
              <w:spacing w:before="1"/>
              <w:tabs>
                <w:tab w:val="left" w:pos="5795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(подпись)</w:t>
            </w:r>
            <w:r>
              <w:rPr>
                <w:sz w:val="24"/>
                <w:szCs w:val="24"/>
                <w:lang w:val="ru-RU"/>
              </w:rPr>
              <w:tab/>
              <w:t xml:space="preserve">(расшифровка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подписи)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 xml:space="preserve">МП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spacing w:before="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 xml:space="preserve">«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20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г.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716" w:hanging="1888"/>
        <w:spacing w:before="276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</w:t>
      </w:r>
      <w:r>
        <w:rPr>
          <w:spacing w:val="-8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администрацию</w:t>
      </w:r>
      <w:r>
        <w:rPr>
          <w:spacing w:val="-6"/>
          <w:sz w:val="22"/>
          <w:szCs w:val="22"/>
          <w:lang w:eastAsia="en-US"/>
        </w:rPr>
        <w:t xml:space="preserve"> Печенгского муниципального округа  </w:t>
      </w:r>
      <w:r>
        <w:rPr>
          <w:spacing w:val="-5"/>
          <w:sz w:val="22"/>
          <w:szCs w:val="22"/>
          <w:lang w:eastAsia="en-US"/>
        </w:rPr>
        <w:t xml:space="preserve">от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3466210</wp:posOffset>
                </wp:positionH>
                <wp:positionV relativeFrom="paragraph">
                  <wp:posOffset>157622</wp:posOffset>
                </wp:positionV>
                <wp:extent cx="3631565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31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1565" fill="norm" stroke="1" extrusionOk="0">
                              <a:moveTo>
                                <a:pt x="0" y="0"/>
                              </a:moveTo>
                              <a:lnTo>
                                <a:pt x="3631527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61312;o:allowoverlap:true;o:allowincell:true;mso-position-horizontal-relative:page;margin-left:272.93pt;mso-position-horizontal:absolute;mso-position-vertical-relative:text;margin-top:12.41pt;mso-position-vertical:absolute;width:285.95pt;height:0.10pt;mso-wrap-distance-left:0.00pt;mso-wrap-distance-top:0.00pt;mso-wrap-distance-right:0.00pt;mso-wrap-distance-bottom:0.00pt;visibility:visible;" path="m0,0l9999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left="6211" w:hanging="1391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(наименование</w:t>
      </w:r>
      <w:r>
        <w:rPr>
          <w:spacing w:val="-1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widowControl w:val="off"/>
        <w:rPr>
          <w:szCs w:val="28"/>
          <w:lang w:eastAsia="en-US"/>
        </w:rPr>
      </w:pPr>
      <w:r>
        <w:rPr>
          <w:szCs w:val="28"/>
          <w:lang w:eastAsia="en-US"/>
        </w:rPr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spacing w:before="15"/>
        <w:widowControl w:val="off"/>
        <w:rPr>
          <w:szCs w:val="28"/>
          <w:lang w:eastAsia="en-US"/>
        </w:rPr>
      </w:pPr>
      <w:r>
        <w:rPr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171394</wp:posOffset>
                </wp:positionV>
                <wp:extent cx="370205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 fill="norm" stroke="1" extrusionOk="0">
                              <a:moveTo>
                                <a:pt x="0" y="0"/>
                              </a:moveTo>
                              <a:lnTo>
                                <a:pt x="3701631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62336;o:allowoverlap:true;o:allowincell:true;mso-position-horizontal-relative:page;margin-left:275.57pt;mso-position-horizontal:absolute;mso-position-vertical-relative:text;margin-top:13.50pt;mso-position-vertical:absolute;width:291.50pt;height:0.10pt;mso-wrap-distance-left:0.00pt;mso-wrap-distance-top:0.00pt;mso-wrap-distance-right:0.00pt;mso-wrap-distance-bottom:0.00pt;visibility:visible;" path="m0,0l9998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ind w:left="3988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(юридический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5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и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почтовый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157412</wp:posOffset>
                </wp:positionV>
                <wp:extent cx="370332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3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3320" fill="norm" stroke="1" extrusionOk="0">
                              <a:moveTo>
                                <a:pt x="0" y="0"/>
                              </a:moveTo>
                              <a:lnTo>
                                <a:pt x="3703174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251663360;o:allowoverlap:true;o:allowincell:true;mso-position-horizontal-relative:page;margin-left:275.57pt;mso-position-horizontal:absolute;mso-position-vertical-relative:text;margin-top:12.39pt;mso-position-vertical:absolute;width:291.60pt;height:0.10pt;mso-wrap-distance-left:0.00pt;mso-wrap-distance-top:0.00pt;mso-wrap-distance-right:0.00pt;mso-wrap-distance-bottom:0.00pt;visibility:visible;" path="m0,0l99995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right="136"/>
        <w:jc w:val="center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(контактный</w:t>
      </w:r>
      <w:r>
        <w:rPr>
          <w:spacing w:val="-9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телефон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10"/>
          <w:sz w:val="22"/>
          <w:szCs w:val="22"/>
          <w:lang w:eastAsia="en-US"/>
        </w:rPr>
        <w:t xml:space="preserve">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204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7" w:right="1"/>
        <w:jc w:val="center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ЗАЯВКА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7"/>
        <w:jc w:val="center"/>
        <w:spacing w:before="51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98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2630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269"/>
        <w:widowControl w:val="off"/>
        <w:tabs>
          <w:tab w:val="left" w:pos="96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соответствии с</w:t>
      </w:r>
      <w:r>
        <w:rPr>
          <w:spacing w:val="-14"/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3004"/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39"/>
        <w:widowControl w:val="off"/>
        <w:tabs>
          <w:tab w:val="left" w:pos="967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утвержденным</w:t>
      </w:r>
      <w:r>
        <w:rPr>
          <w:spacing w:val="4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администрации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</w:t>
      </w:r>
      <w:r>
        <w:rPr>
          <w:spacing w:val="27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2" w:right="138" w:firstLine="1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6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г.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Порядок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субсидии),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просит </w:t>
      </w:r>
      <w:r>
        <w:rPr>
          <w:spacing w:val="-2"/>
          <w:sz w:val="24"/>
          <w:szCs w:val="24"/>
          <w:lang w:eastAsia="en-US"/>
        </w:rPr>
        <w:t xml:space="preserve">предоставить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субсидию</w:t>
      </w:r>
      <w:r>
        <w:rPr>
          <w:sz w:val="24"/>
          <w:szCs w:val="24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размере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рублей ( сумма прописью)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в </w:t>
      </w:r>
      <w:r>
        <w:rPr>
          <w:spacing w:val="-2"/>
          <w:sz w:val="24"/>
          <w:szCs w:val="24"/>
          <w:lang w:eastAsia="en-US"/>
        </w:rPr>
        <w:t xml:space="preserve">целях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71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02"/>
        <w:spacing w:before="38"/>
        <w:widowControl w:val="off"/>
        <w:tabs>
          <w:tab w:val="left" w:pos="51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(целевое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назначение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5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 w:right="148"/>
        <w:widowControl w:val="off"/>
        <w:tabs>
          <w:tab w:val="left" w:pos="676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Опись документов, предусмотренных пунктом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прилагается.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263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Приложение: на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 л. в ед. экз.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2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934"/>
        <w:tblW w:w="0" w:type="auto"/>
        <w:tblInd w:w="66" w:type="dxa"/>
        <w:tblLayout w:type="fixed"/>
        <w:tblLook w:val="01E0" w:firstRow="1" w:lastRow="1" w:firstColumn="1" w:lastColumn="1" w:noHBand="0" w:noVBand="0"/>
      </w:tblPr>
      <w:tblGrid>
        <w:gridCol w:w="2804"/>
        <w:gridCol w:w="2425"/>
        <w:gridCol w:w="3053"/>
      </w:tblGrid>
      <w:tr>
        <w:tblPrEx/>
        <w:trPr>
          <w:trHeight w:val="315"/>
        </w:trPr>
        <w:tc>
          <w:tcPr>
            <w:tcW w:w="2804" w:type="dxa"/>
            <w:textDirection w:val="lrTb"/>
            <w:noWrap w:val="false"/>
          </w:tcPr>
          <w:p>
            <w:pPr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383"/>
              <w:tabs>
                <w:tab w:val="left" w:pos="200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8"/>
              <w:tabs>
                <w:tab w:val="left" w:pos="300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98"/>
        </w:trPr>
        <w:tc>
          <w:tcPr>
            <w:tcW w:w="28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before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1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(подпись)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(расшифровка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подписи)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before="12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15" w:leader="none"/>
          <w:tab w:val="left" w:pos="2340" w:leader="none"/>
          <w:tab w:val="left" w:pos="2943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г.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right"/>
        <w:spacing w:before="100" w:beforeAutospacing="1" w:after="240"/>
        <w:shd w:val="clear" w:color="auto" w:fill="ffffff"/>
        <w:rPr>
          <w:bCs/>
          <w:color w:val="0f1115"/>
          <w:sz w:val="26"/>
          <w:szCs w:val="26"/>
        </w:rPr>
      </w:pPr>
      <w:r>
        <w:rPr>
          <w:bCs/>
          <w:color w:val="0f1115"/>
          <w:sz w:val="26"/>
          <w:szCs w:val="26"/>
        </w:rPr>
      </w:r>
      <w:r>
        <w:rPr>
          <w:bCs/>
          <w:color w:val="0f1115"/>
          <w:sz w:val="26"/>
          <w:szCs w:val="26"/>
        </w:rPr>
      </w:r>
      <w:r>
        <w:rPr>
          <w:bCs/>
          <w:color w:val="0f1115"/>
          <w:sz w:val="26"/>
          <w:szCs w:val="26"/>
        </w:rPr>
      </w:r>
    </w:p>
    <w:p>
      <w:pPr>
        <w:jc w:val="right"/>
        <w:spacing w:before="100" w:beforeAutospacing="1" w:after="240"/>
        <w:shd w:val="clear" w:color="auto" w:fill="ffffff"/>
        <w:rPr>
          <w:bCs/>
          <w:color w:val="0f1115"/>
          <w:sz w:val="26"/>
          <w:szCs w:val="26"/>
        </w:rPr>
      </w:pPr>
      <w:r>
        <w:rPr>
          <w:bCs/>
          <w:color w:val="0f1115"/>
          <w:sz w:val="26"/>
          <w:szCs w:val="26"/>
        </w:rPr>
      </w:r>
      <w:r>
        <w:rPr>
          <w:bCs/>
          <w:color w:val="0f1115"/>
          <w:sz w:val="26"/>
          <w:szCs w:val="26"/>
        </w:rPr>
      </w:r>
      <w:r>
        <w:rPr>
          <w:bCs/>
          <w:color w:val="0f1115"/>
          <w:sz w:val="26"/>
          <w:szCs w:val="26"/>
        </w:rPr>
      </w:r>
    </w:p>
    <w:p>
      <w:pPr>
        <w:jc w:val="right"/>
        <w:spacing w:before="100" w:beforeAutospacing="1" w:after="240"/>
        <w:shd w:val="clear" w:color="auto" w:fill="ffffff"/>
        <w:rPr>
          <w:bCs/>
          <w:color w:val="0f1115"/>
          <w:sz w:val="26"/>
          <w:szCs w:val="26"/>
        </w:rPr>
      </w:pPr>
      <w:r>
        <w:rPr>
          <w:bCs/>
          <w:color w:val="0f1115"/>
          <w:sz w:val="26"/>
          <w:szCs w:val="26"/>
        </w:rPr>
      </w:r>
      <w:r>
        <w:rPr>
          <w:bCs/>
          <w:color w:val="0f1115"/>
          <w:sz w:val="26"/>
          <w:szCs w:val="26"/>
        </w:rPr>
      </w:r>
      <w:r>
        <w:rPr>
          <w:bCs/>
          <w:color w:val="0f1115"/>
          <w:sz w:val="26"/>
          <w:szCs w:val="26"/>
        </w:rPr>
      </w:r>
    </w:p>
    <w:p>
      <w:pPr>
        <w:jc w:val="right"/>
        <w:spacing w:before="100" w:beforeAutospacing="1" w:after="240"/>
        <w:shd w:val="clear" w:color="auto" w:fill="ffffff"/>
        <w:rPr>
          <w:color w:val="0f1115"/>
          <w:sz w:val="24"/>
          <w:szCs w:val="24"/>
        </w:rPr>
      </w:pPr>
      <w:r>
        <w:rPr>
          <w:bCs/>
          <w:color w:val="0f1115"/>
          <w:sz w:val="24"/>
          <w:szCs w:val="24"/>
        </w:rPr>
        <w:t xml:space="preserve">Приложение № 3</w:t>
      </w:r>
      <w:r>
        <w:rPr>
          <w:color w:val="0f1115"/>
          <w:sz w:val="24"/>
          <w:szCs w:val="24"/>
        </w:rPr>
        <w:br/>
        <w:t xml:space="preserve">к Порядку </w:t>
      </w:r>
      <w:r>
        <w:rPr>
          <w:color w:val="0f1115"/>
          <w:sz w:val="24"/>
          <w:szCs w:val="24"/>
        </w:rPr>
      </w:r>
      <w:r>
        <w:rPr>
          <w:color w:val="0f1115"/>
          <w:sz w:val="24"/>
          <w:szCs w:val="24"/>
        </w:rPr>
      </w:r>
    </w:p>
    <w:p>
      <w:pPr>
        <w:pStyle w:val="930"/>
        <w:jc w:val="center"/>
        <w:rPr>
          <w:sz w:val="24"/>
          <w:szCs w:val="24"/>
        </w:rPr>
      </w:pPr>
      <w:r>
        <w:rPr>
          <w:b/>
          <w:bCs/>
        </w:rPr>
        <w:t xml:space="preserve">ПЕРЕЧЕНЬ</w:t>
      </w:r>
      <w:r>
        <w:br/>
      </w:r>
      <w:r>
        <w:rPr>
          <w:sz w:val="24"/>
          <w:szCs w:val="24"/>
        </w:rPr>
        <w:t xml:space="preserve">многоквартирных домов, обслуживаемых ООО «Никельская управляющая компания», в отношении которых временно возложены обязанности по содержанию на МУП «Жилищный сервис» в соответствии с постановлением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18.08.2026 № 1631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0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074"/>
        <w:gridCol w:w="5167"/>
        <w:gridCol w:w="3260"/>
      </w:tblGrid>
      <w:tr>
        <w:tblPrEx/>
        <w:trPr>
          <w:tblHeader/>
        </w:trPr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375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center"/>
            <w:textDirection w:val="lrTb"/>
            <w:noWrap w:val="false"/>
          </w:tcPr>
          <w:p>
            <w:pPr>
              <w:jc w:val="center"/>
              <w:spacing w:line="375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line="375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подъездов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Никель, ул. Бредова, д. </w:t>
            </w: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ул. Бредова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 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24а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 </w:t>
            </w:r>
            <w:r>
              <w:rPr>
                <w:color w:val="000000"/>
                <w:sz w:val="24"/>
                <w:szCs w:val="24"/>
              </w:rPr>
              <w:t xml:space="preserve">28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5/11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26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 </w:t>
            </w:r>
            <w:r>
              <w:rPr>
                <w:color w:val="000000"/>
                <w:sz w:val="24"/>
                <w:szCs w:val="24"/>
              </w:rPr>
              <w:t xml:space="preserve">28а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39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Сидоровича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Октябрьская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30а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43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ул. Бредова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</w:t>
            </w:r>
            <w:r>
              <w:rPr>
                <w:color w:val="000000"/>
                <w:sz w:val="24"/>
                <w:szCs w:val="24"/>
              </w:rPr>
              <w:t xml:space="preserve"> Бредова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ул. Бредова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18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Спортивная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 xml:space="preserve">Победы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Октябрьская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Спортивная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1б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Спортивная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2а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Мира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32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25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13/11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Пионерская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Победы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2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Победы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Победы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Победы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Спортивная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Спортивная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15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ул. Бредова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19а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пр. </w:t>
            </w:r>
            <w:r>
              <w:rPr>
                <w:color w:val="000000"/>
                <w:sz w:val="24"/>
                <w:szCs w:val="24"/>
              </w:rPr>
              <w:t xml:space="preserve">Гвардейский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23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left w:w="0" w:type="dxa"/>
              <w:top w:w="150" w:type="dxa"/>
              <w:right w:w="240" w:type="dxa"/>
              <w:bottom w:w="150" w:type="dxa"/>
            </w:tcMar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5167" w:type="dxa"/>
            <w:vAlign w:val="bottom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п.г.т. Никель</w:t>
            </w:r>
            <w:r>
              <w:rPr>
                <w:color w:val="000000"/>
                <w:sz w:val="24"/>
                <w:szCs w:val="24"/>
              </w:rPr>
              <w:t xml:space="preserve">, ул. </w:t>
            </w:r>
            <w:r>
              <w:rPr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color w:val="000000"/>
                <w:sz w:val="24"/>
                <w:szCs w:val="24"/>
              </w:rPr>
              <w:t xml:space="preserve">, д.</w:t>
            </w:r>
            <w:r>
              <w:rPr>
                <w:color w:val="000000"/>
                <w:sz w:val="24"/>
                <w:szCs w:val="24"/>
              </w:rPr>
              <w:t xml:space="preserve"> 18/9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Mar>
              <w:left w:w="240" w:type="dxa"/>
              <w:top w:w="150" w:type="dxa"/>
              <w:right w:w="240" w:type="dxa"/>
              <w:bottom w:w="150" w:type="dxa"/>
            </w:tcMar>
            <w:tcW w:w="32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3381" w:right="113"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3381" w:right="113"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707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4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trike w:val="0"/>
        <w:color w:val="auto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space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num w:numId="1">
    <w:abstractNumId w:val="22"/>
  </w:num>
  <w:num w:numId="2">
    <w:abstractNumId w:val="27"/>
  </w:num>
  <w:num w:numId="3">
    <w:abstractNumId w:val="5"/>
  </w:num>
  <w:num w:numId="4">
    <w:abstractNumId w:val="13"/>
  </w:num>
  <w:num w:numId="5">
    <w:abstractNumId w:val="10"/>
  </w:num>
  <w:num w:numId="6">
    <w:abstractNumId w:val="26"/>
  </w:num>
  <w:num w:numId="7">
    <w:abstractNumId w:val="23"/>
  </w:num>
  <w:num w:numId="8">
    <w:abstractNumId w:val="6"/>
  </w:num>
  <w:num w:numId="9">
    <w:abstractNumId w:val="16"/>
  </w:num>
  <w:num w:numId="10">
    <w:abstractNumId w:val="17"/>
  </w:num>
  <w:num w:numId="11">
    <w:abstractNumId w:val="24"/>
  </w:num>
  <w:num w:numId="12">
    <w:abstractNumId w:val="1"/>
  </w:num>
  <w:num w:numId="13">
    <w:abstractNumId w:val="11"/>
  </w:num>
  <w:num w:numId="14">
    <w:abstractNumId w:val="12"/>
  </w:num>
  <w:num w:numId="15">
    <w:abstractNumId w:val="4"/>
  </w:num>
  <w:num w:numId="16">
    <w:abstractNumId w:val="8"/>
  </w:num>
  <w:num w:numId="17">
    <w:abstractNumId w:val="7"/>
  </w:num>
  <w:num w:numId="18">
    <w:abstractNumId w:val="19"/>
  </w:num>
  <w:num w:numId="19">
    <w:abstractNumId w:val="25"/>
  </w:num>
  <w:num w:numId="20">
    <w:abstractNumId w:val="14"/>
  </w:num>
  <w:num w:numId="21">
    <w:abstractNumId w:val="15"/>
  </w:num>
  <w:num w:numId="22">
    <w:abstractNumId w:val="2"/>
  </w:num>
  <w:num w:numId="23">
    <w:abstractNumId w:val="0"/>
  </w:num>
  <w:num w:numId="24">
    <w:abstractNumId w:val="9"/>
  </w:num>
  <w:num w:numId="25">
    <w:abstractNumId w:val="21"/>
  </w:num>
  <w:num w:numId="26">
    <w:abstractNumId w:val="18"/>
  </w:num>
  <w:num w:numId="27">
    <w:abstractNumId w:val="3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2 Char"/>
    <w:basedOn w:val="752"/>
    <w:link w:val="744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5 Char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13">
    <w:name w:val="Heading 6 Char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14">
    <w:name w:val="Heading 7 Char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8 Char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16">
    <w:name w:val="Heading 9 Char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752"/>
    <w:link w:val="764"/>
    <w:uiPriority w:val="10"/>
    <w:rPr>
      <w:sz w:val="48"/>
      <w:szCs w:val="48"/>
    </w:rPr>
  </w:style>
  <w:style w:type="character" w:styleId="718">
    <w:name w:val="Subtitle Char"/>
    <w:basedOn w:val="752"/>
    <w:link w:val="766"/>
    <w:uiPriority w:val="11"/>
    <w:rPr>
      <w:sz w:val="24"/>
      <w:szCs w:val="24"/>
    </w:rPr>
  </w:style>
  <w:style w:type="character" w:styleId="719">
    <w:name w:val="Quote Char"/>
    <w:link w:val="768"/>
    <w:uiPriority w:val="29"/>
    <w:rPr>
      <w:i/>
    </w:rPr>
  </w:style>
  <w:style w:type="character" w:styleId="720">
    <w:name w:val="Intense Quote Char"/>
    <w:link w:val="770"/>
    <w:uiPriority w:val="30"/>
    <w:rPr>
      <w:i/>
    </w:rPr>
  </w:style>
  <w:style w:type="table" w:styleId="721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5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8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9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0">
    <w:name w:val="Footnote Text Char"/>
    <w:link w:val="902"/>
    <w:uiPriority w:val="99"/>
    <w:rPr>
      <w:sz w:val="18"/>
    </w:rPr>
  </w:style>
  <w:style w:type="character" w:styleId="741">
    <w:name w:val="Endnote Text Char"/>
    <w:link w:val="905"/>
    <w:uiPriority w:val="99"/>
    <w:rPr>
      <w:sz w:val="20"/>
    </w:rPr>
  </w:style>
  <w:style w:type="paragraph" w:styleId="742" w:default="1">
    <w:name w:val="Normal"/>
    <w:qFormat/>
    <w:rPr>
      <w:rFonts w:ascii="Times New Roman" w:hAnsi="Times New Roman" w:eastAsia="Times New Roman"/>
    </w:rPr>
  </w:style>
  <w:style w:type="paragraph" w:styleId="743">
    <w:name w:val="Heading 1"/>
    <w:basedOn w:val="742"/>
    <w:next w:val="742"/>
    <w:link w:val="931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44">
    <w:name w:val="Heading 2"/>
    <w:basedOn w:val="742"/>
    <w:next w:val="742"/>
    <w:link w:val="7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920"/>
    <w:qFormat/>
    <w:pPr>
      <w:ind w:firstLine="709"/>
      <w:keepNext/>
      <w:outlineLvl w:val="3"/>
    </w:pPr>
    <w:rPr>
      <w:sz w:val="28"/>
    </w:rPr>
  </w:style>
  <w:style w:type="paragraph" w:styleId="747">
    <w:name w:val="Heading 5"/>
    <w:basedOn w:val="742"/>
    <w:next w:val="742"/>
    <w:link w:val="7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Title"/>
    <w:basedOn w:val="742"/>
    <w:next w:val="742"/>
    <w:link w:val="7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5" w:customStyle="1">
    <w:name w:val="Название Знак"/>
    <w:basedOn w:val="752"/>
    <w:link w:val="764"/>
    <w:uiPriority w:val="10"/>
    <w:rPr>
      <w:sz w:val="48"/>
      <w:szCs w:val="48"/>
    </w:rPr>
  </w:style>
  <w:style w:type="paragraph" w:styleId="766">
    <w:name w:val="Subtitle"/>
    <w:basedOn w:val="742"/>
    <w:next w:val="742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 w:customStyle="1">
    <w:name w:val="Подзаголовок Знак"/>
    <w:basedOn w:val="752"/>
    <w:link w:val="766"/>
    <w:uiPriority w:val="11"/>
    <w:rPr>
      <w:sz w:val="24"/>
      <w:szCs w:val="24"/>
    </w:rPr>
  </w:style>
  <w:style w:type="paragraph" w:styleId="768">
    <w:name w:val="Quote"/>
    <w:basedOn w:val="742"/>
    <w:next w:val="742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2"/>
    <w:next w:val="742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52"/>
    <w:uiPriority w:val="99"/>
  </w:style>
  <w:style w:type="character" w:styleId="773" w:customStyle="1">
    <w:name w:val="Footer Char"/>
    <w:basedOn w:val="752"/>
    <w:uiPriority w:val="99"/>
  </w:style>
  <w:style w:type="paragraph" w:styleId="774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 w:customStyle="1">
    <w:name w:val="Caption Char"/>
    <w:uiPriority w:val="99"/>
  </w:style>
  <w:style w:type="table" w:styleId="776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7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 w:customStyle="1">
    <w:name w:val="Таблица простая 1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Таблица-сетка 5 темная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Таблица-сетк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Таблица-сетка 7 цветная1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Список-таблица 6 цветная1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Список-таблица 7 цветная1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2">
    <w:name w:val="footnote text"/>
    <w:basedOn w:val="742"/>
    <w:link w:val="903"/>
    <w:uiPriority w:val="99"/>
    <w:semiHidden/>
    <w:unhideWhenUsed/>
    <w:pPr>
      <w:spacing w:after="40"/>
    </w:pPr>
    <w:rPr>
      <w:sz w:val="18"/>
    </w:rPr>
  </w:style>
  <w:style w:type="character" w:styleId="903" w:customStyle="1">
    <w:name w:val="Текст сноски Знак"/>
    <w:link w:val="902"/>
    <w:uiPriority w:val="99"/>
    <w:rPr>
      <w:sz w:val="18"/>
    </w:rPr>
  </w:style>
  <w:style w:type="character" w:styleId="904">
    <w:name w:val="footnote reference"/>
    <w:basedOn w:val="752"/>
    <w:uiPriority w:val="99"/>
    <w:unhideWhenUsed/>
    <w:rPr>
      <w:vertAlign w:val="superscript"/>
    </w:rPr>
  </w:style>
  <w:style w:type="paragraph" w:styleId="905">
    <w:name w:val="endnote text"/>
    <w:basedOn w:val="742"/>
    <w:link w:val="906"/>
    <w:uiPriority w:val="99"/>
    <w:semiHidden/>
    <w:unhideWhenUsed/>
  </w:style>
  <w:style w:type="character" w:styleId="906" w:customStyle="1">
    <w:name w:val="Текст концевой сноски Знак"/>
    <w:link w:val="905"/>
    <w:uiPriority w:val="99"/>
    <w:rPr>
      <w:sz w:val="20"/>
    </w:rPr>
  </w:style>
  <w:style w:type="character" w:styleId="907">
    <w:name w:val="endnote reference"/>
    <w:basedOn w:val="752"/>
    <w:uiPriority w:val="99"/>
    <w:semiHidden/>
    <w:unhideWhenUsed/>
    <w:rPr>
      <w:vertAlign w:val="superscript"/>
    </w:rPr>
  </w:style>
  <w:style w:type="paragraph" w:styleId="908">
    <w:name w:val="toc 1"/>
    <w:basedOn w:val="742"/>
    <w:next w:val="742"/>
    <w:uiPriority w:val="39"/>
    <w:unhideWhenUsed/>
    <w:pPr>
      <w:spacing w:after="57"/>
    </w:pPr>
  </w:style>
  <w:style w:type="paragraph" w:styleId="909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10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11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12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13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14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15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16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17">
    <w:name w:val="TOC Heading"/>
    <w:uiPriority w:val="39"/>
    <w:unhideWhenUsed/>
  </w:style>
  <w:style w:type="paragraph" w:styleId="918">
    <w:name w:val="table of figures"/>
    <w:basedOn w:val="742"/>
    <w:next w:val="742"/>
    <w:uiPriority w:val="99"/>
    <w:unhideWhenUsed/>
  </w:style>
  <w:style w:type="paragraph" w:styleId="919" w:customStyle="1">
    <w:name w:val="Стиль1"/>
    <w:basedOn w:val="742"/>
    <w:qFormat/>
    <w:rPr>
      <w:sz w:val="24"/>
    </w:rPr>
  </w:style>
  <w:style w:type="character" w:styleId="920" w:customStyle="1">
    <w:name w:val="Заголовок 4 Знак"/>
    <w:link w:val="746"/>
    <w:rPr>
      <w:rFonts w:ascii="Times New Roman" w:hAnsi="Times New Roman" w:eastAsia="Times New Roman"/>
      <w:szCs w:val="20"/>
      <w:lang w:eastAsia="ru-RU"/>
    </w:rPr>
  </w:style>
  <w:style w:type="paragraph" w:styleId="921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22">
    <w:name w:val="Balloon Text"/>
    <w:basedOn w:val="74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Текст выноски Знак"/>
    <w:link w:val="92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24">
    <w:name w:val="List Paragraph"/>
    <w:basedOn w:val="742"/>
    <w:uiPriority w:val="34"/>
    <w:qFormat/>
    <w:pPr>
      <w:contextualSpacing/>
      <w:ind w:left="720"/>
    </w:pPr>
  </w:style>
  <w:style w:type="paragraph" w:styleId="925" w:customStyle="1">
    <w:name w:val="Знак Знак Знак Знак Знак Знак Знак Знак Знак Знак"/>
    <w:basedOn w:val="74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6" w:customStyle="1">
    <w:name w:val="Знак Знак Знак Знак"/>
    <w:basedOn w:val="74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7" w:customStyle="1">
    <w:name w:val="Знак Знак1 Знак Знак Знак Знак"/>
    <w:basedOn w:val="74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8">
    <w:name w:val="Hyperlink"/>
    <w:basedOn w:val="752"/>
    <w:uiPriority w:val="99"/>
    <w:unhideWhenUsed/>
    <w:rPr>
      <w:color w:val="0000ff" w:themeColor="hyperlink"/>
      <w:u w:val="single"/>
    </w:rPr>
  </w:style>
  <w:style w:type="paragraph" w:styleId="929">
    <w:name w:val="Normal (Web)"/>
    <w:basedOn w:val="74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0">
    <w:name w:val="No Spacing"/>
    <w:uiPriority w:val="1"/>
    <w:qFormat/>
    <w:rPr>
      <w:rFonts w:ascii="Times New Roman" w:hAnsi="Times New Roman" w:eastAsia="Times New Roman"/>
    </w:rPr>
  </w:style>
  <w:style w:type="character" w:styleId="931" w:customStyle="1">
    <w:name w:val="Заголовок 1 Знак"/>
    <w:basedOn w:val="752"/>
    <w:link w:val="743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32">
    <w:name w:val="Body Text"/>
    <w:basedOn w:val="742"/>
    <w:link w:val="933"/>
    <w:uiPriority w:val="99"/>
    <w:semiHidden/>
    <w:unhideWhenUsed/>
    <w:pPr>
      <w:spacing w:after="120"/>
    </w:pPr>
  </w:style>
  <w:style w:type="character" w:styleId="933" w:customStyle="1">
    <w:name w:val="Основной текст Знак"/>
    <w:basedOn w:val="752"/>
    <w:link w:val="932"/>
    <w:uiPriority w:val="99"/>
    <w:semiHidden/>
    <w:rPr>
      <w:rFonts w:ascii="Times New Roman" w:hAnsi="Times New Roman" w:eastAsia="Times New Roman"/>
    </w:rPr>
  </w:style>
  <w:style w:type="table" w:styleId="934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5">
    <w:name w:val="Header"/>
    <w:basedOn w:val="742"/>
    <w:link w:val="93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6" w:customStyle="1">
    <w:name w:val="Верхний колонтитул Знак"/>
    <w:basedOn w:val="752"/>
    <w:link w:val="935"/>
    <w:uiPriority w:val="99"/>
    <w:rPr>
      <w:rFonts w:ascii="Times New Roman" w:hAnsi="Times New Roman" w:eastAsia="Times New Roman"/>
    </w:rPr>
  </w:style>
  <w:style w:type="paragraph" w:styleId="937">
    <w:name w:val="Footer"/>
    <w:basedOn w:val="742"/>
    <w:link w:val="93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8" w:customStyle="1">
    <w:name w:val="Нижний колонтитул Знак"/>
    <w:basedOn w:val="752"/>
    <w:link w:val="937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LAW&amp;n=121087&amp;dst=100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06FF4-8F7A-4448-AA0A-7CF4F0C8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14</cp:revision>
  <dcterms:created xsi:type="dcterms:W3CDTF">2026-09-01T07:53:00Z</dcterms:created>
  <dcterms:modified xsi:type="dcterms:W3CDTF">2026-09-10T13:06:04Z</dcterms:modified>
</cp:coreProperties>
</file>