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4"/>
          <w:szCs w:val="24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от 08.09.2026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  <w:t xml:space="preserve">                    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 № 1778</w:t>
      </w:r>
      <w:r>
        <w:rPr>
          <w:rFonts w:ascii="Times New Roman" w:hAnsi="Times New Roman" w:eastAsia="Times New Roman"/>
          <w:b/>
          <w:bCs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. Никель</w:t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tabs>
          <w:tab w:val="left" w:pos="9900" w:leader="none"/>
        </w:tabs>
        <w:rPr>
          <w:rFonts w:ascii="Times New Roman" w:hAnsi="Times New Roman" w:eastAsia="Times New Roman"/>
          <w:b/>
          <w:sz w:val="20"/>
          <w:szCs w:val="20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 внесении изменений в муниципальную программу Печенгского муниципального округа</w:t>
      </w:r>
      <w:r>
        <w:rPr>
          <w:rFonts w:ascii="Times New Roman" w:hAnsi="Times New Roman" w:eastAsia="Times New Roman"/>
          <w:b/>
          <w:sz w:val="20"/>
          <w:szCs w:val="20"/>
        </w:rPr>
      </w:r>
    </w:p>
    <w:p>
      <w:pPr>
        <w:jc w:val="center"/>
        <w:spacing w:after="0" w:line="240" w:lineRule="auto"/>
        <w:tabs>
          <w:tab w:val="left" w:pos="9900" w:leader="none"/>
        </w:tabs>
        <w:rPr>
          <w:rFonts w:ascii="Times New Roman" w:hAnsi="Times New Roman" w:eastAsia="Times New Roman"/>
          <w:b/>
          <w:sz w:val="20"/>
          <w:szCs w:val="20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«Обеспечение социальной стабильности» на 2026 - 2028 годы,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утвержденную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постановлением администрации Печенгского муниципального округа от 12.11.2025 № 1835</w:t>
      </w:r>
      <w:r>
        <w:rPr>
          <w:rFonts w:ascii="Times New Roman" w:hAnsi="Times New Roman" w:eastAsia="Times New Roman"/>
          <w:b/>
          <w:sz w:val="20"/>
          <w:szCs w:val="20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Руководствуясь статьей 179 Бюдже</w:t>
      </w:r>
      <w:r>
        <w:rPr>
          <w:rFonts w:ascii="Times New Roman" w:hAnsi="Times New Roman"/>
          <w:sz w:val="24"/>
          <w:szCs w:val="24"/>
        </w:rPr>
        <w:t xml:space="preserve">тного кодекса Российской Федерации, в соответствии с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18.09.2025 </w:t>
      </w:r>
      <w:r>
        <w:rPr>
          <w:rFonts w:ascii="Times New Roman" w:hAnsi="Times New Roman"/>
          <w:sz w:val="24"/>
          <w:szCs w:val="24"/>
        </w:rPr>
        <w:br/>
        <w:t xml:space="preserve">№ 1488, в целях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обеспечения транспортной доступности населенных пунктов Печенгского муниципального округа, </w:t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18"/>
          <w:lang w:eastAsia="ru-RU"/>
        </w:rPr>
      </w:pPr>
      <w:r>
        <w:rPr>
          <w:rFonts w:ascii="Times New Roman" w:hAnsi="Times New Roman" w:eastAsia="Times New Roman"/>
          <w:sz w:val="24"/>
          <w:szCs w:val="18"/>
          <w:lang w:eastAsia="ru-RU"/>
        </w:rPr>
      </w:r>
      <w:r>
        <w:rPr>
          <w:rFonts w:ascii="Times New Roman" w:hAnsi="Times New Roman" w:eastAsia="Times New Roman"/>
          <w:sz w:val="24"/>
          <w:szCs w:val="18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 Внести в муниципальную программу Печенгского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муниципального округа «Обеспечение социальной стабильности» на 2026 - 2028 годы, утвержденную постановлением администрации Печенгского муниципального округа от 12.11.2025 № 1835 (в редакции постановления администрации Печенгского муниципального округа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br/>
        <w:t xml:space="preserve">от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03.06.2026 № 1022) (далее – Программа), следующие изменения: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 строку «Финансовое обеспечение муниципальной программы» в паспорте Программы изложить в следующей редакции:</w:t>
      </w:r>
      <w:r>
        <w:rPr>
          <w:rFonts w:ascii="Times New Roman" w:hAnsi="Times New Roman"/>
          <w:sz w:val="24"/>
          <w:szCs w:val="24"/>
        </w:rPr>
      </w:r>
    </w:p>
    <w:tbl>
      <w:tblPr>
        <w:tblW w:w="9493" w:type="dxa"/>
        <w:jc w:val="center"/>
        <w:tblLayout w:type="fixed"/>
        <w:tblCellMar>
          <w:left w:w="75" w:type="dxa"/>
          <w:right w:w="75" w:type="dxa"/>
        </w:tblCellMar>
        <w:tblLook w:val="04A0" w:firstRow="1" w:lastRow="0" w:firstColumn="1" w:lastColumn="0" w:noHBand="0" w:noVBand="1"/>
      </w:tblPr>
      <w:tblGrid>
        <w:gridCol w:w="2263"/>
        <w:gridCol w:w="7230"/>
      </w:tblGrid>
      <w:tr>
        <w:tblPrEx/>
        <w:trPr>
          <w:jc w:val="center"/>
          <w:trHeight w:val="70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«Финансовое обеспечение муниципальной программы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230" w:type="dxa"/>
            <w:textDirection w:val="lrTb"/>
            <w:noWrap w:val="false"/>
          </w:tcPr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Всего по программе: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113 710 399,00 р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ублей,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 том числе: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МБ  28 027 790,00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11 231 831,00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8 345 416,00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8 450 543,00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  82 547 000,00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27 371 200,00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27 587 900,00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27 587 900,00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ФБ  40 909,00 тыс.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14 869,00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12 483,00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13 557,00 рублей;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ВБС  3 094 700,00 рублей, из них: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2026 год: 1 044 500,00 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2027 год: </w:t>
            </w:r>
            <w:r>
              <w:rPr>
                <w:rFonts w:ascii="Times New Roman" w:hAnsi="Times New Roman" w:eastAsia="Times New Roman"/>
                <w:color w:val="000000"/>
                <w:sz w:val="24"/>
                <w:szCs w:val="24"/>
              </w:rPr>
              <w:t xml:space="preserve">1 025 100,00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рублей,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  <w:p>
            <w:pPr>
              <w:jc w:val="both"/>
              <w:spacing w:after="0" w:line="240" w:lineRule="auto"/>
              <w:widowControl w:val="off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2028 год: 1 025 100,00 рублей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.»;</w:t>
            </w:r>
            <w:r>
              <w:rPr>
                <w:rFonts w:ascii="Times New Roman" w:hAnsi="Times New Roman"/>
                <w:sz w:val="24"/>
                <w:szCs w:val="24"/>
              </w:rPr>
            </w:r>
          </w:p>
        </w:tc>
      </w:tr>
    </w:tbl>
    <w:p>
      <w:pPr>
        <w:ind w:firstLine="709"/>
        <w:jc w:val="both"/>
        <w:spacing w:after="0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 таблицу 3. «Перечень структурных элементов муниципальной программы» Программы изложить в редакции согласно приложению № 1 к настоящему постановлению;</w:t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- таблицу 5. «Сведения об объемах финансирования муниципальной програ</w:t>
      </w:r>
      <w:r>
        <w:rPr>
          <w:rFonts w:ascii="Times New Roman" w:hAnsi="Times New Roman"/>
          <w:sz w:val="24"/>
          <w:szCs w:val="24"/>
          <w:lang w:eastAsia="ru-RU"/>
        </w:rPr>
        <w:t xml:space="preserve">ммы» к Программе изложить в редакции согласно приложению № 2 к настоящему постановлению.</w:t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в силу после его подписания.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276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 Настоящее постановление опубликовать в официальном издании газета «Печенга» и разместить на сайте Печенгского муниципального округа в сети Интернет. </w:t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contextualSpacing/>
        <w:ind w:left="709"/>
        <w:jc w:val="both"/>
        <w:spacing w:before="240" w:after="0" w:line="240" w:lineRule="auto"/>
        <w:tabs>
          <w:tab w:val="left" w:pos="851" w:leader="none"/>
          <w:tab w:val="left" w:pos="993" w:leader="none"/>
          <w:tab w:val="right" w:pos="9355" w:leader="none"/>
          <w:tab w:val="right" w:pos="9498" w:leader="none"/>
        </w:tabs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contextualSpacing/>
        <w:ind w:left="709"/>
        <w:jc w:val="both"/>
        <w:spacing w:before="240" w:after="0" w:line="240" w:lineRule="auto"/>
        <w:tabs>
          <w:tab w:val="left" w:pos="851" w:leader="none"/>
          <w:tab w:val="left" w:pos="993" w:leader="none"/>
          <w:tab w:val="right" w:pos="9355" w:leader="none"/>
          <w:tab w:val="right" w:pos="9498" w:leader="none"/>
        </w:tabs>
        <w:rPr>
          <w:rFonts w:ascii="Times New Roman" w:hAnsi="Times New Roman" w:eastAsia="Times New Roman"/>
          <w:sz w:val="28"/>
          <w:szCs w:val="28"/>
          <w:lang w:eastAsia="ru-RU"/>
        </w:rPr>
      </w:pPr>
      <w:r>
        <w:rPr>
          <w:rFonts w:ascii="Times New Roman" w:hAnsi="Times New Roman" w:eastAsia="Times New Roman"/>
          <w:sz w:val="28"/>
          <w:szCs w:val="28"/>
          <w:lang w:eastAsia="ru-RU"/>
        </w:rPr>
      </w:r>
      <w:r>
        <w:rPr>
          <w:rFonts w:ascii="Times New Roman" w:hAnsi="Times New Roman" w:eastAsia="Times New Roman"/>
          <w:sz w:val="28"/>
          <w:szCs w:val="28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Глава Печенгского муниципального округа                                                  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     А.С.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Пеньшин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jc w:val="both"/>
        <w:spacing w:after="0" w:line="240" w:lineRule="auto"/>
        <w:tabs>
          <w:tab w:val="right" w:pos="9355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  <w:sectPr>
          <w:footnotePr/>
          <w:endnotePr/>
          <w:type w:val="nextPage"/>
          <w:pgSz w:w="11905" w:h="16838" w:orient="portrait"/>
          <w:pgMar w:top="285" w:right="706" w:bottom="993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Рудневская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 М.А., 51503</w:t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contextualSpacing/>
        <w:ind w:left="11341"/>
        <w:spacing w:after="0" w:line="240" w:lineRule="auto"/>
        <w:rPr>
          <w:rFonts w:ascii="Times New Roman" w:hAnsi="Times New Roman" w:eastAsia="Times New Roman"/>
          <w:color w:val="000000"/>
          <w:sz w:val="24"/>
          <w:szCs w:val="20"/>
        </w:rPr>
      </w:pPr>
      <w:r/>
      <w:bookmarkStart w:id="0" w:name="_GoBack"/>
      <w:r/>
      <w:bookmarkEnd w:id="0"/>
      <w:r>
        <w:rPr>
          <w:rFonts w:ascii="Times New Roman" w:hAnsi="Times New Roman" w:eastAsia="Times New Roman"/>
          <w:color w:val="000000"/>
          <w:sz w:val="24"/>
          <w:szCs w:val="20"/>
        </w:rPr>
        <w:t xml:space="preserve">Приложение № 1</w:t>
      </w:r>
      <w:r>
        <w:rPr>
          <w:rFonts w:ascii="Times New Roman" w:hAnsi="Times New Roman" w:eastAsia="Times New Roman"/>
          <w:color w:val="000000"/>
          <w:sz w:val="24"/>
          <w:szCs w:val="20"/>
        </w:rPr>
        <w:t xml:space="preserve">                                                                                                                          к постановлению администрации                                                                                                         </w:t>
      </w:r>
      <w:r>
        <w:rPr>
          <w:rFonts w:ascii="Times New Roman" w:hAnsi="Times New Roman" w:eastAsia="Times New Roman"/>
          <w:color w:val="000000"/>
          <w:sz w:val="24"/>
          <w:szCs w:val="20"/>
        </w:rPr>
        <w:t xml:space="preserve">                  Печенгского муниципального округа                                                                                                                          от 08.09.2026 № 1778</w:t>
      </w:r>
      <w:r>
        <w:rPr>
          <w:rFonts w:ascii="Times New Roman" w:hAnsi="Times New Roman" w:eastAsia="Times New Roman"/>
          <w:color w:val="000000"/>
          <w:sz w:val="24"/>
          <w:szCs w:val="20"/>
        </w:rPr>
      </w:r>
    </w:p>
    <w:p>
      <w:pPr>
        <w:contextualSpacing/>
        <w:ind w:left="11341"/>
        <w:spacing w:after="0" w:line="240" w:lineRule="auto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contextualSpacing/>
        <w:ind w:left="11341"/>
        <w:spacing w:after="0" w:line="240" w:lineRule="auto"/>
        <w:rPr>
          <w:rFonts w:ascii="Times New Roman" w:hAnsi="Times New Roman" w:eastAsia="Times New Roman"/>
          <w:color w:val="000000"/>
          <w:sz w:val="24"/>
          <w:szCs w:val="24"/>
        </w:rPr>
      </w:pPr>
      <w:r>
        <w:rPr>
          <w:rFonts w:ascii="Times New Roman" w:hAnsi="Times New Roman" w:eastAsia="Times New Roman"/>
          <w:color w:val="000000"/>
          <w:sz w:val="24"/>
          <w:szCs w:val="24"/>
        </w:rPr>
      </w:r>
      <w:r>
        <w:rPr>
          <w:rFonts w:ascii="Times New Roman" w:hAnsi="Times New Roman" w:eastAsia="Times New Roman"/>
          <w:color w:val="000000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«3. Перечень структурных элементов муниципальной программы</w:t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16"/>
          <w:szCs w:val="16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  </w:t>
      </w:r>
      <w:r>
        <w:rPr>
          <w:rFonts w:ascii="Times New Roman" w:hAnsi="Times New Roman" w:eastAsia="Times New Roman"/>
          <w:sz w:val="16"/>
          <w:szCs w:val="16"/>
          <w:lang w:eastAsia="ru-RU"/>
        </w:rPr>
      </w:r>
    </w:p>
    <w:tbl>
      <w:tblPr>
        <w:tblW w:w="15435" w:type="dxa"/>
        <w:tblInd w:w="-13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"/>
        <w:gridCol w:w="987"/>
        <w:gridCol w:w="4252"/>
        <w:gridCol w:w="1276"/>
        <w:gridCol w:w="1843"/>
        <w:gridCol w:w="6520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№ структурного элемента муниципальной программы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Направления (подпрограммы), комплексы процессных и (или) проектных мероприятий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Срок выполнения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Соисполнители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2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Связь с показателями муниципальной программы (наименования показателей)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«Создание условий для роста благосостояния граждан – получателей мер социальной поддержки»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Управляющий делами администрации, сектор муниципальной службы и кадров, специалист по работе с населением, ОРН, отдел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образования, отдел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, МКУ «Управление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ОДА»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20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0.1. Доля граждан, получивших социальную поддержку, от общего числа граждан, которым назначена социальная поддержка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0.2. Доля муниципальных служащих, своевременно получающих пенсию за выслугу лет от общей ч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исленности муниципальных служащих, которым назначена пенсия за выслугу лет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0.3. Доля</w:t>
            </w:r>
            <w:r>
              <w:rPr>
                <w:rFonts w:ascii="Times New Roman" w:hAnsi="Times New Roman" w:eastAsia="Times New Roman"/>
                <w:color w:val="ff0000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почетных граждан г. Заполярный, граждан, награжденных почетным знаком «За заслуги перед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Печенгским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округом», граждан, которым присвоено почетное звание «Почетный гражданин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«Печенгского муниципального округа», своевременно получивших социальную поддержку от общего числа граждан, которым присвоены такие звания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0.4. Выполнение обязательств, связанных с захоронением погибших в ходе специальной военной операции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2</w:t>
            </w: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«Создание условий для эффективной интеграции инвалидов в общество»</w:t>
            </w: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20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0.5. Доля приоритетных объектов социальной инфраструктуры (далее – ОСИ) Печенгского муниципального округа занесенных в электронный реестр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ОСИ Мурманской области, а также размещенных на электронной карте доступности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интернет-портала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«Жить вместе» государственной программы Российской Федерации «Доступная среда»;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0.6. Доля исполненных обоснованных заявлений (обращений) по обеспечению доступност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 в МКД, в которых проживают инвалиды от общего числа поступивших заявлений (обращений)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5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98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252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  <w:t xml:space="preserve">Комплекс процессных мероприятий 3 </w:t>
            </w: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«Создание условий для социальной помощи семьям»</w:t>
            </w:r>
            <w:r>
              <w:rPr>
                <w:rFonts w:ascii="Times New Roman" w:hAnsi="Times New Roman" w:eastAsia="Times New Roman"/>
                <w:sz w:val="20"/>
                <w:szCs w:val="20"/>
                <w:u w:val="single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84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ОС и ЖКХ,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520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0.7. Число семей участников Государственной программы получивших социальную выплату на приобретение (строительство) жилья от общего числа семей обратившихся за получением меры социальной поддержки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.».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contextualSpacing/>
        <w:ind w:left="11341"/>
        <w:spacing w:after="0" w:line="240" w:lineRule="auto"/>
        <w:rPr>
          <w:rFonts w:ascii="Times New Roman" w:hAnsi="Times New Roman" w:eastAsia="Times New Roman"/>
          <w:color w:val="000000"/>
          <w:sz w:val="24"/>
          <w:szCs w:val="20"/>
        </w:rPr>
      </w:pPr>
      <w:r>
        <w:rPr>
          <w:rFonts w:ascii="Times New Roman" w:hAnsi="Times New Roman" w:eastAsia="Times New Roman"/>
          <w:color w:val="000000"/>
          <w:sz w:val="24"/>
          <w:szCs w:val="20"/>
        </w:rPr>
      </w:r>
      <w:r>
        <w:rPr>
          <w:rFonts w:ascii="Times New Roman" w:hAnsi="Times New Roman" w:eastAsia="Times New Roman"/>
          <w:color w:val="000000"/>
          <w:sz w:val="24"/>
          <w:szCs w:val="20"/>
        </w:rPr>
      </w:r>
    </w:p>
    <w:p>
      <w:pPr>
        <w:contextualSpacing/>
        <w:ind w:left="11341"/>
        <w:spacing w:after="0" w:line="240" w:lineRule="auto"/>
        <w:rPr>
          <w:rFonts w:ascii="Times New Roman" w:hAnsi="Times New Roman" w:eastAsia="Times New Roman"/>
          <w:color w:val="000000"/>
          <w:sz w:val="24"/>
          <w:szCs w:val="20"/>
        </w:rPr>
      </w:pPr>
      <w:r>
        <w:rPr>
          <w:rFonts w:ascii="Times New Roman" w:hAnsi="Times New Roman" w:eastAsia="Times New Roman"/>
          <w:color w:val="000000"/>
          <w:sz w:val="24"/>
          <w:szCs w:val="20"/>
        </w:rPr>
      </w:r>
      <w:r>
        <w:rPr>
          <w:rFonts w:ascii="Times New Roman" w:hAnsi="Times New Roman" w:eastAsia="Times New Roman"/>
          <w:color w:val="000000"/>
          <w:sz w:val="24"/>
          <w:szCs w:val="20"/>
        </w:rPr>
      </w:r>
    </w:p>
    <w:p>
      <w:pPr>
        <w:contextualSpacing/>
        <w:ind w:left="11341"/>
        <w:spacing w:after="0" w:line="240" w:lineRule="auto"/>
        <w:rPr>
          <w:rFonts w:ascii="Times New Roman" w:hAnsi="Times New Roman" w:eastAsia="Times New Roman"/>
          <w:color w:val="000000"/>
          <w:sz w:val="24"/>
          <w:szCs w:val="20"/>
        </w:rPr>
      </w:pPr>
      <w:r>
        <w:rPr>
          <w:rFonts w:ascii="Times New Roman" w:hAnsi="Times New Roman" w:eastAsia="Times New Roman"/>
          <w:color w:val="000000"/>
          <w:sz w:val="24"/>
          <w:szCs w:val="20"/>
        </w:rPr>
      </w:r>
      <w:r>
        <w:rPr>
          <w:rFonts w:ascii="Times New Roman" w:hAnsi="Times New Roman" w:eastAsia="Times New Roman"/>
          <w:color w:val="000000"/>
          <w:sz w:val="24"/>
          <w:szCs w:val="20"/>
        </w:rPr>
      </w:r>
    </w:p>
    <w:p>
      <w:pPr>
        <w:contextualSpacing/>
        <w:ind w:left="11341"/>
        <w:spacing w:after="0" w:line="240" w:lineRule="auto"/>
        <w:rPr>
          <w:rFonts w:ascii="Times New Roman" w:hAnsi="Times New Roman" w:eastAsia="Times New Roman"/>
          <w:color w:val="000000"/>
          <w:sz w:val="24"/>
          <w:szCs w:val="20"/>
        </w:rPr>
      </w:pPr>
      <w:r>
        <w:rPr>
          <w:rFonts w:ascii="Times New Roman" w:hAnsi="Times New Roman" w:eastAsia="Times New Roman"/>
          <w:color w:val="000000"/>
          <w:sz w:val="24"/>
          <w:szCs w:val="20"/>
        </w:rPr>
      </w:r>
      <w:r>
        <w:rPr>
          <w:rFonts w:ascii="Times New Roman" w:hAnsi="Times New Roman" w:eastAsia="Times New Roman"/>
          <w:color w:val="000000"/>
          <w:sz w:val="24"/>
          <w:szCs w:val="20"/>
        </w:rPr>
      </w:r>
    </w:p>
    <w:p>
      <w:pPr>
        <w:contextualSpacing/>
        <w:ind w:left="11341"/>
        <w:spacing w:after="0" w:line="240" w:lineRule="auto"/>
        <w:rPr>
          <w:rFonts w:ascii="Times New Roman" w:hAnsi="Times New Roman" w:eastAsia="Times New Roman"/>
          <w:color w:val="000000"/>
          <w:sz w:val="24"/>
          <w:szCs w:val="20"/>
        </w:rPr>
      </w:pPr>
      <w:r>
        <w:rPr>
          <w:rFonts w:ascii="Times New Roman" w:hAnsi="Times New Roman" w:eastAsia="Times New Roman"/>
          <w:color w:val="000000"/>
          <w:sz w:val="24"/>
          <w:szCs w:val="20"/>
        </w:rPr>
        <w:t xml:space="preserve">Приложение № 2                                     </w:t>
      </w:r>
      <w:r>
        <w:rPr>
          <w:rFonts w:ascii="Times New Roman" w:hAnsi="Times New Roman" w:eastAsia="Times New Roman"/>
          <w:color w:val="000000"/>
          <w:sz w:val="24"/>
          <w:szCs w:val="20"/>
        </w:rPr>
        <w:t xml:space="preserve">                                                                                     к постановлению администрации                                                                                                                           Печенгского муницип</w:t>
      </w:r>
      <w:r>
        <w:rPr>
          <w:rFonts w:ascii="Times New Roman" w:hAnsi="Times New Roman" w:eastAsia="Times New Roman"/>
          <w:color w:val="000000"/>
          <w:sz w:val="24"/>
          <w:szCs w:val="20"/>
        </w:rPr>
        <w:t xml:space="preserve">ального округа                                                                                                                          от 08.09.2026 № 1778</w:t>
      </w:r>
      <w:r>
        <w:rPr>
          <w:rFonts w:ascii="Times New Roman" w:hAnsi="Times New Roman" w:eastAsia="Times New Roman"/>
          <w:color w:val="000000"/>
          <w:sz w:val="24"/>
          <w:szCs w:val="20"/>
        </w:rPr>
      </w:r>
    </w:p>
    <w:p>
      <w:pPr>
        <w:contextualSpacing/>
        <w:ind w:left="11341"/>
        <w:spacing w:after="0" w:line="240" w:lineRule="auto"/>
        <w:rPr>
          <w:rFonts w:ascii="Times New Roman" w:hAnsi="Times New Roman" w:eastAsia="Times New Roman"/>
          <w:color w:val="000000"/>
          <w:sz w:val="24"/>
          <w:szCs w:val="20"/>
        </w:rPr>
      </w:pPr>
      <w:r>
        <w:rPr>
          <w:rFonts w:ascii="Times New Roman" w:hAnsi="Times New Roman" w:eastAsia="Times New Roman"/>
          <w:color w:val="000000"/>
          <w:sz w:val="24"/>
          <w:szCs w:val="20"/>
        </w:rPr>
      </w:r>
      <w:r>
        <w:rPr>
          <w:rFonts w:ascii="Times New Roman" w:hAnsi="Times New Roman" w:eastAsia="Times New Roman"/>
          <w:color w:val="000000"/>
          <w:sz w:val="24"/>
          <w:szCs w:val="20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«5. Сведения об объемах финансирования муниципальной программы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sz w:val="16"/>
          <w:szCs w:val="16"/>
          <w:lang w:eastAsia="ru-RU"/>
        </w:rPr>
      </w:r>
    </w:p>
    <w:tbl>
      <w:tblPr>
        <w:tblW w:w="15436" w:type="dxa"/>
        <w:tblInd w:w="-27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5"/>
        <w:gridCol w:w="1011"/>
        <w:gridCol w:w="3118"/>
        <w:gridCol w:w="1276"/>
        <w:gridCol w:w="851"/>
        <w:gridCol w:w="1275"/>
        <w:gridCol w:w="1276"/>
        <w:gridCol w:w="1276"/>
        <w:gridCol w:w="1276"/>
        <w:gridCol w:w="3402"/>
      </w:tblGrid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4"/>
                <w:szCs w:val="24"/>
                <w:lang w:eastAsia="ru-RU"/>
              </w:rPr>
              <w:t xml:space="preserve"> 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№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/п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01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№ структурного элемента муниципальной программы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Муниципальная программа, ГРБС, направления (подпрограммы)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Период реализации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595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Объемы и источники финансирования (рублей)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Соисполнители</w:t>
            </w:r>
            <w:r>
              <w:rPr>
                <w:rFonts w:ascii="Times New Roman" w:hAnsi="Times New Roman" w:eastAsia="Times New Roman"/>
                <w:strike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Год/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источник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2027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5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Муниципальная программа «Обеспечение социальной стабильности»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113 710 399,00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39 662 400,00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  36 970 899,00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  37 077 100,00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Управляющий делами администрации, сектор муниципальной службы и кадров, специалист по работе с населением, ОРН, отдел образования, отдел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, КУИ, ОС и ЖКХ, МКУ «Управление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по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ОДА»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  28 027 790,00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  11 231 831,00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    8 345 416,00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    8 450 543,00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82 547 000,00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27 371 200,00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  27 587 900,00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  27 587 900,00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         40 909,00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         14 869,00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         12 483,00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         13 557,00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44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3 094 700,00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    1 044 500,00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    1 025 100,00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    1 025 100,00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0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0.1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118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Администрация Печенгского муниципального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38 709 099,00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14 971 500,00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  11 815 699,00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  11 921 900,00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0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28 027 790,00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11 231 831,00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8 345 416,00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8 450 543,00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0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7 545 700,00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2 680 300,00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2 432 700,00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2 432 700,00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0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     40 909,00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     14 869,00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     12 483,00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     13 557,00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3 094 700,00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1 044 500,00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1 025 100,00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1 025 100,00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0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118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образования администрации Печенгского муниципального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59 036 200,00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19 438 000,00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19 799 100,00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19 799 100,00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0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0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59 036 200,00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19 438 000,00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19 799 100,00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19 799 100,00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0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0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118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Комитет по управлению имуществом администрации Печенгского муниципального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3 030 000,00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1 010 000,00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1 010 000,00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1 010 000,00 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0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0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3 030 000,00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1 010 000,00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1 010 000,00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1 010 000,00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0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65"/>
        </w:trPr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0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0.4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118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Отдел культуры, спорта и молодежной политики администрации Печенгского муниципального округа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12 935 100,00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4 242 900,00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4 346 100,00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4 346 100,00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right w:val="single" w:color="000000" w:sz="6" w:space="0"/>
            </w:tcBorders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01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0,00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01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12 935 100,00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4 242 900,00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4 346 100,00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4 346 100,00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01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1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1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«Создание условий для роста благосостояния граждан – получателей мер социальной поддержки»</w:t>
            </w:r>
            <w:r>
              <w:rPr>
                <w:rFonts w:ascii="Times New Roman" w:hAnsi="Times New Roman" w:eastAsia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  <w:t xml:space="preserve">102 023 999,00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35 629 773,00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  33 197 113,00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  <w:t xml:space="preserve">    33 197 113,00   </w:t>
            </w:r>
            <w:r>
              <w:rPr>
                <w:rFonts w:ascii="Times New Roman" w:hAnsi="Times New Roman"/>
                <w:b/>
                <w:bCs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Управляющий делами администрации, сектор муниципальной службы и кадров,  сп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ециалист по работе с населением, ОРН, отдел образования, отдел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КСиМП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, МКУ «Управление 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по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 ОДА»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22 506 999,00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9 268 573,00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6 619 213,00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  6 619 213,00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79 517 000,00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26 361 200,00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26 577 900,00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/>
              <w:rPr>
                <w:rFonts w:ascii="Times New Roman" w:hAnsi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/>
                <w:color w:val="000000"/>
                <w:sz w:val="18"/>
                <w:szCs w:val="18"/>
              </w:rPr>
              <w:t xml:space="preserve">    26 577 900,00   </w:t>
            </w:r>
            <w:r>
              <w:rPr>
                <w:rFonts w:ascii="Times New Roman" w:hAnsi="Times New Roman"/>
                <w:color w:val="000000"/>
                <w:sz w:val="18"/>
                <w:szCs w:val="18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2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 «Создание условий для эффективной интеграции инвалидов в общество»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b/>
                <w:color w:val="000000"/>
                <w:sz w:val="20"/>
              </w:rPr>
              <w:t xml:space="preserve">1  470 581,00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b/>
                <w:color w:val="000000"/>
                <w:sz w:val="20"/>
              </w:rPr>
              <w:t xml:space="preserve">491 207,00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b/>
                <w:color w:val="000000"/>
                <w:sz w:val="20"/>
              </w:rPr>
              <w:t xml:space="preserve">490 187,00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b/>
                <w:color w:val="000000"/>
                <w:sz w:val="20"/>
              </w:rPr>
              <w:t xml:space="preserve">489 187,00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1 470 581,00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491 207,00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490 187,00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489 187,00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1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Комплекс процессных мероприятий 3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 «Создание условий для социальной помощи семьям»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2026 - 2028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  <w:t xml:space="preserve">Всего </w:t>
            </w:r>
            <w:r>
              <w:rPr>
                <w:rFonts w:ascii="Times New Roman" w:hAnsi="Times New Roman" w:eastAsia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10 215 819,00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3 541 420,00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3 283 599,00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 xml:space="preserve">3 390 800,00</w:t>
            </w:r>
            <w:r>
              <w:rPr>
                <w:rFonts w:ascii="Times New Roman" w:hAnsi="Times New Roman"/>
                <w:b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  <w:t xml:space="preserve">ОС и ЖКХ, КУИ».</w:t>
            </w:r>
            <w:r>
              <w:rPr>
                <w:rFonts w:ascii="Times New Roman" w:hAnsi="Times New Roman" w:eastAsia="Times New Roman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01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МБ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4 050 210,00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1 472 051,00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1 236 016,00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1 342 143,00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01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ОБ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3 030 000,00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1 010 000,00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1 010 000,00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1 010 000,00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right w:val="single" w:color="000000" w:sz="6" w:space="0"/>
            </w:tcBorders>
            <w:tcW w:w="101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ФБ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40 909,00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14 869,00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12 483,00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13 557,00</w:t>
            </w:r>
            <w:r>
              <w:rPr>
                <w:rFonts w:ascii="Times New Roman" w:hAnsi="Times New Roman"/>
                <w:sz w:val="20"/>
                <w:szCs w:val="20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675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01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118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851" w:type="dxa"/>
            <w:vAlign w:val="center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  <w:t xml:space="preserve">ВБС </w:t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3094  700,00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1 044 500,00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1 025 100,00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1276" w:type="dxa"/>
            <w:vAlign w:val="center"/>
            <w:textDirection w:val="lrTb"/>
            <w:noWrap w:val="false"/>
          </w:tcPr>
          <w:p>
            <w:pPr>
              <w:jc w:val="right"/>
              <w:spacing w:after="0" w:line="240" w:lineRule="auto"/>
            </w:pPr>
            <w:r>
              <w:rPr>
                <w:rFonts w:ascii="Times New Roman" w:hAnsi="Times New Roman" w:eastAsia="Times New Roman"/>
                <w:color w:val="000000"/>
                <w:sz w:val="20"/>
              </w:rPr>
              <w:t xml:space="preserve"> 1 025 100,00</w:t>
            </w:r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3402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/>
                <w:sz w:val="20"/>
                <w:szCs w:val="20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color w:val="000000"/>
          <w:sz w:val="24"/>
          <w:szCs w:val="24"/>
          <w:lang w:eastAsia="ru-RU"/>
        </w:rPr>
        <w:sectPr>
          <w:footnotePr/>
          <w:endnotePr/>
          <w:type w:val="nextPage"/>
          <w:pgSz w:w="16838" w:h="11905" w:orient="landscape"/>
          <w:pgMar w:top="851" w:right="678" w:bottom="851" w:left="993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/>
          <w:b/>
          <w:color w:val="000000"/>
          <w:sz w:val="24"/>
          <w:szCs w:val="24"/>
          <w:lang w:eastAsia="ru-RU"/>
        </w:rPr>
      </w:r>
    </w:p>
    <w:p>
      <w:r/>
    </w:p>
    <w:sectPr>
      <w:footnotePr/>
      <w:endnotePr/>
      <w:type w:val="nextPage"/>
      <w:pgSz w:w="11905" w:h="16838" w:orient="portrait"/>
      <w:pgMar w:top="1135" w:right="706" w:bottom="993" w:left="1701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Symbol">
    <w:panose1 w:val="05050102010706020507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Arial">
    <w:panose1 w:val="020B0604020202020204"/>
  </w:font>
  <w:font w:name="Cambria">
    <w:panose1 w:val="0204050305040603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4"/>
      <w:numFmt w:val="decimal"/>
      <w:isLgl w:val="false"/>
      <w:suff w:val="space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9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1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211" w:hanging="360"/>
        <w:tabs>
          <w:tab w:val="num" w:pos="1211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/>
        <w:sz w:val="20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  <w:tabs>
          <w:tab w:val="num" w:pos="2160" w:leader="none"/>
        </w:tabs>
      </w:pPr>
      <w:rPr>
        <w:rFonts w:hint="default" w:ascii="Wingdings" w:hAnsi="Wingdings"/>
        <w:sz w:val="20"/>
      </w:rPr>
    </w:lvl>
    <w:lvl w:ilvl="3">
      <w:start w:val="1"/>
      <w:numFmt w:val="bullet"/>
      <w:isLgl w:val="false"/>
      <w:suff w:val="tab"/>
      <w:lvlText w:val=""/>
      <w:lvlJc w:val="left"/>
      <w:pPr>
        <w:ind w:left="2880" w:hanging="360"/>
        <w:tabs>
          <w:tab w:val="num" w:pos="2880" w:leader="none"/>
        </w:tabs>
      </w:pPr>
      <w:rPr>
        <w:rFonts w:hint="default" w:ascii="Wingdings" w:hAnsi="Wingdings"/>
        <w:sz w:val="20"/>
      </w:rPr>
    </w:lvl>
    <w:lvl w:ilvl="4">
      <w:start w:val="1"/>
      <w:numFmt w:val="bullet"/>
      <w:isLgl w:val="false"/>
      <w:suff w:val="tab"/>
      <w:lvlText w:val=""/>
      <w:lvlJc w:val="left"/>
      <w:pPr>
        <w:ind w:left="3600" w:hanging="360"/>
        <w:tabs>
          <w:tab w:val="num" w:pos="3600" w:leader="none"/>
        </w:tabs>
      </w:pPr>
      <w:rPr>
        <w:rFonts w:hint="default" w:ascii="Wingdings" w:hAnsi="Wingdings"/>
        <w:sz w:val="20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  <w:sz w:val="20"/>
      </w:rPr>
    </w:lvl>
    <w:lvl w:ilvl="6">
      <w:start w:val="1"/>
      <w:numFmt w:val="bullet"/>
      <w:isLgl w:val="false"/>
      <w:suff w:val="tab"/>
      <w:lvlText w:val=""/>
      <w:lvlJc w:val="left"/>
      <w:pPr>
        <w:ind w:left="5040" w:hanging="360"/>
        <w:tabs>
          <w:tab w:val="num" w:pos="5040" w:leader="none"/>
        </w:tabs>
      </w:pPr>
      <w:rPr>
        <w:rFonts w:hint="default" w:ascii="Wingdings" w:hAnsi="Wingdings"/>
        <w:sz w:val="20"/>
      </w:rPr>
    </w:lvl>
    <w:lvl w:ilvl="7">
      <w:start w:val="1"/>
      <w:numFmt w:val="bullet"/>
      <w:isLgl w:val="false"/>
      <w:suff w:val="tab"/>
      <w:lvlText w:val=""/>
      <w:lvlJc w:val="left"/>
      <w:pPr>
        <w:ind w:left="5760" w:hanging="360"/>
        <w:tabs>
          <w:tab w:val="num" w:pos="5760" w:leader="none"/>
        </w:tabs>
      </w:pPr>
      <w:rPr>
        <w:rFonts w:hint="default" w:ascii="Wingdings" w:hAnsi="Wingdings"/>
        <w:sz w:val="20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  <w:sz w:val="20"/>
      </w:rPr>
    </w:lvl>
  </w:abstractNum>
  <w:abstractNum w:abstractNumId="1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7"/>
  </w:num>
  <w:num w:numId="5">
    <w:abstractNumId w:val="6"/>
  </w:num>
  <w:num w:numId="6">
    <w:abstractNumId w:val="17"/>
  </w:num>
  <w:num w:numId="7">
    <w:abstractNumId w:val="4"/>
  </w:num>
  <w:num w:numId="8">
    <w:abstractNumId w:val="15"/>
  </w:num>
  <w:num w:numId="9">
    <w:abstractNumId w:val="8"/>
  </w:num>
  <w:num w:numId="10">
    <w:abstractNumId w:val="13"/>
  </w:num>
  <w:num w:numId="1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6"/>
  </w:num>
  <w:num w:numId="13">
    <w:abstractNumId w:val="14"/>
  </w:num>
  <w:num w:numId="14">
    <w:abstractNumId w:val="3"/>
  </w:num>
  <w:num w:numId="1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2"/>
  </w:num>
  <w:num w:numId="17">
    <w:abstractNumId w:val="2"/>
  </w:num>
  <w:num w:numId="18">
    <w:abstractNumId w:val="0"/>
  </w:num>
  <w:num w:numId="19">
    <w:abstractNumId w:val="5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92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693">
    <w:name w:val="Heading 1"/>
    <w:basedOn w:val="692"/>
    <w:link w:val="937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694">
    <w:name w:val="Heading 2"/>
    <w:basedOn w:val="692"/>
    <w:next w:val="692"/>
    <w:link w:val="938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695">
    <w:name w:val="Heading 3"/>
    <w:basedOn w:val="692"/>
    <w:next w:val="692"/>
    <w:link w:val="939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696">
    <w:name w:val="Heading 4"/>
    <w:basedOn w:val="692"/>
    <w:next w:val="692"/>
    <w:link w:val="75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97">
    <w:name w:val="Heading 5"/>
    <w:basedOn w:val="692"/>
    <w:next w:val="692"/>
    <w:link w:val="75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98">
    <w:name w:val="Heading 6"/>
    <w:basedOn w:val="692"/>
    <w:next w:val="692"/>
    <w:link w:val="76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99">
    <w:name w:val="Heading 7"/>
    <w:basedOn w:val="692"/>
    <w:next w:val="692"/>
    <w:link w:val="76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00">
    <w:name w:val="Heading 8"/>
    <w:basedOn w:val="692"/>
    <w:next w:val="692"/>
    <w:link w:val="76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01">
    <w:name w:val="Heading 9"/>
    <w:basedOn w:val="692"/>
    <w:next w:val="692"/>
    <w:link w:val="76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02" w:default="1">
    <w:name w:val="Default Paragraph Font"/>
    <w:uiPriority w:val="1"/>
    <w:semiHidden/>
    <w:unhideWhenUsed/>
  </w:style>
  <w:style w:type="table" w:styleId="70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04" w:default="1">
    <w:name w:val="No List"/>
    <w:uiPriority w:val="99"/>
    <w:semiHidden/>
    <w:unhideWhenUsed/>
  </w:style>
  <w:style w:type="table" w:styleId="705" w:customStyle="1">
    <w:name w:val="Plain Table 1"/>
    <w:basedOn w:val="70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6" w:customStyle="1">
    <w:name w:val="Plain Table 2"/>
    <w:basedOn w:val="70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 w:customStyle="1">
    <w:name w:val="Plain Table 3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8" w:customStyle="1">
    <w:name w:val="Plain Table 4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Plain Table 5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0" w:customStyle="1">
    <w:name w:val="Grid Table 1 Light"/>
    <w:basedOn w:val="70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2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 w:customStyle="1">
    <w:name w:val="Grid Table 3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 w:customStyle="1">
    <w:name w:val="Grid Table 4"/>
    <w:basedOn w:val="70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4" w:customStyle="1">
    <w:name w:val="Grid Table 5 Dark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15" w:customStyle="1">
    <w:name w:val="Grid Table 6 Colorful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16" w:customStyle="1">
    <w:name w:val="Grid Table 7 Colorful"/>
    <w:basedOn w:val="70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17" w:customStyle="1">
    <w:name w:val="List Table 1 Light"/>
    <w:basedOn w:val="70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List Table 2"/>
    <w:basedOn w:val="70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19" w:customStyle="1">
    <w:name w:val="List Table 3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 w:customStyle="1">
    <w:name w:val="List Table 4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 w:customStyle="1">
    <w:name w:val="List Table 5 Dark"/>
    <w:basedOn w:val="70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22" w:customStyle="1">
    <w:name w:val="List Table 6 Colorful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23" w:customStyle="1">
    <w:name w:val="List Table 7 Colorful"/>
    <w:basedOn w:val="70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24" w:customStyle="1">
    <w:name w:val="Таблица простая 11"/>
    <w:basedOn w:val="70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5" w:customStyle="1">
    <w:name w:val="Таблица простая 21"/>
    <w:basedOn w:val="70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6" w:customStyle="1">
    <w:name w:val="Таблица простая 3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7" w:customStyle="1">
    <w:name w:val="Таблица простая 4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Таблица простая 5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9" w:customStyle="1">
    <w:name w:val="Таблица-сетка 1 светлая1"/>
    <w:basedOn w:val="70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Таблица-сетка 21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Таблица-сетка 31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Таблица-сетка 41"/>
    <w:basedOn w:val="70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Таблица-сетка 5 темная1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4" w:customStyle="1">
    <w:name w:val="Таблица-сетка 6 цветная1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35" w:customStyle="1">
    <w:name w:val="Таблица-сетка 7 цветная1"/>
    <w:basedOn w:val="70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Список-таблица 1 светлая1"/>
    <w:basedOn w:val="70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Список-таблица 21"/>
    <w:basedOn w:val="70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38" w:customStyle="1">
    <w:name w:val="Список-таблица 31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9" w:customStyle="1">
    <w:name w:val="Список-таблица 41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0" w:customStyle="1">
    <w:name w:val="Список-таблица 5 темная1"/>
    <w:basedOn w:val="70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41" w:customStyle="1">
    <w:name w:val="Список-таблица 6 цветная1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42" w:customStyle="1">
    <w:name w:val="Список-таблица 7 цветная1"/>
    <w:basedOn w:val="70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character" w:styleId="743" w:customStyle="1">
    <w:name w:val="Heading 4 Char"/>
    <w:basedOn w:val="702"/>
    <w:uiPriority w:val="9"/>
    <w:rPr>
      <w:rFonts w:ascii="Arial" w:hAnsi="Arial" w:eastAsia="Arial" w:cs="Arial"/>
      <w:b/>
      <w:bCs/>
      <w:sz w:val="26"/>
      <w:szCs w:val="26"/>
    </w:rPr>
  </w:style>
  <w:style w:type="character" w:styleId="744" w:customStyle="1">
    <w:name w:val="Heading 5 Char"/>
    <w:basedOn w:val="702"/>
    <w:uiPriority w:val="9"/>
    <w:rPr>
      <w:rFonts w:ascii="Arial" w:hAnsi="Arial" w:eastAsia="Arial" w:cs="Arial"/>
      <w:b/>
      <w:bCs/>
      <w:sz w:val="24"/>
      <w:szCs w:val="24"/>
    </w:rPr>
  </w:style>
  <w:style w:type="character" w:styleId="745" w:customStyle="1">
    <w:name w:val="Heading 6 Char"/>
    <w:basedOn w:val="702"/>
    <w:uiPriority w:val="9"/>
    <w:rPr>
      <w:rFonts w:ascii="Arial" w:hAnsi="Arial" w:eastAsia="Arial" w:cs="Arial"/>
      <w:b/>
      <w:bCs/>
      <w:sz w:val="22"/>
      <w:szCs w:val="22"/>
    </w:rPr>
  </w:style>
  <w:style w:type="character" w:styleId="746" w:customStyle="1">
    <w:name w:val="Heading 7 Char"/>
    <w:basedOn w:val="70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7" w:customStyle="1">
    <w:name w:val="Heading 8 Char"/>
    <w:basedOn w:val="702"/>
    <w:uiPriority w:val="9"/>
    <w:rPr>
      <w:rFonts w:ascii="Arial" w:hAnsi="Arial" w:eastAsia="Arial" w:cs="Arial"/>
      <w:i/>
      <w:iCs/>
      <w:sz w:val="22"/>
      <w:szCs w:val="22"/>
    </w:rPr>
  </w:style>
  <w:style w:type="character" w:styleId="748" w:customStyle="1">
    <w:name w:val="Heading 9 Char"/>
    <w:basedOn w:val="702"/>
    <w:uiPriority w:val="9"/>
    <w:rPr>
      <w:rFonts w:ascii="Arial" w:hAnsi="Arial" w:eastAsia="Arial" w:cs="Arial"/>
      <w:i/>
      <w:iCs/>
      <w:sz w:val="21"/>
      <w:szCs w:val="21"/>
    </w:rPr>
  </w:style>
  <w:style w:type="character" w:styleId="749" w:customStyle="1">
    <w:name w:val="Title Char"/>
    <w:basedOn w:val="702"/>
    <w:uiPriority w:val="10"/>
    <w:rPr>
      <w:sz w:val="48"/>
      <w:szCs w:val="48"/>
    </w:rPr>
  </w:style>
  <w:style w:type="character" w:styleId="750" w:customStyle="1">
    <w:name w:val="Subtitle Char"/>
    <w:basedOn w:val="702"/>
    <w:uiPriority w:val="11"/>
    <w:rPr>
      <w:sz w:val="24"/>
      <w:szCs w:val="24"/>
    </w:rPr>
  </w:style>
  <w:style w:type="character" w:styleId="751" w:customStyle="1">
    <w:name w:val="Quote Char"/>
    <w:uiPriority w:val="29"/>
    <w:rPr>
      <w:i/>
    </w:rPr>
  </w:style>
  <w:style w:type="character" w:styleId="752" w:customStyle="1">
    <w:name w:val="Intense Quote Char"/>
    <w:uiPriority w:val="30"/>
    <w:rPr>
      <w:i/>
    </w:rPr>
  </w:style>
  <w:style w:type="character" w:styleId="753" w:customStyle="1">
    <w:name w:val="Footnote Text Char"/>
    <w:uiPriority w:val="99"/>
    <w:rPr>
      <w:sz w:val="18"/>
    </w:rPr>
  </w:style>
  <w:style w:type="character" w:styleId="754" w:customStyle="1">
    <w:name w:val="Endnote Text Char"/>
    <w:uiPriority w:val="99"/>
    <w:rPr>
      <w:sz w:val="20"/>
    </w:rPr>
  </w:style>
  <w:style w:type="character" w:styleId="755" w:customStyle="1">
    <w:name w:val="Heading 1 Char"/>
    <w:basedOn w:val="702"/>
    <w:uiPriority w:val="9"/>
    <w:rPr>
      <w:rFonts w:ascii="Arial" w:hAnsi="Arial" w:eastAsia="Arial" w:cs="Arial"/>
      <w:sz w:val="40"/>
      <w:szCs w:val="40"/>
    </w:rPr>
  </w:style>
  <w:style w:type="character" w:styleId="756" w:customStyle="1">
    <w:name w:val="Heading 2 Char"/>
    <w:basedOn w:val="702"/>
    <w:uiPriority w:val="9"/>
    <w:rPr>
      <w:rFonts w:ascii="Arial" w:hAnsi="Arial" w:eastAsia="Arial" w:cs="Arial"/>
      <w:sz w:val="34"/>
    </w:rPr>
  </w:style>
  <w:style w:type="character" w:styleId="757" w:customStyle="1">
    <w:name w:val="Heading 3 Char"/>
    <w:basedOn w:val="702"/>
    <w:uiPriority w:val="9"/>
    <w:rPr>
      <w:rFonts w:ascii="Arial" w:hAnsi="Arial" w:eastAsia="Arial" w:cs="Arial"/>
      <w:sz w:val="30"/>
      <w:szCs w:val="30"/>
    </w:rPr>
  </w:style>
  <w:style w:type="character" w:styleId="758" w:customStyle="1">
    <w:name w:val="Заголовок 4 Знак"/>
    <w:basedOn w:val="702"/>
    <w:link w:val="696"/>
    <w:uiPriority w:val="9"/>
    <w:rPr>
      <w:rFonts w:ascii="Arial" w:hAnsi="Arial" w:eastAsia="Arial" w:cs="Arial"/>
      <w:b/>
      <w:bCs/>
      <w:sz w:val="26"/>
      <w:szCs w:val="26"/>
    </w:rPr>
  </w:style>
  <w:style w:type="character" w:styleId="759" w:customStyle="1">
    <w:name w:val="Заголовок 5 Знак"/>
    <w:basedOn w:val="702"/>
    <w:link w:val="697"/>
    <w:uiPriority w:val="9"/>
    <w:rPr>
      <w:rFonts w:ascii="Arial" w:hAnsi="Arial" w:eastAsia="Arial" w:cs="Arial"/>
      <w:b/>
      <w:bCs/>
      <w:sz w:val="24"/>
      <w:szCs w:val="24"/>
    </w:rPr>
  </w:style>
  <w:style w:type="character" w:styleId="760" w:customStyle="1">
    <w:name w:val="Заголовок 6 Знак"/>
    <w:basedOn w:val="702"/>
    <w:link w:val="698"/>
    <w:uiPriority w:val="9"/>
    <w:rPr>
      <w:rFonts w:ascii="Arial" w:hAnsi="Arial" w:eastAsia="Arial" w:cs="Arial"/>
      <w:b/>
      <w:bCs/>
      <w:sz w:val="22"/>
      <w:szCs w:val="22"/>
    </w:rPr>
  </w:style>
  <w:style w:type="character" w:styleId="761" w:customStyle="1">
    <w:name w:val="Заголовок 7 Знак"/>
    <w:basedOn w:val="702"/>
    <w:link w:val="69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62" w:customStyle="1">
    <w:name w:val="Заголовок 8 Знак"/>
    <w:basedOn w:val="702"/>
    <w:link w:val="700"/>
    <w:uiPriority w:val="9"/>
    <w:rPr>
      <w:rFonts w:ascii="Arial" w:hAnsi="Arial" w:eastAsia="Arial" w:cs="Arial"/>
      <w:i/>
      <w:iCs/>
      <w:sz w:val="22"/>
      <w:szCs w:val="22"/>
    </w:rPr>
  </w:style>
  <w:style w:type="character" w:styleId="763" w:customStyle="1">
    <w:name w:val="Заголовок 9 Знак"/>
    <w:basedOn w:val="702"/>
    <w:link w:val="701"/>
    <w:uiPriority w:val="9"/>
    <w:rPr>
      <w:rFonts w:ascii="Arial" w:hAnsi="Arial" w:eastAsia="Arial" w:cs="Arial"/>
      <w:i/>
      <w:iCs/>
      <w:sz w:val="21"/>
      <w:szCs w:val="21"/>
    </w:rPr>
  </w:style>
  <w:style w:type="paragraph" w:styleId="764">
    <w:name w:val="Title"/>
    <w:basedOn w:val="692"/>
    <w:next w:val="692"/>
    <w:link w:val="765"/>
    <w:uiPriority w:val="10"/>
    <w:qFormat/>
    <w:pPr>
      <w:contextualSpacing/>
      <w:spacing w:before="300"/>
    </w:pPr>
    <w:rPr>
      <w:sz w:val="48"/>
      <w:szCs w:val="48"/>
    </w:rPr>
  </w:style>
  <w:style w:type="character" w:styleId="765" w:customStyle="1">
    <w:name w:val="Название Знак"/>
    <w:basedOn w:val="702"/>
    <w:link w:val="764"/>
    <w:uiPriority w:val="10"/>
    <w:rPr>
      <w:sz w:val="48"/>
      <w:szCs w:val="48"/>
    </w:rPr>
  </w:style>
  <w:style w:type="paragraph" w:styleId="766">
    <w:name w:val="Subtitle"/>
    <w:basedOn w:val="692"/>
    <w:next w:val="692"/>
    <w:link w:val="767"/>
    <w:uiPriority w:val="11"/>
    <w:qFormat/>
    <w:pPr>
      <w:spacing w:before="200"/>
    </w:pPr>
    <w:rPr>
      <w:sz w:val="24"/>
      <w:szCs w:val="24"/>
    </w:rPr>
  </w:style>
  <w:style w:type="character" w:styleId="767" w:customStyle="1">
    <w:name w:val="Подзаголовок Знак"/>
    <w:basedOn w:val="702"/>
    <w:link w:val="766"/>
    <w:uiPriority w:val="11"/>
    <w:rPr>
      <w:sz w:val="24"/>
      <w:szCs w:val="24"/>
    </w:rPr>
  </w:style>
  <w:style w:type="paragraph" w:styleId="768">
    <w:name w:val="Quote"/>
    <w:basedOn w:val="692"/>
    <w:next w:val="692"/>
    <w:link w:val="769"/>
    <w:uiPriority w:val="29"/>
    <w:qFormat/>
    <w:pPr>
      <w:ind w:left="720" w:right="720"/>
    </w:pPr>
    <w:rPr>
      <w:i/>
    </w:rPr>
  </w:style>
  <w:style w:type="character" w:styleId="769" w:customStyle="1">
    <w:name w:val="Цитата 2 Знак"/>
    <w:link w:val="768"/>
    <w:uiPriority w:val="29"/>
    <w:rPr>
      <w:i/>
    </w:rPr>
  </w:style>
  <w:style w:type="paragraph" w:styleId="770">
    <w:name w:val="Intense Quote"/>
    <w:basedOn w:val="692"/>
    <w:next w:val="692"/>
    <w:link w:val="77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1" w:customStyle="1">
    <w:name w:val="Выделенная цитата Знак"/>
    <w:link w:val="770"/>
    <w:uiPriority w:val="30"/>
    <w:rPr>
      <w:i/>
    </w:rPr>
  </w:style>
  <w:style w:type="character" w:styleId="772" w:customStyle="1">
    <w:name w:val="Header Char"/>
    <w:basedOn w:val="702"/>
    <w:uiPriority w:val="99"/>
  </w:style>
  <w:style w:type="character" w:styleId="773" w:customStyle="1">
    <w:name w:val="Footer Char"/>
    <w:basedOn w:val="702"/>
    <w:uiPriority w:val="99"/>
  </w:style>
  <w:style w:type="character" w:styleId="774" w:customStyle="1">
    <w:name w:val="Caption Char"/>
    <w:uiPriority w:val="99"/>
  </w:style>
  <w:style w:type="table" w:styleId="775" w:customStyle="1">
    <w:name w:val="Table Grid Light"/>
    <w:basedOn w:val="70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6" w:customStyle="1">
    <w:name w:val="Таблица простая 11"/>
    <w:basedOn w:val="70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7" w:customStyle="1">
    <w:name w:val="Таблица простая 21"/>
    <w:basedOn w:val="70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78" w:customStyle="1">
    <w:name w:val="Таблица простая 3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9" w:customStyle="1">
    <w:name w:val="Таблица простая 4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Таблица простая 51"/>
    <w:basedOn w:val="70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1" w:customStyle="1">
    <w:name w:val="Таблица-сетка 1 светлая1"/>
    <w:basedOn w:val="70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1"/>
    <w:basedOn w:val="70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2"/>
    <w:basedOn w:val="70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3"/>
    <w:basedOn w:val="70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Grid Table 1 Light - Accent 4"/>
    <w:basedOn w:val="70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Grid Table 1 Light - Accent 5"/>
    <w:basedOn w:val="70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Grid Table 1 Light - Accent 6"/>
    <w:basedOn w:val="70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Таблица-сетка 21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1"/>
    <w:basedOn w:val="70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2"/>
    <w:basedOn w:val="70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3"/>
    <w:basedOn w:val="70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 w:customStyle="1">
    <w:name w:val="Grid Table 2 - Accent 4"/>
    <w:basedOn w:val="70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2 - Accent 5"/>
    <w:basedOn w:val="70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2 - Accent 6"/>
    <w:basedOn w:val="70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Таблица-сетка 31"/>
    <w:basedOn w:val="70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1"/>
    <w:basedOn w:val="70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2"/>
    <w:basedOn w:val="70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3"/>
    <w:basedOn w:val="70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3 - Accent 4"/>
    <w:basedOn w:val="70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3 - Accent 5"/>
    <w:basedOn w:val="70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3 - Accent 6"/>
    <w:basedOn w:val="70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Таблица-сетка 41"/>
    <w:basedOn w:val="70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3" w:customStyle="1">
    <w:name w:val="Grid Table 4 - Accent 1"/>
    <w:basedOn w:val="70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04" w:customStyle="1">
    <w:name w:val="Grid Table 4 - Accent 2"/>
    <w:basedOn w:val="70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05" w:customStyle="1">
    <w:name w:val="Grid Table 4 - Accent 3"/>
    <w:basedOn w:val="70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06" w:customStyle="1">
    <w:name w:val="Grid Table 4 - Accent 4"/>
    <w:basedOn w:val="70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07" w:customStyle="1">
    <w:name w:val="Grid Table 4 - Accent 5"/>
    <w:basedOn w:val="70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08" w:customStyle="1">
    <w:name w:val="Grid Table 4 - Accent 6"/>
    <w:basedOn w:val="70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09" w:customStyle="1">
    <w:name w:val="Таблица-сетка 5 темная1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- Accent 1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 - Accent 2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 - Accent 3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13" w:customStyle="1">
    <w:name w:val="Grid Table 5 Dark- Accent 4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14" w:customStyle="1">
    <w:name w:val="Grid Table 5 Dark - Accent 5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15" w:customStyle="1">
    <w:name w:val="Grid Table 5 Dark - Accent 6"/>
    <w:basedOn w:val="70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16" w:customStyle="1">
    <w:name w:val="Таблица-сетка 6 цветная1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7" w:customStyle="1">
    <w:name w:val="Grid Table 6 Colorful - Accent 1"/>
    <w:basedOn w:val="70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18" w:customStyle="1">
    <w:name w:val="Grid Table 6 Colorful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19" w:customStyle="1">
    <w:name w:val="Grid Table 6 Colorful - Accent 3"/>
    <w:basedOn w:val="70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0" w:customStyle="1">
    <w:name w:val="Grid Table 6 Colorful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1" w:customStyle="1">
    <w:name w:val="Grid Table 6 Colorful - Accent 5"/>
    <w:basedOn w:val="70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2" w:customStyle="1">
    <w:name w:val="Grid Table 6 Colorful - Accent 6"/>
    <w:basedOn w:val="70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3" w:customStyle="1">
    <w:name w:val="Таблица-сетка 7 цветная1"/>
    <w:basedOn w:val="70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4" w:customStyle="1">
    <w:name w:val="Grid Table 7 Colorful - Accent 1"/>
    <w:basedOn w:val="70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5" w:customStyle="1">
    <w:name w:val="Grid Table 7 Colorful - Accent 2"/>
    <w:basedOn w:val="70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6" w:customStyle="1">
    <w:name w:val="Grid Table 7 Colorful - Accent 3"/>
    <w:basedOn w:val="70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7" w:customStyle="1">
    <w:name w:val="Grid Table 7 Colorful - Accent 4"/>
    <w:basedOn w:val="70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8" w:customStyle="1">
    <w:name w:val="Grid Table 7 Colorful - Accent 5"/>
    <w:basedOn w:val="70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9" w:customStyle="1">
    <w:name w:val="Grid Table 7 Colorful - Accent 6"/>
    <w:basedOn w:val="70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30" w:customStyle="1">
    <w:name w:val="Список-таблица 1 светлая1"/>
    <w:basedOn w:val="70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1"/>
    <w:basedOn w:val="70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2"/>
    <w:basedOn w:val="70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3"/>
    <w:basedOn w:val="70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List Table 1 Light - Accent 4"/>
    <w:basedOn w:val="70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List Table 1 Light - Accent 5"/>
    <w:basedOn w:val="70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List Table 1 Light - Accent 6"/>
    <w:basedOn w:val="70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Список-таблица 21"/>
    <w:basedOn w:val="70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1"/>
    <w:basedOn w:val="70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2"/>
    <w:basedOn w:val="70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3"/>
    <w:basedOn w:val="70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1" w:customStyle="1">
    <w:name w:val="List Table 2 - Accent 4"/>
    <w:basedOn w:val="70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2" w:customStyle="1">
    <w:name w:val="List Table 2 - Accent 5"/>
    <w:basedOn w:val="70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43" w:customStyle="1">
    <w:name w:val="List Table 2 - Accent 6"/>
    <w:basedOn w:val="70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44" w:customStyle="1">
    <w:name w:val="Список-таблица 31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1"/>
    <w:basedOn w:val="70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3"/>
    <w:basedOn w:val="70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 w:customStyle="1">
    <w:name w:val="List Table 3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3 - Accent 5"/>
    <w:basedOn w:val="70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3 - Accent 6"/>
    <w:basedOn w:val="70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Список-таблица 41"/>
    <w:basedOn w:val="70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1"/>
    <w:basedOn w:val="70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2"/>
    <w:basedOn w:val="70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3"/>
    <w:basedOn w:val="70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4 - Accent 4"/>
    <w:basedOn w:val="70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4 - Accent 5"/>
    <w:basedOn w:val="70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4 - Accent 6"/>
    <w:basedOn w:val="70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Список-таблица 5 темная1"/>
    <w:basedOn w:val="70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59" w:customStyle="1">
    <w:name w:val="List Table 5 Dark - Accent 1"/>
    <w:basedOn w:val="70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0" w:customStyle="1">
    <w:name w:val="List Table 5 Dark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1" w:customStyle="1">
    <w:name w:val="List Table 5 Dark - Accent 3"/>
    <w:basedOn w:val="70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2" w:customStyle="1">
    <w:name w:val="List Table 5 Dark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3" w:customStyle="1">
    <w:name w:val="List Table 5 Dark - Accent 5"/>
    <w:basedOn w:val="70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4" w:customStyle="1">
    <w:name w:val="List Table 5 Dark - Accent 6"/>
    <w:basedOn w:val="70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5" w:customStyle="1">
    <w:name w:val="Список-таблица 6 цветная1"/>
    <w:basedOn w:val="70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6" w:customStyle="1">
    <w:name w:val="List Table 6 Colorful - Accent 1"/>
    <w:basedOn w:val="70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67" w:customStyle="1">
    <w:name w:val="List Table 6 Colorful - Accent 2"/>
    <w:basedOn w:val="70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68" w:customStyle="1">
    <w:name w:val="List Table 6 Colorful - Accent 3"/>
    <w:basedOn w:val="70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69" w:customStyle="1">
    <w:name w:val="List Table 6 Colorful - Accent 4"/>
    <w:basedOn w:val="70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0" w:customStyle="1">
    <w:name w:val="List Table 6 Colorful - Accent 5"/>
    <w:basedOn w:val="70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1" w:customStyle="1">
    <w:name w:val="List Table 6 Colorful - Accent 6"/>
    <w:basedOn w:val="70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2" w:customStyle="1">
    <w:name w:val="Список-таблица 7 цветная1"/>
    <w:basedOn w:val="70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3" w:customStyle="1">
    <w:name w:val="List Table 7 Colorful - Accent 1"/>
    <w:basedOn w:val="70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4" w:customStyle="1">
    <w:name w:val="List Table 7 Colorful - Accent 2"/>
    <w:basedOn w:val="70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5" w:customStyle="1">
    <w:name w:val="List Table 7 Colorful - Accent 3"/>
    <w:basedOn w:val="70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6" w:customStyle="1">
    <w:name w:val="List Table 7 Colorful - Accent 4"/>
    <w:basedOn w:val="70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7" w:customStyle="1">
    <w:name w:val="List Table 7 Colorful - Accent 5"/>
    <w:basedOn w:val="70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8" w:customStyle="1">
    <w:name w:val="List Table 7 Colorful - Accent 6"/>
    <w:basedOn w:val="70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79" w:customStyle="1">
    <w:name w:val="Lined - Accent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0" w:customStyle="1">
    <w:name w:val="Lined - Accent 1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1" w:customStyle="1">
    <w:name w:val="Lined - Accent 2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2" w:customStyle="1">
    <w:name w:val="Lined - Accent 3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83" w:customStyle="1">
    <w:name w:val="Lined - Accent 4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84" w:customStyle="1">
    <w:name w:val="Lined - Accent 5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85" w:customStyle="1">
    <w:name w:val="Lined - Accent 6"/>
    <w:basedOn w:val="70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86" w:customStyle="1">
    <w:name w:val="Bordered &amp; Lined - Accent"/>
    <w:basedOn w:val="70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7" w:customStyle="1">
    <w:name w:val="Bordered &amp; Lined - Accent 1"/>
    <w:basedOn w:val="70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8" w:customStyle="1">
    <w:name w:val="Bordered &amp; Lined - Accent 2"/>
    <w:basedOn w:val="70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9" w:customStyle="1">
    <w:name w:val="Bordered &amp; Lined - Accent 3"/>
    <w:basedOn w:val="70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0" w:customStyle="1">
    <w:name w:val="Bordered &amp; Lined - Accent 4"/>
    <w:basedOn w:val="70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1" w:customStyle="1">
    <w:name w:val="Bordered &amp; Lined - Accent 5"/>
    <w:basedOn w:val="70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2" w:customStyle="1">
    <w:name w:val="Bordered &amp; Lined - Accent 6"/>
    <w:basedOn w:val="70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3" w:customStyle="1">
    <w:name w:val="Bordered"/>
    <w:basedOn w:val="70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4" w:customStyle="1">
    <w:name w:val="Bordered - Accent 1"/>
    <w:basedOn w:val="70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95" w:customStyle="1">
    <w:name w:val="Bordered - Accent 2"/>
    <w:basedOn w:val="70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96" w:customStyle="1">
    <w:name w:val="Bordered - Accent 3"/>
    <w:basedOn w:val="70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97" w:customStyle="1">
    <w:name w:val="Bordered - Accent 4"/>
    <w:basedOn w:val="70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98" w:customStyle="1">
    <w:name w:val="Bordered - Accent 5"/>
    <w:basedOn w:val="70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99" w:customStyle="1">
    <w:name w:val="Bordered - Accent 6"/>
    <w:basedOn w:val="70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900">
    <w:name w:val="footnote text"/>
    <w:basedOn w:val="692"/>
    <w:link w:val="901"/>
    <w:uiPriority w:val="99"/>
    <w:semiHidden/>
    <w:unhideWhenUsed/>
    <w:pPr>
      <w:spacing w:after="40" w:line="240" w:lineRule="auto"/>
    </w:pPr>
    <w:rPr>
      <w:sz w:val="18"/>
    </w:rPr>
  </w:style>
  <w:style w:type="character" w:styleId="901" w:customStyle="1">
    <w:name w:val="Текст сноски Знак"/>
    <w:link w:val="900"/>
    <w:uiPriority w:val="99"/>
    <w:rPr>
      <w:sz w:val="18"/>
    </w:rPr>
  </w:style>
  <w:style w:type="character" w:styleId="902">
    <w:name w:val="footnote reference"/>
    <w:basedOn w:val="702"/>
    <w:uiPriority w:val="99"/>
    <w:unhideWhenUsed/>
    <w:rPr>
      <w:vertAlign w:val="superscript"/>
    </w:rPr>
  </w:style>
  <w:style w:type="paragraph" w:styleId="903">
    <w:name w:val="endnote text"/>
    <w:basedOn w:val="692"/>
    <w:link w:val="904"/>
    <w:uiPriority w:val="99"/>
    <w:semiHidden/>
    <w:unhideWhenUsed/>
    <w:pPr>
      <w:spacing w:after="0" w:line="240" w:lineRule="auto"/>
    </w:pPr>
    <w:rPr>
      <w:sz w:val="20"/>
    </w:rPr>
  </w:style>
  <w:style w:type="character" w:styleId="904" w:customStyle="1">
    <w:name w:val="Текст концевой сноски Знак"/>
    <w:link w:val="903"/>
    <w:uiPriority w:val="99"/>
    <w:rPr>
      <w:sz w:val="20"/>
    </w:rPr>
  </w:style>
  <w:style w:type="character" w:styleId="905">
    <w:name w:val="endnote reference"/>
    <w:basedOn w:val="702"/>
    <w:uiPriority w:val="99"/>
    <w:semiHidden/>
    <w:unhideWhenUsed/>
    <w:rPr>
      <w:vertAlign w:val="superscript"/>
    </w:rPr>
  </w:style>
  <w:style w:type="paragraph" w:styleId="906">
    <w:name w:val="toc 1"/>
    <w:basedOn w:val="692"/>
    <w:next w:val="692"/>
    <w:uiPriority w:val="39"/>
    <w:unhideWhenUsed/>
    <w:pPr>
      <w:spacing w:after="57"/>
    </w:pPr>
  </w:style>
  <w:style w:type="paragraph" w:styleId="907">
    <w:name w:val="toc 2"/>
    <w:basedOn w:val="692"/>
    <w:next w:val="692"/>
    <w:uiPriority w:val="39"/>
    <w:unhideWhenUsed/>
    <w:pPr>
      <w:ind w:left="283"/>
      <w:spacing w:after="57"/>
    </w:pPr>
  </w:style>
  <w:style w:type="paragraph" w:styleId="908">
    <w:name w:val="toc 3"/>
    <w:basedOn w:val="692"/>
    <w:next w:val="692"/>
    <w:uiPriority w:val="39"/>
    <w:unhideWhenUsed/>
    <w:pPr>
      <w:ind w:left="567"/>
      <w:spacing w:after="57"/>
    </w:pPr>
  </w:style>
  <w:style w:type="paragraph" w:styleId="909">
    <w:name w:val="toc 4"/>
    <w:basedOn w:val="692"/>
    <w:next w:val="692"/>
    <w:uiPriority w:val="39"/>
    <w:unhideWhenUsed/>
    <w:pPr>
      <w:ind w:left="850"/>
      <w:spacing w:after="57"/>
    </w:pPr>
  </w:style>
  <w:style w:type="paragraph" w:styleId="910">
    <w:name w:val="toc 5"/>
    <w:basedOn w:val="692"/>
    <w:next w:val="692"/>
    <w:uiPriority w:val="39"/>
    <w:unhideWhenUsed/>
    <w:pPr>
      <w:ind w:left="1134"/>
      <w:spacing w:after="57"/>
    </w:pPr>
  </w:style>
  <w:style w:type="paragraph" w:styleId="911">
    <w:name w:val="toc 6"/>
    <w:basedOn w:val="692"/>
    <w:next w:val="692"/>
    <w:uiPriority w:val="39"/>
    <w:unhideWhenUsed/>
    <w:pPr>
      <w:ind w:left="1417"/>
      <w:spacing w:after="57"/>
    </w:pPr>
  </w:style>
  <w:style w:type="paragraph" w:styleId="912">
    <w:name w:val="toc 7"/>
    <w:basedOn w:val="692"/>
    <w:next w:val="692"/>
    <w:uiPriority w:val="39"/>
    <w:unhideWhenUsed/>
    <w:pPr>
      <w:ind w:left="1701"/>
      <w:spacing w:after="57"/>
    </w:pPr>
  </w:style>
  <w:style w:type="paragraph" w:styleId="913">
    <w:name w:val="toc 8"/>
    <w:basedOn w:val="692"/>
    <w:next w:val="692"/>
    <w:uiPriority w:val="39"/>
    <w:unhideWhenUsed/>
    <w:pPr>
      <w:ind w:left="1984"/>
      <w:spacing w:after="57"/>
    </w:pPr>
  </w:style>
  <w:style w:type="paragraph" w:styleId="914">
    <w:name w:val="toc 9"/>
    <w:basedOn w:val="692"/>
    <w:next w:val="692"/>
    <w:uiPriority w:val="39"/>
    <w:unhideWhenUsed/>
    <w:pPr>
      <w:ind w:left="2268"/>
      <w:spacing w:after="57"/>
    </w:pPr>
  </w:style>
  <w:style w:type="paragraph" w:styleId="915">
    <w:name w:val="TOC Heading"/>
    <w:uiPriority w:val="39"/>
    <w:unhideWhenUsed/>
  </w:style>
  <w:style w:type="paragraph" w:styleId="916">
    <w:name w:val="table of figures"/>
    <w:basedOn w:val="692"/>
    <w:next w:val="692"/>
    <w:uiPriority w:val="99"/>
    <w:unhideWhenUsed/>
    <w:pPr>
      <w:spacing w:after="0"/>
    </w:pPr>
  </w:style>
  <w:style w:type="paragraph" w:styleId="917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918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919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920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921" w:customStyle="1">
    <w:name w:val="МОН Знак"/>
    <w:link w:val="922"/>
    <w:rPr>
      <w:sz w:val="24"/>
      <w:szCs w:val="24"/>
    </w:rPr>
  </w:style>
  <w:style w:type="paragraph" w:styleId="922" w:customStyle="1">
    <w:name w:val="МОН"/>
    <w:basedOn w:val="692"/>
    <w:link w:val="921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923">
    <w:name w:val="Strong"/>
    <w:qFormat/>
    <w:rPr>
      <w:b/>
      <w:bCs/>
    </w:rPr>
  </w:style>
  <w:style w:type="paragraph" w:styleId="924">
    <w:name w:val="List Paragraph"/>
    <w:basedOn w:val="692"/>
    <w:link w:val="990"/>
    <w:uiPriority w:val="99"/>
    <w:qFormat/>
    <w:pPr>
      <w:contextualSpacing/>
      <w:ind w:left="720"/>
    </w:pPr>
  </w:style>
  <w:style w:type="character" w:styleId="925" w:customStyle="1">
    <w:name w:val="Основной текст_"/>
    <w:link w:val="926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926" w:customStyle="1">
    <w:name w:val="Основной текст2"/>
    <w:basedOn w:val="692"/>
    <w:link w:val="925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927">
    <w:name w:val="Body Text 2"/>
    <w:basedOn w:val="692"/>
    <w:link w:val="928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28" w:customStyle="1">
    <w:name w:val="Основной текст 2 Знак"/>
    <w:link w:val="927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29">
    <w:name w:val="Footer"/>
    <w:basedOn w:val="692"/>
    <w:link w:val="930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30" w:customStyle="1">
    <w:name w:val="Нижний колонтитул Знак"/>
    <w:link w:val="929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31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32" w:customStyle="1">
    <w:name w:val="32"/>
    <w:basedOn w:val="69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3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34">
    <w:name w:val="Normal (Web)"/>
    <w:basedOn w:val="692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5">
    <w:name w:val="Body Text Indent"/>
    <w:basedOn w:val="692"/>
    <w:link w:val="936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36" w:customStyle="1">
    <w:name w:val="Основной текст с отступом Знак"/>
    <w:link w:val="935"/>
    <w:rPr>
      <w:rFonts w:ascii="Times New Roman" w:hAnsi="Times New Roman" w:eastAsia="Times New Roman" w:cs="Times New Roman"/>
      <w:sz w:val="24"/>
      <w:szCs w:val="24"/>
    </w:rPr>
  </w:style>
  <w:style w:type="character" w:styleId="937" w:customStyle="1">
    <w:name w:val="Заголовок 1 Знак"/>
    <w:link w:val="693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38" w:customStyle="1">
    <w:name w:val="Заголовок 2 Знак"/>
    <w:link w:val="694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39" w:customStyle="1">
    <w:name w:val="Заголовок 3 Знак"/>
    <w:link w:val="695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40">
    <w:name w:val="Table Grid"/>
    <w:basedOn w:val="703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41">
    <w:name w:val="Balloon Text"/>
    <w:basedOn w:val="692"/>
    <w:link w:val="942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42" w:customStyle="1">
    <w:name w:val="Текст выноски Знак"/>
    <w:link w:val="941"/>
    <w:rPr>
      <w:rFonts w:ascii="Tahoma" w:hAnsi="Tahoma" w:eastAsia="Times New Roman" w:cs="Tahoma"/>
      <w:sz w:val="16"/>
      <w:szCs w:val="16"/>
      <w:lang w:eastAsia="ru-RU"/>
    </w:rPr>
  </w:style>
  <w:style w:type="paragraph" w:styleId="943">
    <w:name w:val="Header"/>
    <w:basedOn w:val="692"/>
    <w:link w:val="944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4" w:customStyle="1">
    <w:name w:val="Верхний колонтитул Знак"/>
    <w:link w:val="943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5">
    <w:name w:val="Emphasis"/>
    <w:qFormat/>
    <w:rPr>
      <w:i/>
      <w:iCs/>
    </w:rPr>
  </w:style>
  <w:style w:type="paragraph" w:styleId="946" w:customStyle="1">
    <w:name w:val="Содержимое таблицы"/>
    <w:basedOn w:val="692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47" w:customStyle="1">
    <w:name w:val="consplusnormal"/>
    <w:basedOn w:val="69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48" w:customStyle="1">
    <w:name w:val="a2"/>
    <w:basedOn w:val="69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49" w:customStyle="1">
    <w:name w:val="15"/>
    <w:basedOn w:val="69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50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1" w:customStyle="1">
    <w:name w:val="h1"/>
    <w:basedOn w:val="69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2" w:customStyle="1">
    <w:name w:val="msonospacing"/>
    <w:basedOn w:val="69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3" w:customStyle="1">
    <w:name w:val="ac"/>
    <w:basedOn w:val="69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54">
    <w:name w:val="Body Text 3"/>
    <w:basedOn w:val="692"/>
    <w:link w:val="955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55" w:customStyle="1">
    <w:name w:val="Основной текст 3 Знак"/>
    <w:link w:val="954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56">
    <w:name w:val="HTML Bottom of Form"/>
    <w:basedOn w:val="692"/>
    <w:next w:val="692"/>
    <w:link w:val="957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57" w:customStyle="1">
    <w:name w:val="z-Конец формы Знак"/>
    <w:link w:val="956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58" w:customStyle="1">
    <w:name w:val="Style16"/>
    <w:basedOn w:val="692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59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60">
    <w:name w:val="Caption"/>
    <w:basedOn w:val="692"/>
    <w:next w:val="692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61">
    <w:name w:val="Body Text"/>
    <w:basedOn w:val="692"/>
    <w:link w:val="962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2" w:customStyle="1">
    <w:name w:val="Основной текст Знак"/>
    <w:link w:val="961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63">
    <w:name w:val="Body Text Indent 2"/>
    <w:basedOn w:val="692"/>
    <w:link w:val="964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64" w:customStyle="1">
    <w:name w:val="Основной текст с отступом 2 Знак"/>
    <w:link w:val="963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65" w:customStyle="1">
    <w:name w:val="Заголовок №2_"/>
    <w:link w:val="966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66" w:customStyle="1">
    <w:name w:val="Заголовок №2"/>
    <w:basedOn w:val="692"/>
    <w:link w:val="965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67">
    <w:name w:val="No Spacing"/>
    <w:uiPriority w:val="1"/>
    <w:qFormat/>
    <w:rPr>
      <w:sz w:val="22"/>
      <w:szCs w:val="22"/>
      <w:lang w:eastAsia="en-US"/>
    </w:rPr>
  </w:style>
  <w:style w:type="paragraph" w:styleId="968" w:customStyle="1">
    <w:name w:val="Default"/>
    <w:rPr>
      <w:rFonts w:ascii="Arial" w:hAnsi="Arial" w:cs="Arial"/>
      <w:color w:val="000000"/>
      <w:sz w:val="24"/>
      <w:szCs w:val="24"/>
    </w:rPr>
  </w:style>
  <w:style w:type="paragraph" w:styleId="969" w:customStyle="1">
    <w:name w:val="msonormalcxspmiddle"/>
    <w:basedOn w:val="69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70" w:customStyle="1">
    <w:name w:val="Нет списка1"/>
    <w:next w:val="704"/>
    <w:semiHidden/>
    <w:unhideWhenUsed/>
  </w:style>
  <w:style w:type="table" w:styleId="971" w:customStyle="1">
    <w:name w:val="Сетка таблицы1"/>
    <w:basedOn w:val="703"/>
    <w:next w:val="940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72" w:customStyle="1">
    <w:name w:val="Абзац списка1"/>
    <w:basedOn w:val="692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73" w:customStyle="1">
    <w:name w:val="Знак Знак2"/>
    <w:basedOn w:val="69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4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75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76" w:customStyle="1">
    <w:name w:val="Обычный (веб)18"/>
    <w:basedOn w:val="692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77" w:customStyle="1">
    <w:name w:val="Знак Знак2"/>
    <w:basedOn w:val="69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8" w:customStyle="1">
    <w:name w:val="Знак Знак2"/>
    <w:basedOn w:val="69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9" w:customStyle="1">
    <w:name w:val="Знак Знак2 Знак Знак Знак Знак Знак Знак"/>
    <w:basedOn w:val="69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0" w:customStyle="1">
    <w:name w:val="Знак Знак2"/>
    <w:basedOn w:val="69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1" w:customStyle="1">
    <w:name w:val="Знак Знак2"/>
    <w:basedOn w:val="69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2" w:customStyle="1">
    <w:name w:val="Знак Знак2"/>
    <w:basedOn w:val="69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83">
    <w:name w:val="Body Text Indent 3"/>
    <w:basedOn w:val="692"/>
    <w:link w:val="984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84" w:customStyle="1">
    <w:name w:val="Основной текст с отступом 3 Знак"/>
    <w:link w:val="983"/>
    <w:uiPriority w:val="99"/>
    <w:semiHidden/>
    <w:rPr>
      <w:sz w:val="16"/>
      <w:szCs w:val="16"/>
    </w:rPr>
  </w:style>
  <w:style w:type="paragraph" w:styleId="985" w:customStyle="1">
    <w:name w:val="1"/>
    <w:basedOn w:val="69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86">
    <w:name w:val="Hyperlink"/>
    <w:rPr>
      <w:strike w:val="0"/>
      <w:color w:val="808080"/>
      <w:u w:val="none"/>
    </w:rPr>
  </w:style>
  <w:style w:type="character" w:styleId="987" w:customStyle="1">
    <w:name w:val="blk"/>
  </w:style>
  <w:style w:type="character" w:styleId="988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89" w:customStyle="1">
    <w:name w:val="Знак Знак2 Знак Знак Знак Знак Знак Знак Знак Знак Знак Знак Знак Знак Знак Знак Знак Знак"/>
    <w:basedOn w:val="69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90" w:customStyle="1">
    <w:name w:val="Абзац списка Знак"/>
    <w:link w:val="924"/>
    <w:uiPriority w:val="99"/>
    <w:rPr>
      <w:sz w:val="22"/>
      <w:szCs w:val="22"/>
      <w:lang w:eastAsia="en-US"/>
    </w:rPr>
  </w:style>
  <w:style w:type="character" w:styleId="991">
    <w:name w:val="annotation reference"/>
    <w:basedOn w:val="702"/>
    <w:uiPriority w:val="99"/>
    <w:semiHidden/>
    <w:unhideWhenUsed/>
    <w:rPr>
      <w:sz w:val="16"/>
      <w:szCs w:val="16"/>
    </w:rPr>
  </w:style>
  <w:style w:type="paragraph" w:styleId="992">
    <w:name w:val="annotation text"/>
    <w:basedOn w:val="692"/>
    <w:link w:val="993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993" w:customStyle="1">
    <w:name w:val="Текст примечания Знак"/>
    <w:basedOn w:val="702"/>
    <w:link w:val="992"/>
    <w:uiPriority w:val="99"/>
    <w:semiHidden/>
    <w:rPr>
      <w:lang w:eastAsia="en-US"/>
    </w:rPr>
  </w:style>
  <w:style w:type="paragraph" w:styleId="994">
    <w:name w:val="annotation subject"/>
    <w:basedOn w:val="992"/>
    <w:next w:val="992"/>
    <w:link w:val="995"/>
    <w:uiPriority w:val="99"/>
    <w:semiHidden/>
    <w:unhideWhenUsed/>
    <w:rPr>
      <w:b/>
      <w:bCs/>
    </w:rPr>
  </w:style>
  <w:style w:type="character" w:styleId="995" w:customStyle="1">
    <w:name w:val="Тема примечания Знак"/>
    <w:basedOn w:val="993"/>
    <w:link w:val="994"/>
    <w:uiPriority w:val="99"/>
    <w:semiHidden/>
    <w:rPr>
      <w:b/>
      <w:bCs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759BA-26BD-4D61-B553-77852DC1E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23</cp:revision>
  <dcterms:created xsi:type="dcterms:W3CDTF">2026-04-30T07:07:00Z</dcterms:created>
  <dcterms:modified xsi:type="dcterms:W3CDTF">2026-09-10T13:06:31Z</dcterms:modified>
</cp:coreProperties>
</file>