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28.08</w:t>
      </w:r>
      <w:r>
        <w:rPr>
          <w:b/>
          <w:color w:val="000000"/>
          <w:sz w:val="24"/>
        </w:rPr>
        <w:t xml:space="preserve">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№ 1729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утвержденную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2026 - 2028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27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717а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программы» в</w:t>
      </w:r>
      <w:r>
        <w:rPr>
          <w:sz w:val="24"/>
          <w:szCs w:val="24"/>
        </w:rPr>
        <w:t xml:space="preserve"> паспорте Программы изложить в </w:t>
      </w:r>
      <w:r>
        <w:rPr>
          <w:sz w:val="24"/>
          <w:szCs w:val="24"/>
        </w:rPr>
        <w:t xml:space="preserve">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</w:t>
            </w:r>
            <w:r>
              <w:rPr>
                <w:sz w:val="24"/>
                <w:szCs w:val="24"/>
              </w:rPr>
              <w:t xml:space="preserve">муниципальной </w:t>
            </w:r>
            <w:r>
              <w:rPr>
                <w:sz w:val="24"/>
                <w:szCs w:val="24"/>
              </w:rPr>
              <w:t xml:space="preserve">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1 347 124,76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700 339 0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52,63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37 188 052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,63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181 578 300,00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5 219 349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839 691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rFonts w:eastAsia="Calibri"/>
          <w:sz w:val="24"/>
          <w:szCs w:val="24"/>
        </w:rPr>
        <w:t xml:space="preserve">таблицу 3. «Перечень структурных элементов муниципальной программы» Программы изложить в редакции согласно приложению № 1 к настоящему постановлению;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 таблицу </w:t>
      </w:r>
      <w:r>
        <w:rPr>
          <w:rFonts w:eastAsia="Calibri"/>
          <w:sz w:val="24"/>
          <w:szCs w:val="24"/>
        </w:rPr>
        <w:t xml:space="preserve">6</w:t>
      </w:r>
      <w:r>
        <w:rPr>
          <w:rFonts w:eastAsia="Calibri"/>
          <w:sz w:val="24"/>
          <w:szCs w:val="24"/>
        </w:rPr>
        <w:t xml:space="preserve">. </w:t>
      </w:r>
      <w:r>
        <w:rPr>
          <w:rFonts w:eastAsia="Calibri"/>
          <w:sz w:val="24"/>
          <w:szCs w:val="24"/>
        </w:rPr>
        <w:t xml:space="preserve">«</w:t>
      </w:r>
      <w:r>
        <w:rPr>
          <w:rFonts w:eastAsia="Calibri"/>
          <w:sz w:val="24"/>
          <w:szCs w:val="24"/>
        </w:rPr>
        <w:t xml:space="preserve">Сведения об объемах финансирования муниципальной программы» Программ</w:t>
      </w:r>
      <w:r>
        <w:rPr>
          <w:rFonts w:eastAsia="Calibri"/>
          <w:sz w:val="24"/>
          <w:szCs w:val="24"/>
        </w:rPr>
        <w:t xml:space="preserve">ы</w:t>
      </w:r>
      <w:r>
        <w:rPr>
          <w:rFonts w:eastAsia="Calibri"/>
          <w:sz w:val="24"/>
          <w:szCs w:val="24"/>
        </w:rPr>
        <w:t xml:space="preserve"> изложить в редакции согласно приложению № 2 к настоящему постановлению.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                                                            А.С.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bookmarkStart w:id="0" w:name="_GoBack"/>
      <w:r/>
      <w:bookmarkEnd w:id="0"/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Calibri"/>
          <w:b/>
          <w:color w:val="000000"/>
          <w:sz w:val="24"/>
          <w:szCs w:val="24"/>
        </w:rPr>
      </w:pPr>
      <w:r>
        <w:t xml:space="preserve">Шавырова</w:t>
      </w:r>
      <w:r>
        <w:t xml:space="preserve"> Ю.В</w:t>
      </w:r>
      <w:r>
        <w:t xml:space="preserve">.,</w:t>
      </w:r>
      <w:r>
        <w:t xml:space="preserve"> 5-13-63</w:t>
      </w:r>
      <w:r>
        <w:t xml:space="preserve"> </w:t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  <w:sectPr>
          <w:headerReference w:type="even" r:id="rId9"/>
          <w:footnotePr/>
          <w:endnotePr/>
          <w:type w:val="nextPage"/>
          <w:pgSz w:w="11906" w:h="16838" w:orient="portrait"/>
          <w:pgMar w:top="285" w:right="566" w:bottom="1135" w:left="1700" w:header="709" w:footer="709" w:gutter="0"/>
          <w:cols w:num="1" w:sep="0" w:space="708" w:equalWidth="1"/>
          <w:docGrid w:linePitch="360"/>
        </w:sect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  <w:t xml:space="preserve">Приложение № 1                  </w:t>
      </w:r>
      <w:r>
        <w:rPr>
          <w:color w:val="000000"/>
          <w:sz w:val="24"/>
          <w:lang w:eastAsia="en-US"/>
        </w:rPr>
        <w:t xml:space="preserve">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</w:t>
      </w:r>
      <w:r>
        <w:rPr>
          <w:color w:val="000000"/>
          <w:sz w:val="24"/>
          <w:lang w:eastAsia="en-US"/>
        </w:rPr>
        <w:t xml:space="preserve">Печенгского</w:t>
      </w:r>
      <w:r>
        <w:rPr>
          <w:color w:val="000000"/>
          <w:sz w:val="24"/>
          <w:lang w:eastAsia="en-US"/>
        </w:rPr>
        <w:t xml:space="preserve"> муниципального округа                                                                                                                          от 28.08.2026 № 1729</w:t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24"/>
          <w:szCs w:val="24"/>
        </w:rPr>
        <w:t xml:space="preserve">«3. Перечень структурных элементов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16"/>
          <w:szCs w:val="16"/>
        </w:rPr>
      </w:pPr>
      <w:r>
        <w:rPr>
          <w:sz w:val="24"/>
          <w:szCs w:val="24"/>
        </w:rPr>
        <w:t xml:space="preserve">  </w:t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594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992"/>
        <w:gridCol w:w="4536"/>
        <w:gridCol w:w="1276"/>
        <w:gridCol w:w="1559"/>
        <w:gridCol w:w="6521"/>
      </w:tblGrid>
      <w:tr>
        <w:tblPrEx/>
        <w:trPr>
          <w:trHeight w:val="84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№ структурного элемента муниципальной программы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выполнения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Связь с показателями Программы (наименования показателей)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4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1</w:t>
            </w:r>
            <w:r>
              <w:rPr>
                <w:b/>
                <w:sz w:val="22"/>
                <w:szCs w:val="22"/>
              </w:rPr>
              <w:t xml:space="preserve"> «Экологическая безопасность и окружающая среда»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1.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«Мероприятия по обеспечению благоприятной окружающей среды и экологического благополучия»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 МБУ «РЭС»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</w:pPr>
            <w:r>
              <w:t xml:space="preserve">0.1. Доля проведенных мероприятий по ликвидации объектов накопленного вреда окружающей среде от общего количества запланированных мероприятий</w:t>
            </w:r>
            <w:r/>
          </w:p>
          <w:p>
            <w:pPr>
              <w:jc w:val="both"/>
            </w:pPr>
            <w:r>
              <w:t xml:space="preserve">1.1. Количество вновь созданных и отремонтированных и контейнерных площадок</w:t>
            </w:r>
            <w:r/>
          </w:p>
          <w:p>
            <w:pPr>
              <w:jc w:val="both"/>
            </w:pPr>
            <w:r>
              <w:t xml:space="preserve">1.2. Количество договоров, заключенных с региональным оператором, по вывозу мусора с территорий общего пользования</w:t>
            </w:r>
            <w:r/>
          </w:p>
          <w:p>
            <w:pPr>
              <w:jc w:val="both"/>
            </w:pPr>
            <w:r>
              <w:t xml:space="preserve">1.3. Количество </w:t>
            </w:r>
            <w:r>
              <w:t xml:space="preserve">рекультивированных</w:t>
            </w:r>
            <w:r>
              <w:t xml:space="preserve">, ликвидированных несанкционированных (санкционированных) свалок, включая разработку ПСД</w:t>
            </w:r>
            <w:r/>
          </w:p>
          <w:p>
            <w:pPr>
              <w:jc w:val="both"/>
            </w:pPr>
            <w:r>
              <w:t xml:space="preserve">1.4. Количество эвакуированного бесхозяйного (брошенного) транспорта с дворовых территорий</w:t>
            </w:r>
            <w:r/>
          </w:p>
          <w:p>
            <w:pPr>
              <w:jc w:val="both"/>
            </w:pPr>
            <w:r>
              <w:t xml:space="preserve">1.5. Количество отловленных животных без владельцев с территорий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  <w:p>
            <w:pPr>
              <w:jc w:val="both"/>
            </w:pPr>
            <w:r>
              <w:t xml:space="preserve">1.6. Количество земельных участков, в отношении которых возмещен причиненный почвам вред</w:t>
            </w:r>
            <w:r/>
          </w:p>
        </w:tc>
      </w:tr>
      <w:tr>
        <w:tblPrEx/>
        <w:trPr>
          <w:trHeight w:val="1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2</w:t>
            </w:r>
            <w:r>
              <w:rPr>
                <w:b/>
                <w:sz w:val="22"/>
                <w:szCs w:val="22"/>
              </w:rPr>
              <w:t xml:space="preserve"> «Комфортное жилье и городская среда»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</w:pPr>
            <w:r/>
            <w:r/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2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«Реализация инициативных проектов в сфере жилищного хозяйства»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</w:pPr>
            <w:r>
              <w:t xml:space="preserve">0.2. 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</w:t>
            </w:r>
            <w:r>
              <w:t xml:space="preserve">Печенгского</w:t>
            </w:r>
            <w:r>
              <w:t xml:space="preserve"> муниципального округа от общего количества запланированных мероприятий</w:t>
            </w:r>
            <w:r/>
          </w:p>
          <w:p>
            <w:pPr>
              <w:jc w:val="both"/>
              <w:rPr>
                <w:highlight w:val="yellow"/>
              </w:rPr>
            </w:pPr>
            <w:r>
              <w:t xml:space="preserve">2.1. Количество отремонтированных подъездов многоквартирных домах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3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«Формирование современной городской среды»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», МБУ «НДС»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</w:pPr>
            <w:r>
              <w:t xml:space="preserve">0.4. Уровень качества городской среды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2.2. Количество благоустроенных общественных территорий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2.3. Количество благоустроенных дворовых территорий многоквартирных домов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2.4. Количество дворовых проездов, в отношении которых выполнен ямочный ремонт</w:t>
            </w:r>
            <w:r/>
          </w:p>
        </w:tc>
      </w:tr>
      <w:tr>
        <w:tblPrEx/>
        <w:trPr>
          <w:trHeight w:val="1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4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«Комплексное благоустройство и содержание городской среды»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</w:pPr>
            <w:r>
              <w:t xml:space="preserve">0.5. Благоустройство территорий </w:t>
            </w:r>
            <w:r>
              <w:t xml:space="preserve">Печенгского</w:t>
            </w:r>
            <w:r>
              <w:t xml:space="preserve"> муниципального округа и обеспечение их содержания от общего количества запланированных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2.5. 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2.6. Количество благоустроенных детских игровых и спортивных площадок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2.7. Выполнение мероприятий по организации уличного освещения</w:t>
            </w:r>
            <w:r/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5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«Реализация проекта «Работа рядом!»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</w:pPr>
            <w:r>
              <w:t xml:space="preserve">2.8. Численность граждан, привлеченных к временным общественно полезным работам 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6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«Обеспечение деятельности и выполнение функций в сфере благоустройства  подведомственными учреждениями администрации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</w:pPr>
            <w:r>
              <w:t xml:space="preserve">0.5</w:t>
            </w:r>
            <w:r>
              <w:rPr>
                <w:color w:val="ff0000"/>
              </w:rPr>
              <w:t xml:space="preserve">. </w:t>
            </w:r>
            <w:r>
              <w:t xml:space="preserve">Благоустройство территорий </w:t>
            </w:r>
            <w:r>
              <w:t xml:space="preserve">Печенгского</w:t>
            </w:r>
            <w:r>
              <w:t xml:space="preserve"> муниципального округа и обеспечение их содержания от общего количества запланированных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2.9. Обеспечение деятельности муниципального казенного учреждения в сфере благоустройства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9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«Определение платы за содержание жилого помещения в многоквартирных домах»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</w:pPr>
            <w:r>
              <w:t xml:space="preserve">2.10. </w:t>
            </w:r>
            <w:r>
              <w:rPr>
                <w:rFonts w:eastAsia="Calibri"/>
                <w:color w:val="000000"/>
                <w:szCs w:val="22"/>
                <w:lang w:eastAsia="en-US"/>
              </w:rPr>
              <w:t xml:space="preserve">Выполнение мероприятий по определению платы за содержание жилого помещения в многоквартирных домах</w:t>
            </w:r>
            <w:r/>
          </w:p>
        </w:tc>
      </w:tr>
      <w:tr>
        <w:tblPrEx/>
        <w:trPr>
          <w:trHeight w:val="22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3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rFonts w:ascii="Calibri" w:hAnsi="Calibri" w:eastAsia="Calibri"/>
                <w:b/>
                <w:sz w:val="22"/>
                <w:szCs w:val="22"/>
                <w:lang w:eastAsia="en-US"/>
              </w:rPr>
              <w:t xml:space="preserve">В</w:t>
            </w:r>
            <w:r>
              <w:rPr>
                <w:b/>
                <w:sz w:val="22"/>
                <w:szCs w:val="22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</w:r>
            <w:r>
              <w:rPr>
                <w:b/>
                <w:sz w:val="22"/>
                <w:szCs w:val="22"/>
                <w:u w:val="single"/>
              </w:rPr>
            </w:r>
            <w:r>
              <w:rPr>
                <w:b/>
                <w:sz w:val="22"/>
                <w:szCs w:val="22"/>
                <w:u w:val="single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7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«Организация ритуальных услуг и содержание мест захоронения»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</w:pPr>
            <w:r>
              <w:t xml:space="preserve">0.6. Поддержание надлежащего состояния мест захоронения в соответствии с установленными нормами от общего числа мест захоронения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3.2. Выполнение мероприятий по организации захоронения трупов, невостребованных родственниками</w:t>
            </w:r>
            <w:r/>
          </w:p>
        </w:tc>
      </w:tr>
      <w:tr>
        <w:tblPrEx/>
        <w:trPr>
          <w:trHeight w:val="27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textDirection w:val="lrTb"/>
            <w:noWrap w:val="false"/>
          </w:tcPr>
          <w:p>
            <w:pPr>
              <w:shd w:val="clear" w:color="auto" w:fill="ffffff" w:themeFill="background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4</w:t>
            </w:r>
            <w:r>
              <w:rPr>
                <w:b/>
                <w:sz w:val="22"/>
                <w:szCs w:val="22"/>
              </w:rPr>
              <w:t xml:space="preserve"> «Устойчивое и надлежащее функционирование систем коммунальной инфраструктуры»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shd w:val="clear" w:color="auto" w:fill="ffffff" w:themeFill="background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проектных мероприятий 8 </w:t>
            </w:r>
            <w:r>
              <w:rPr>
                <w:sz w:val="22"/>
                <w:szCs w:val="22"/>
              </w:rPr>
              <w:t xml:space="preserve">«Подготовка объектов жилищно-коммунального хозяйства к работе в </w:t>
            </w:r>
            <w:r>
              <w:rPr>
                <w:sz w:val="22"/>
                <w:szCs w:val="22"/>
              </w:rPr>
              <w:t xml:space="preserve">отопительный период»</w:t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6521" w:type="dxa"/>
            <w:textDirection w:val="lrTb"/>
            <w:noWrap w:val="false"/>
          </w:tcPr>
          <w:p>
            <w:pPr>
              <w:jc w:val="both"/>
            </w:pPr>
            <w:r>
              <w:t xml:space="preserve">0.2. 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</w:t>
            </w:r>
            <w:r>
              <w:t xml:space="preserve">Печенгского</w:t>
            </w:r>
            <w:r>
              <w:t xml:space="preserve"> муниципального </w:t>
            </w:r>
            <w:r>
              <w:t xml:space="preserve">округа от общего количества запланированных мероприятий</w:t>
            </w:r>
            <w:r/>
          </w:p>
          <w:p>
            <w:pPr>
              <w:jc w:val="both"/>
            </w:pPr>
            <w:r>
              <w:t xml:space="preserve">0.3. Выполнение мероприятий по подготовке объектов жилищно-коммунального хозяйства, расположенных на территории </w:t>
            </w:r>
            <w:r>
              <w:t xml:space="preserve">Печенгского</w:t>
            </w:r>
            <w:r>
              <w:t xml:space="preserve"> муниципального округа, к работе в отопительный период от общего количества запланированных мероприятий</w:t>
            </w:r>
            <w:r/>
          </w:p>
          <w:p>
            <w:pPr>
              <w:jc w:val="both"/>
            </w:pPr>
            <w:r>
              <w:t xml:space="preserve">4.1. Протяженность отремонтированных инженерных сетей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4.2. </w:t>
            </w:r>
            <w:r>
              <w:rPr>
                <w:rFonts w:eastAsia="Calibri"/>
                <w:color w:val="000000"/>
                <w:szCs w:val="22"/>
              </w:rPr>
              <w:t xml:space="preserve">Наличие актуализированных схем теплоснабжения, водоснабжения и водоотведения, </w:t>
            </w:r>
            <w:r>
              <w:rPr>
                <w:rFonts w:eastAsia="Calibri"/>
                <w:szCs w:val="22"/>
              </w:rPr>
              <w:t xml:space="preserve">и программы комплексного развития системы коммунальной инфраструктуры</w:t>
            </w:r>
            <w:r>
              <w:rPr>
                <w:rFonts w:eastAsia="Calibri"/>
                <w:szCs w:val="22"/>
              </w:rPr>
              <w:t xml:space="preserve">».</w:t>
            </w:r>
            <w:r/>
          </w:p>
        </w:tc>
      </w:tr>
    </w:tbl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  <w:t xml:space="preserve">Приложение </w:t>
      </w:r>
      <w:r>
        <w:rPr>
          <w:color w:val="000000"/>
          <w:sz w:val="24"/>
          <w:lang w:eastAsia="en-US"/>
        </w:rPr>
        <w:t xml:space="preserve">№ 2</w:t>
      </w:r>
      <w:r>
        <w:rPr>
          <w:color w:val="000000"/>
          <w:sz w:val="24"/>
          <w:lang w:eastAsia="en-US"/>
        </w:rPr>
        <w:t xml:space="preserve">                  </w:t>
      </w:r>
      <w:r>
        <w:rPr>
          <w:color w:val="000000"/>
          <w:sz w:val="24"/>
          <w:lang w:eastAsia="en-US"/>
        </w:rPr>
        <w:t xml:space="preserve">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</w:t>
      </w:r>
      <w:r>
        <w:rPr>
          <w:color w:val="000000"/>
          <w:sz w:val="24"/>
          <w:lang w:eastAsia="en-US"/>
        </w:rPr>
        <w:t xml:space="preserve">Печенгского</w:t>
      </w:r>
      <w:r>
        <w:rPr>
          <w:color w:val="000000"/>
          <w:sz w:val="24"/>
          <w:lang w:eastAsia="en-US"/>
        </w:rPr>
        <w:t xml:space="preserve"> муниципального округа                                                                                                                          от 28.08.2026 № 1729</w:t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contextualSpacing/>
        <w:ind w:left="11341"/>
        <w:rPr>
          <w:color w:val="000000"/>
          <w:sz w:val="24"/>
          <w:lang w:eastAsia="en-US"/>
        </w:rPr>
      </w:pP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  <w:r>
        <w:rPr>
          <w:color w:val="000000"/>
          <w:sz w:val="24"/>
          <w:lang w:eastAsia="en-US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6. Сведения об объемах финансирования муниципальной программы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Style w:val="976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134"/>
        <w:gridCol w:w="2835"/>
        <w:gridCol w:w="1275"/>
        <w:gridCol w:w="1134"/>
        <w:gridCol w:w="1701"/>
        <w:gridCol w:w="1701"/>
        <w:gridCol w:w="1701"/>
        <w:gridCol w:w="1701"/>
        <w:gridCol w:w="1560"/>
      </w:tblGrid>
      <w:tr>
        <w:tblPrEx/>
        <w:trPr>
          <w:trHeight w:val="270"/>
        </w:trPr>
        <w:tc>
          <w:tcPr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№ п/п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№ структурного элемента муниципальной программы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Муниципальная программа, ГРБС, направления (подпрограммы)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Период реализации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gridSpan w:val="5"/>
            <w:tcW w:w="79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Объемы и источники финансирования (рублей)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Соисполнители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Год/ источник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Всего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«Комфортная среда проживания»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2026 - 2028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</w:rPr>
              <w:t xml:space="preserve">794 980 705,02</w:t>
            </w:r>
            <w:r>
              <w:rPr>
                <w:rFonts w:eastAsia="Calibri"/>
                <w:b/>
                <w:bCs/>
                <w:color w:val="000000"/>
              </w:rPr>
            </w:r>
            <w:r>
              <w:rPr>
                <w:rFonts w:eastAsia="Calibri"/>
                <w:b/>
                <w:bCs/>
                <w:color w:val="00000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428 450 047,02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183 266 679,00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183 263 979,00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КУИ, ОРН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МБ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653 972 632,89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290 821 632,89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181 578 300,00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181 572 700,00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ОБ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75 219 349,25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71 839 691,25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  1 688 379,00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  1 691 279,00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ФБ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65 542 700,00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65 542 700,00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ВБС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     246 022,88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     246 022,88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</w:rPr>
              <w:t xml:space="preserve">Администрация </w:t>
            </w:r>
            <w:r>
              <w:rPr>
                <w:rFonts w:eastAsia="Calibri"/>
              </w:rPr>
              <w:t xml:space="preserve">Печенгского</w:t>
            </w:r>
            <w:r>
              <w:rPr>
                <w:rFonts w:eastAsia="Calibri"/>
              </w:rPr>
              <w:t xml:space="preserve"> муниципального округа</w:t>
            </w:r>
            <w:r>
              <w:rPr>
                <w:rFonts w:eastAsia="Calibri"/>
                <w:color w:val="ff0000"/>
              </w:rPr>
              <w:t xml:space="preserve"> </w:t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color w:val="ff0000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</w:rPr>
              <w:t xml:space="preserve">788 495 806,02</w:t>
            </w:r>
            <w:r>
              <w:rPr>
                <w:rFonts w:eastAsia="Calibri"/>
                <w:b/>
                <w:bCs/>
                <w:color w:val="000000"/>
              </w:rPr>
            </w:r>
            <w:r>
              <w:rPr>
                <w:rFonts w:eastAsia="Calibri"/>
                <w:b/>
                <w:bCs/>
                <w:color w:val="00000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421 965 148,02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183 266 679,00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183 263 979,00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647 487 733,89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284 336 733,89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181 578 300,00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181 572 700,00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75 219 349,25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71 839 691,25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1 688 379,00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1 691 279,00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65 542 700,00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65 542 700,00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   246 022,88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   246 022,88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0.2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0.2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Комитет по управлению имуществом администрации </w:t>
            </w:r>
            <w:r>
              <w:rPr>
                <w:rFonts w:eastAsia="Calibri"/>
              </w:rPr>
              <w:t xml:space="preserve">Печенгского</w:t>
            </w:r>
            <w:r>
              <w:rPr>
                <w:rFonts w:eastAsia="Calibri"/>
              </w:rPr>
              <w:t xml:space="preserve"> муниципального округа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6 484 899,00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6 484 899,00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6 484 899,00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6 484 899,00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1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«Экологическая безопасность и окружающая среда»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2026 - 2028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23 360 835,00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17 183 477,00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3 088 679,00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3 088 679,00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 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»,          КУИ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18 512 898,00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15 567 498,00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1 472 700,00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1 472 700,00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4 847 937,00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1.1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1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«Мероприятия </w:t>
            </w:r>
            <w:r>
              <w:rPr>
                <w:rFonts w:eastAsia="Calibri"/>
              </w:rPr>
              <w:t xml:space="preserve">по обеспечению благоприятной окружающей среды и экологического благополучия»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23 360 835,00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17 183 477,00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3 088 679,00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3 088 679,00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МБУ «РЭС»,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»,             КУИ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18 512 898,00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15 567 498,00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1 472 700,00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1 472 700,00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4 847 937,00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>
          <w:trHeight w:val="445"/>
        </w:trPr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2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«Комфортное жилье и городская среда»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2026 - 2028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726 938 170,02</w:t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</w:rPr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392 487 170,02</w:t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 167 228 300,00   </w:t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 167 222 700,00   </w:t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590 995 334,89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256 544 334,89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  167 228 300,00   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  167 222 700,00   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70 154 112,25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70 154 112,25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    65 542 700,00   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    65 542 700,00   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         246 022,88   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 xml:space="preserve">         246 022,88   </w:t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2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«Реализация инициативных проектов в сфере жилищного хозяйства»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1 200 000,00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1 200 000,00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360 000,00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360 000,00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600 000,00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600 000,00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240 000,00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240 000,00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3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«Формирование современной городской среды»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</w:rPr>
              <w:t xml:space="preserve">317 618 780,60</w:t>
            </w:r>
            <w:r>
              <w:rPr>
                <w:rFonts w:eastAsia="Calibri"/>
                <w:b/>
                <w:bCs/>
                <w:color w:val="000000"/>
              </w:rPr>
            </w:r>
            <w:r>
              <w:rPr>
                <w:rFonts w:eastAsia="Calibri"/>
                <w:b/>
                <w:bCs/>
                <w:color w:val="000000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217 618 780,60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50 000 000,00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50 000 000,00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198 031 252,89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98 031 252,89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54 044 827,71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54 044 827,71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65 542 700,00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65 542 700,00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4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«Комплексное благоустройство и содержание городской среды»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1</w:t>
            </w:r>
            <w:r>
              <w:rPr>
                <w:rFonts w:eastAsia="Calibri"/>
                <w:b/>
                <w:bCs/>
                <w:color w:val="000000"/>
                <w:lang w:val="en-US" w:eastAsia="en-US"/>
              </w:rPr>
              <w:t xml:space="preserve">66 39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9 942,88   </w:t>
            </w:r>
            <w:r>
              <w:rPr>
                <w:rFonts w:eastAsia="Calibri"/>
                <w:b/>
                <w:bCs/>
                <w:color w:val="000000"/>
              </w:rPr>
            </w:r>
            <w:r>
              <w:rPr>
                <w:rFonts w:eastAsia="Calibri"/>
                <w:b/>
                <w:bCs/>
                <w:color w:val="000000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</w:t>
            </w:r>
            <w:r>
              <w:rPr>
                <w:rFonts w:eastAsia="Calibri"/>
                <w:b/>
                <w:bCs/>
                <w:color w:val="000000"/>
                <w:lang w:val="en-US" w:eastAsia="en-US"/>
              </w:rPr>
              <w:t xml:space="preserve">82 970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542,88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41 717 500,00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41 711 900,00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15</w:t>
            </w:r>
            <w:r>
              <w:rPr>
                <w:rFonts w:eastAsia="Calibri"/>
                <w:color w:val="000000"/>
                <w:lang w:val="en-US" w:eastAsia="en-US"/>
              </w:rPr>
              <w:t xml:space="preserve">8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lang w:val="en-US" w:eastAsia="en-US"/>
              </w:rPr>
              <w:t xml:space="preserve">80</w:t>
            </w:r>
            <w:r>
              <w:rPr>
                <w:rFonts w:eastAsia="Calibri"/>
                <w:color w:val="000000"/>
                <w:lang w:eastAsia="en-US"/>
              </w:rPr>
              <w:t xml:space="preserve">0 835,00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</w:t>
            </w:r>
            <w:r>
              <w:rPr>
                <w:rFonts w:eastAsia="Calibri"/>
                <w:color w:val="000000"/>
                <w:lang w:val="en-US" w:eastAsia="en-US"/>
              </w:rPr>
              <w:t xml:space="preserve">75 371</w:t>
            </w:r>
            <w:r>
              <w:rPr>
                <w:rFonts w:eastAsia="Calibri"/>
                <w:color w:val="000000"/>
                <w:lang w:eastAsia="en-US"/>
              </w:rPr>
              <w:t xml:space="preserve"> 435,00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41 717 500,00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41 711 900,00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7 593 085,00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7 593 085,00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                    -    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                    -    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                  -  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                  -  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                    -    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                    -    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       6 022,88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       6 022,88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                    -    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                    -     </w:t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5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«Реализация проекта «Работа Рядом!»»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25 916 199,54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15 916 199,54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5 000 000,00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5 000 000,00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МБУ «НДС»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18 000 000,00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8 000 000,00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5 000 000,00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5 000 000,00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7 916 199,54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7 916 199,54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6</w:t>
            </w:r>
            <w:r>
              <w:rPr>
                <w:rFonts w:eastAsia="Calibri"/>
              </w:rPr>
              <w:t xml:space="preserve"> «Обеспечение деятельности и выполнение функций в сфере благоустройства подведомственными </w:t>
            </w:r>
            <w:r>
              <w:rPr>
                <w:rFonts w:eastAsia="Calibri"/>
              </w:rPr>
              <w:t xml:space="preserve">учреждениями администрации </w:t>
            </w:r>
            <w:r>
              <w:rPr>
                <w:rFonts w:eastAsia="Calibri"/>
              </w:rPr>
              <w:t xml:space="preserve">Печенгского</w:t>
            </w:r>
            <w:r>
              <w:rPr>
                <w:rFonts w:eastAsia="Calibri"/>
              </w:rPr>
              <w:t xml:space="preserve"> муниципального округа»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215 299 247,00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74 277 647,00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70 510 800,00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70 510 800,00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215 299 247,00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74 277 647,00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70 510 800,00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70 510 800,00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9</w:t>
            </w:r>
            <w:r>
              <w:rPr>
                <w:rFonts w:eastAsia="Calibri"/>
              </w:rPr>
              <w:t xml:space="preserve"> «Определение платы за содержание жилого помещения в многоквартирных домах»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     504 000,00   </w:t>
            </w:r>
            <w:r>
              <w:rPr>
                <w:rFonts w:eastAsia="Calibri"/>
                <w:b/>
                <w:bCs/>
                <w:color w:val="000000"/>
              </w:rPr>
            </w:r>
            <w:r>
              <w:rPr>
                <w:rFonts w:eastAsia="Calibri"/>
                <w:b/>
                <w:bCs/>
                <w:color w:val="000000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lang w:eastAsia="en-US"/>
              </w:rPr>
              <w:t xml:space="preserve">         504 000,00   </w:t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  <w:r>
              <w:rPr>
                <w:rFonts w:eastAsia="Calibri"/>
                <w:b/>
                <w:bCs/>
                <w:color w:val="000000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   504 000,00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vAlign w:val="bottom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      504 000,00  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3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«</w:t>
            </w:r>
            <w:r>
              <w:rPr>
                <w:rFonts w:eastAsia="Calibri"/>
                <w:lang w:eastAsia="en-US"/>
              </w:rPr>
              <w:t xml:space="preserve">В</w:t>
            </w:r>
            <w:r>
              <w:rPr>
                <w:rFonts w:eastAsia="Calibri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2026 - 2028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8 849 200,00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2 946 900,00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2 949 700,00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2 952 600,00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ОРН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8 631 900,00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217 300,00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69 600,00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72 400,00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75 300,00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3.7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</w:t>
            </w:r>
            <w:r>
              <w:rPr>
                <w:rFonts w:eastAsia="Calibri"/>
                <w:u w:val="single"/>
              </w:rPr>
              <w:t xml:space="preserve">й 7</w:t>
            </w:r>
            <w:r>
              <w:rPr>
                <w:rFonts w:eastAsia="Calibri"/>
              </w:rPr>
              <w:t xml:space="preserve"> «Организация ритуальных услуг и содержание мест захоронения»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8 849 200,00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2 946 900,00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2 949 700,00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2 952 600,00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ОРН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8 631 900,00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217 300,00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69 600,00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72 400,00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75 300,00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4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4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4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«Устойчивое и надлежащее функционирование систем коммунальной инфраструктуры»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2026 - 2028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35 832 500,00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15 832 500,00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35 832 500,00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15 832 500,00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4.8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  <w:u w:val="single"/>
              </w:rPr>
              <w:t xml:space="preserve">Комплекс проектных мероприятий 8</w:t>
            </w:r>
            <w:r>
              <w:rPr>
                <w:rFonts w:eastAsia="Calibri"/>
              </w:rPr>
              <w:t xml:space="preserve"> «Подготовка объектов жилищно-коммунального хозяйства к работе в отопительный период»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35 832 500,00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15 832 500,00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</w:t>
            </w:r>
            <w:r>
              <w:rPr>
                <w:rFonts w:eastAsia="Calibri"/>
              </w:rPr>
              <w:t xml:space="preserve">».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35 832 500,00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15 832 500,00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  <w:sectPr>
          <w:footnotePr/>
          <w:endnotePr/>
          <w:type w:val="nextPage"/>
          <w:pgSz w:w="16838" w:h="11906" w:orient="landscape"/>
          <w:pgMar w:top="709" w:right="395" w:bottom="851" w:left="1135" w:header="709" w:footer="709" w:gutter="0"/>
          <w:cols w:num="1" w:sep="0" w:space="708" w:equalWidth="1"/>
          <w:docGrid w:linePitch="360"/>
        </w:sect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5" w:right="566" w:bottom="1135" w:left="170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0"/>
  </w:num>
  <w:num w:numId="9">
    <w:abstractNumId w:val="0"/>
  </w:num>
  <w:num w:numId="10">
    <w:abstractNumId w:val="17"/>
  </w:num>
  <w:num w:numId="11">
    <w:abstractNumId w:val="29"/>
  </w:num>
  <w:num w:numId="12">
    <w:abstractNumId w:val="27"/>
  </w:num>
  <w:num w:numId="13">
    <w:abstractNumId w:val="1"/>
  </w:num>
  <w:num w:numId="14">
    <w:abstractNumId w:val="19"/>
  </w:num>
  <w:num w:numId="15">
    <w:abstractNumId w:val="7"/>
  </w:num>
  <w:num w:numId="16">
    <w:abstractNumId w:val="23"/>
  </w:num>
  <w:num w:numId="17">
    <w:abstractNumId w:val="15"/>
  </w:num>
  <w:num w:numId="18">
    <w:abstractNumId w:val="18"/>
  </w:num>
  <w:num w:numId="19">
    <w:abstractNumId w:val="21"/>
  </w:num>
  <w:num w:numId="20">
    <w:abstractNumId w:val="13"/>
  </w:num>
  <w:num w:numId="21">
    <w:abstractNumId w:val="4"/>
  </w:num>
  <w:num w:numId="22">
    <w:abstractNumId w:val="22"/>
  </w:num>
  <w:num w:numId="23">
    <w:abstractNumId w:val="3"/>
  </w:num>
  <w:num w:numId="24">
    <w:abstractNumId w:val="8"/>
  </w:num>
  <w:num w:numId="25">
    <w:abstractNumId w:val="12"/>
  </w:num>
  <w:num w:numId="26">
    <w:abstractNumId w:val="5"/>
  </w:num>
  <w:num w:numId="27">
    <w:abstractNumId w:val="28"/>
  </w:num>
  <w:num w:numId="28">
    <w:abstractNumId w:val="14"/>
  </w:num>
  <w:num w:numId="29">
    <w:abstractNumId w:val="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3 Char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33">
    <w:name w:val="Heading 4 Char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73"/>
    <w:link w:val="786"/>
    <w:uiPriority w:val="11"/>
    <w:rPr>
      <w:sz w:val="24"/>
      <w:szCs w:val="24"/>
    </w:rPr>
  </w:style>
  <w:style w:type="character" w:styleId="740">
    <w:name w:val="Quote Char"/>
    <w:link w:val="788"/>
    <w:uiPriority w:val="29"/>
    <w:rPr>
      <w:i/>
    </w:rPr>
  </w:style>
  <w:style w:type="character" w:styleId="741">
    <w:name w:val="Intense Quote Char"/>
    <w:link w:val="790"/>
    <w:uiPriority w:val="30"/>
    <w:rPr>
      <w:i/>
    </w:rPr>
  </w:style>
  <w:style w:type="table" w:styleId="742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1">
    <w:name w:val="Footnote Text Char"/>
    <w:link w:val="921"/>
    <w:uiPriority w:val="99"/>
    <w:rPr>
      <w:sz w:val="18"/>
    </w:rPr>
  </w:style>
  <w:style w:type="character" w:styleId="762">
    <w:name w:val="Endnote Text Char"/>
    <w:link w:val="924"/>
    <w:uiPriority w:val="99"/>
    <w:rPr>
      <w:sz w:val="20"/>
    </w:rPr>
  </w:style>
  <w:style w:type="paragraph" w:styleId="763" w:default="1">
    <w:name w:val="Normal"/>
    <w:qFormat/>
  </w:style>
  <w:style w:type="paragraph" w:styleId="764">
    <w:name w:val="Heading 1"/>
    <w:basedOn w:val="763"/>
    <w:next w:val="763"/>
    <w:link w:val="776"/>
    <w:qFormat/>
    <w:pPr>
      <w:jc w:val="center"/>
      <w:keepNext/>
      <w:outlineLvl w:val="0"/>
    </w:pPr>
    <w:rPr>
      <w:sz w:val="24"/>
    </w:rPr>
  </w:style>
  <w:style w:type="paragraph" w:styleId="765">
    <w:name w:val="Heading 2"/>
    <w:basedOn w:val="763"/>
    <w:next w:val="763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6">
    <w:name w:val="Heading 3"/>
    <w:basedOn w:val="763"/>
    <w:next w:val="763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7">
    <w:name w:val="Heading 4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763"/>
    <w:next w:val="763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0">
    <w:name w:val="Heading 7"/>
    <w:basedOn w:val="763"/>
    <w:next w:val="763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2">
    <w:name w:val="Heading 9"/>
    <w:basedOn w:val="763"/>
    <w:next w:val="763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character" w:styleId="776" w:customStyle="1">
    <w:name w:val="Заголовок 1 Знак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73"/>
    <w:uiPriority w:val="9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73"/>
    <w:uiPriority w:val="10"/>
    <w:rPr>
      <w:sz w:val="48"/>
      <w:szCs w:val="48"/>
    </w:rPr>
  </w:style>
  <w:style w:type="paragraph" w:styleId="786">
    <w:name w:val="Subtitle"/>
    <w:basedOn w:val="763"/>
    <w:next w:val="763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73"/>
    <w:link w:val="786"/>
    <w:uiPriority w:val="11"/>
    <w:rPr>
      <w:sz w:val="24"/>
      <w:szCs w:val="24"/>
    </w:rPr>
  </w:style>
  <w:style w:type="paragraph" w:styleId="788">
    <w:name w:val="Quote"/>
    <w:basedOn w:val="763"/>
    <w:next w:val="763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63"/>
    <w:next w:val="763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73"/>
    <w:uiPriority w:val="99"/>
  </w:style>
  <w:style w:type="character" w:styleId="793" w:customStyle="1">
    <w:name w:val="Footer Char"/>
    <w:basedOn w:val="773"/>
    <w:uiPriority w:val="99"/>
  </w:style>
  <w:style w:type="paragraph" w:styleId="794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 w:customStyle="1">
    <w:name w:val="Table Grid Light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7" w:customStyle="1">
    <w:name w:val="Таблица простая 11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21"/>
    <w:basedOn w:val="7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3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Таблица простая 4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 простая 5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1 светлая1"/>
    <w:basedOn w:val="7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Таблица-сетка 2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3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41"/>
    <w:basedOn w:val="7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basedOn w:val="7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basedOn w:val="7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basedOn w:val="7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basedOn w:val="7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basedOn w:val="7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basedOn w:val="7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Таблица-сетка 5 темная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Таблица-сетк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basedOn w:val="7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basedOn w:val="7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basedOn w:val="7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basedOn w:val="7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Таблица-сетка 7 цветная1"/>
    <w:basedOn w:val="7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1"/>
    <w:basedOn w:val="7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5"/>
    <w:basedOn w:val="7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6"/>
    <w:basedOn w:val="7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Список-таблица 1 светлая1"/>
    <w:basedOn w:val="7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basedOn w:val="7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basedOn w:val="7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basedOn w:val="7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basedOn w:val="7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basedOn w:val="7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basedOn w:val="7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Список-таблица 21"/>
    <w:basedOn w:val="7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Список-таблица 3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4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5 темная1"/>
    <w:basedOn w:val="7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basedOn w:val="7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Список-таблиц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Список-таблица 7 цветная1"/>
    <w:basedOn w:val="7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1"/>
    <w:basedOn w:val="7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2"/>
    <w:basedOn w:val="7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3"/>
    <w:basedOn w:val="7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4"/>
    <w:basedOn w:val="7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5"/>
    <w:basedOn w:val="7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6"/>
    <w:basedOn w:val="7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ned - Accent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basedOn w:val="7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basedOn w:val="7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basedOn w:val="7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basedOn w:val="7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basedOn w:val="7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basedOn w:val="7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basedOn w:val="7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basedOn w:val="7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1">
    <w:name w:val="footnote text"/>
    <w:basedOn w:val="763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73"/>
    <w:uiPriority w:val="99"/>
    <w:unhideWhenUsed/>
    <w:rPr>
      <w:vertAlign w:val="superscript"/>
    </w:rPr>
  </w:style>
  <w:style w:type="paragraph" w:styleId="924">
    <w:name w:val="endnote text"/>
    <w:basedOn w:val="763"/>
    <w:link w:val="925"/>
    <w:uiPriority w:val="99"/>
    <w:semiHidden/>
    <w:unhideWhenUsed/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73"/>
    <w:uiPriority w:val="99"/>
    <w:semiHidden/>
    <w:unhideWhenUsed/>
    <w:rPr>
      <w:vertAlign w:val="superscript"/>
    </w:rPr>
  </w:style>
  <w:style w:type="paragraph" w:styleId="927">
    <w:name w:val="toc 1"/>
    <w:basedOn w:val="763"/>
    <w:next w:val="763"/>
    <w:uiPriority w:val="39"/>
    <w:unhideWhenUsed/>
    <w:pPr>
      <w:spacing w:after="57"/>
    </w:pPr>
  </w:style>
  <w:style w:type="paragraph" w:styleId="928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29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0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1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2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3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34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35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63"/>
    <w:next w:val="763"/>
    <w:uiPriority w:val="99"/>
    <w:unhideWhenUsed/>
  </w:style>
  <w:style w:type="paragraph" w:styleId="938">
    <w:name w:val="Body Text"/>
    <w:basedOn w:val="763"/>
    <w:pPr>
      <w:jc w:val="both"/>
    </w:pPr>
    <w:rPr>
      <w:sz w:val="24"/>
      <w:szCs w:val="24"/>
    </w:rPr>
  </w:style>
  <w:style w:type="paragraph" w:styleId="939">
    <w:name w:val="Body Text Indent"/>
    <w:basedOn w:val="763"/>
    <w:link w:val="963"/>
    <w:uiPriority w:val="99"/>
    <w:pPr>
      <w:ind w:left="283"/>
      <w:spacing w:after="120"/>
    </w:pPr>
  </w:style>
  <w:style w:type="paragraph" w:styleId="940">
    <w:name w:val="Body Text 2"/>
    <w:basedOn w:val="76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63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6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65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763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763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7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763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763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76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763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773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763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Заголовок Знак"/>
    <w:basedOn w:val="773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76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2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2" w:customStyle="1">
    <w:name w:val="Сетка таблицы3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3" w:customStyle="1">
    <w:name w:val="Сетка таблицы4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4" w:customStyle="1">
    <w:name w:val="Сетка таблицы5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6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6" w:customStyle="1">
    <w:name w:val="Сетка таблицы7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6D9A4-62C1-4B78-86B3-AF67333A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21</cp:revision>
  <dcterms:created xsi:type="dcterms:W3CDTF">2026-05-28T08:40:00Z</dcterms:created>
  <dcterms:modified xsi:type="dcterms:W3CDTF">2026-09-15T11:52:36Z</dcterms:modified>
</cp:coreProperties>
</file>