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07.07.2026                                                                                                                       </w:t>
      </w:r>
      <w:r>
        <w:rPr>
          <w:b/>
          <w:sz w:val="24"/>
        </w:rPr>
        <w:t xml:space="preserve">№ 1269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widowControl w:val="off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widowControl w:val="off"/>
        <w:tabs>
          <w:tab w:val="left" w:pos="10200" w:leader="none"/>
        </w:tabs>
        <w:rPr>
          <w:b/>
          <w:color w:val="auto"/>
        </w:rPr>
        <w:outlineLvl w:val="0"/>
      </w:pPr>
      <w:r>
        <w:rPr>
          <w:b/>
          <w:color w:val="auto"/>
        </w:rPr>
        <w:t xml:space="preserve">Об утверждении </w:t>
      </w:r>
      <w:r>
        <w:rPr>
          <w:b/>
          <w:color w:val="auto"/>
        </w:rPr>
        <w:t xml:space="preserve">ведомственного </w:t>
      </w:r>
      <w:r>
        <w:rPr>
          <w:b/>
          <w:color w:val="auto"/>
        </w:rPr>
        <w:t xml:space="preserve">стандарта внутреннего муниципального финансового контроля </w:t>
      </w:r>
      <w:r>
        <w:rPr>
          <w:b/>
          <w:color w:val="auto"/>
        </w:rPr>
      </w:r>
      <w:r>
        <w:rPr>
          <w:b/>
          <w:color w:val="auto"/>
        </w:rPr>
      </w:r>
    </w:p>
    <w:p>
      <w:pPr>
        <w:jc w:val="center"/>
        <w:widowControl w:val="off"/>
        <w:tabs>
          <w:tab w:val="left" w:pos="10200" w:leader="none"/>
        </w:tabs>
        <w:rPr>
          <w:b/>
          <w:color w:val="auto"/>
        </w:rPr>
        <w:outlineLvl w:val="0"/>
      </w:pPr>
      <w:r>
        <w:rPr>
          <w:b/>
          <w:color w:val="auto"/>
        </w:rPr>
        <w:t xml:space="preserve">в администрации </w:t>
      </w:r>
      <w:r>
        <w:rPr>
          <w:b/>
          <w:color w:val="auto"/>
        </w:rPr>
        <w:t xml:space="preserve">Печенгского</w:t>
      </w:r>
      <w:r>
        <w:rPr>
          <w:b/>
          <w:color w:val="auto"/>
        </w:rPr>
        <w:t xml:space="preserve"> муниципального округа</w:t>
      </w:r>
      <w:r>
        <w:rPr>
          <w:b/>
          <w:color w:val="auto"/>
        </w:rPr>
      </w:r>
      <w:r>
        <w:rPr>
          <w:b/>
          <w:color w:val="auto"/>
        </w:rPr>
      </w:r>
    </w:p>
    <w:p>
      <w:pPr>
        <w:jc w:val="both"/>
        <w:widowControl w:val="off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ind w:firstLine="720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3 статьи 269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 Бюджетного кодекса Российской Федерации, федеральным стандартом внутреннего государственного (муниципального) финансового контроля «Планирование проверок, ревизий и обследований», утвержденным постановлением Правитель</w:t>
      </w:r>
      <w:r>
        <w:rPr>
          <w:sz w:val="24"/>
          <w:szCs w:val="24"/>
        </w:rPr>
        <w:t xml:space="preserve">ства Российской Федерации от 27.02.</w:t>
      </w:r>
      <w:r>
        <w:rPr>
          <w:sz w:val="24"/>
          <w:szCs w:val="24"/>
        </w:rPr>
        <w:t xml:space="preserve">2020 </w:t>
        <w:br/>
        <w:t xml:space="preserve">№ 208, федеральным стандартом внутреннего государственного (муниципального) финансового контроля «Проведение проверок, ревизий и обследований и оформление </w:t>
        <w:br/>
        <w:t xml:space="preserve">их результатов», утвержденным постановлением Правительства Российской Федерации </w:t>
        <w:br/>
        <w:t xml:space="preserve">от 17</w:t>
      </w:r>
      <w:r>
        <w:rPr>
          <w:sz w:val="24"/>
          <w:szCs w:val="24"/>
        </w:rPr>
        <w:t xml:space="preserve">.08.</w:t>
      </w:r>
      <w:r>
        <w:rPr>
          <w:sz w:val="24"/>
          <w:szCs w:val="24"/>
        </w:rPr>
        <w:t xml:space="preserve">2020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1235, федеральным стандартом внутреннего государственного (муниципального</w:t>
      </w:r>
      <w:r>
        <w:rPr>
          <w:sz w:val="24"/>
          <w:szCs w:val="24"/>
        </w:rPr>
        <w:t xml:space="preserve">) финансового контроля «Реализация результатов проверок, ревизий </w:t>
        <w:br/>
      </w:r>
      <w:r>
        <w:rPr>
          <w:sz w:val="24"/>
          <w:szCs w:val="24"/>
        </w:rPr>
        <w:t xml:space="preserve">и обследований», утвержденным постановлением Правительства Российской Федерации от 23</w:t>
      </w:r>
      <w:r>
        <w:rPr>
          <w:sz w:val="24"/>
          <w:szCs w:val="24"/>
        </w:rPr>
        <w:t xml:space="preserve">.07.2</w:t>
      </w:r>
      <w:r>
        <w:rPr>
          <w:sz w:val="24"/>
          <w:szCs w:val="24"/>
        </w:rPr>
        <w:t xml:space="preserve">020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1095, </w:t>
      </w:r>
      <w:r>
        <w:rPr>
          <w:sz w:val="24"/>
          <w:szCs w:val="24"/>
        </w:rPr>
        <w:t xml:space="preserve">федеральным стандартом внутреннего государственного (муниципального) финансового контроля «Правила составления отчетности о результатах контрольной деятельности», утвержденным постановлением Правительства Российской Федерации от 16</w:t>
      </w:r>
      <w:r>
        <w:rPr>
          <w:sz w:val="24"/>
          <w:szCs w:val="24"/>
        </w:rPr>
        <w:t xml:space="preserve">.09.2020</w:t>
      </w:r>
      <w:r>
        <w:rPr>
          <w:sz w:val="24"/>
          <w:szCs w:val="24"/>
        </w:rPr>
        <w:t xml:space="preserve"> № 1478,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tabs>
          <w:tab w:val="left" w:pos="720" w:leader="none"/>
        </w:tabs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widowControl w:val="off"/>
        <w:tabs>
          <w:tab w:val="left" w:pos="10200" w:leader="none"/>
        </w:tabs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widowControl w:val="off"/>
        <w:tabs>
          <w:tab w:val="left" w:pos="10200" w:leader="none"/>
        </w:tabs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Утвердить </w:t>
      </w:r>
      <w:r>
        <w:rPr>
          <w:color w:val="auto"/>
          <w:sz w:val="24"/>
          <w:szCs w:val="24"/>
        </w:rPr>
        <w:t xml:space="preserve">ведомственный </w:t>
      </w:r>
      <w:r>
        <w:rPr>
          <w:color w:val="auto"/>
          <w:sz w:val="24"/>
          <w:szCs w:val="24"/>
        </w:rPr>
        <w:t xml:space="preserve">стандарт внутреннего муниципального финансового контроля</w:t>
      </w:r>
      <w:r>
        <w:rPr>
          <w:color w:val="auto"/>
          <w:sz w:val="24"/>
          <w:szCs w:val="24"/>
        </w:rPr>
        <w:t xml:space="preserve"> в администрации </w:t>
      </w:r>
      <w:r>
        <w:rPr>
          <w:color w:val="auto"/>
          <w:sz w:val="24"/>
          <w:szCs w:val="24"/>
        </w:rPr>
        <w:t xml:space="preserve">Пе</w:t>
      </w:r>
      <w:r>
        <w:rPr>
          <w:color w:val="auto"/>
          <w:sz w:val="24"/>
          <w:szCs w:val="24"/>
        </w:rPr>
        <w:t xml:space="preserve">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  <w:t xml:space="preserve">согласно приложению.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 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 </w:t>
      </w:r>
      <w:r>
        <w:rPr>
          <w:color w:val="auto"/>
          <w:sz w:val="24"/>
          <w:szCs w:val="24"/>
        </w:rPr>
        <w:t xml:space="preserve">Настоящее постановление подлежит размещению на </w:t>
      </w:r>
      <w:r>
        <w:rPr>
          <w:color w:val="auto"/>
          <w:sz w:val="24"/>
          <w:szCs w:val="24"/>
        </w:rPr>
        <w:t xml:space="preserve">официальном </w:t>
      </w:r>
      <w:r>
        <w:rPr>
          <w:color w:val="auto"/>
          <w:sz w:val="24"/>
          <w:szCs w:val="24"/>
        </w:rPr>
        <w:t xml:space="preserve">сайте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hyperlink r:id="rId10" w:tooltip="http://pechengamr.gov-murman.ru/" w:history="1">
        <w:r>
          <w:rPr>
            <w:rStyle w:val="943"/>
            <w:sz w:val="24"/>
            <w:szCs w:val="24"/>
          </w:rPr>
          <w:t xml:space="preserve">http://pechengamr.gov-murman.ru/</w:t>
        </w:r>
      </w:hyperlink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. Контроль исполнения настоящего постановления оставляю за собой.</w:t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</w:t>
      </w:r>
      <w:r>
        <w:rPr>
          <w:sz w:val="24"/>
          <w:szCs w:val="24"/>
        </w:rPr>
        <w:tab/>
        <w:t xml:space="preserve">                                              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Шкарина</w:t>
      </w:r>
      <w:r>
        <w:rPr>
          <w:sz w:val="16"/>
          <w:szCs w:val="16"/>
        </w:rPr>
        <w:t xml:space="preserve"> Ю</w:t>
      </w:r>
      <w:r>
        <w:rPr>
          <w:sz w:val="16"/>
          <w:szCs w:val="16"/>
        </w:rPr>
        <w:t xml:space="preserve">.В. 5-04-25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Style w:val="948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069"/>
        <w:gridCol w:w="4502"/>
      </w:tblGrid>
      <w:tr>
        <w:tblPrEx/>
        <w:trPr/>
        <w:tc>
          <w:tcPr>
            <w:tcW w:w="5069" w:type="dxa"/>
            <w:textDirection w:val="lrTb"/>
            <w:noWrap w:val="false"/>
          </w:tcPr>
          <w:p>
            <w:pPr>
              <w:jc w:val="center"/>
              <w:rPr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502" w:type="dxa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 xml:space="preserve">Приложение</w:t>
            </w:r>
            <w:r>
              <w:rPr>
                <w:color w:val="auto"/>
                <w:sz w:val="24"/>
                <w:szCs w:val="24"/>
                <w:lang w:eastAsia="en-US"/>
              </w:rPr>
            </w:r>
            <w:r>
              <w:rPr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 xml:space="preserve"> к постановлению администрации 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муниципального округа </w:t>
            </w:r>
            <w:r>
              <w:rPr>
                <w:color w:val="auto"/>
                <w:sz w:val="24"/>
                <w:szCs w:val="24"/>
                <w:lang w:eastAsia="en-US"/>
              </w:rPr>
            </w:r>
            <w:r>
              <w:rPr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 xml:space="preserve">от « 07.07.2026» № 1269</w:t>
            </w:r>
            <w:r>
              <w:rPr>
                <w:color w:val="auto"/>
                <w:sz w:val="24"/>
                <w:szCs w:val="24"/>
                <w:lang w:eastAsia="en-US"/>
              </w:rPr>
            </w:r>
            <w:r>
              <w:rPr>
                <w:color w:val="auto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center"/>
        <w:widowControl w:val="off"/>
        <w:rPr>
          <w:b/>
          <w:color w:val="auto"/>
          <w:sz w:val="24"/>
          <w:szCs w:val="24"/>
          <w:lang w:eastAsia="en-US"/>
        </w:rPr>
      </w:pP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jc w:val="center"/>
        <w:widowControl w:val="off"/>
        <w:rPr>
          <w:b/>
          <w:color w:val="auto"/>
          <w:sz w:val="24"/>
          <w:szCs w:val="24"/>
          <w:lang w:eastAsia="en-US"/>
        </w:rPr>
      </w:pPr>
      <w:r>
        <w:rPr>
          <w:b/>
          <w:color w:val="auto"/>
          <w:sz w:val="24"/>
          <w:szCs w:val="24"/>
          <w:lang w:eastAsia="en-US"/>
        </w:rPr>
        <w:t xml:space="preserve">Ведомственный стандарт внутреннего муниципального финансового контроля </w:t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jc w:val="center"/>
        <w:widowControl w:val="off"/>
        <w:rPr>
          <w:b/>
          <w:color w:val="auto"/>
          <w:sz w:val="24"/>
          <w:szCs w:val="24"/>
          <w:lang w:eastAsia="en-US"/>
        </w:rPr>
      </w:pPr>
      <w:r>
        <w:rPr>
          <w:b/>
          <w:color w:val="auto"/>
          <w:sz w:val="24"/>
          <w:szCs w:val="24"/>
          <w:lang w:eastAsia="en-US"/>
        </w:rPr>
        <w:t xml:space="preserve">в администрации </w:t>
      </w:r>
      <w:r>
        <w:rPr>
          <w:b/>
          <w:color w:val="auto"/>
          <w:sz w:val="24"/>
          <w:szCs w:val="24"/>
          <w:lang w:eastAsia="en-US"/>
        </w:rPr>
        <w:t xml:space="preserve">Печенгского</w:t>
      </w:r>
      <w:r>
        <w:rPr>
          <w:b/>
          <w:color w:val="auto"/>
          <w:sz w:val="24"/>
          <w:szCs w:val="24"/>
          <w:lang w:eastAsia="en-US"/>
        </w:rPr>
        <w:t xml:space="preserve"> муниципального округа </w:t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ind w:firstLine="709"/>
        <w:jc w:val="center"/>
        <w:widowControl w:val="off"/>
        <w:rPr>
          <w:b/>
          <w:color w:val="auto"/>
          <w:sz w:val="24"/>
          <w:szCs w:val="24"/>
          <w:lang w:eastAsia="en-US"/>
        </w:rPr>
      </w:pP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numPr>
          <w:ilvl w:val="0"/>
          <w:numId w:val="2"/>
        </w:numPr>
        <w:ind w:firstLine="709"/>
        <w:jc w:val="center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b/>
          <w:bCs/>
          <w:color w:val="auto"/>
          <w:sz w:val="24"/>
          <w:szCs w:val="24"/>
          <w:lang w:eastAsia="en-US"/>
        </w:rPr>
        <w:outlineLvl w:val="1"/>
      </w:pPr>
      <w:r/>
      <w:bookmarkStart w:id="0" w:name="bookmark3"/>
      <w:r>
        <w:rPr>
          <w:b/>
          <w:bCs/>
          <w:color w:val="auto"/>
          <w:sz w:val="24"/>
          <w:szCs w:val="24"/>
          <w:lang w:eastAsia="en-US"/>
        </w:rPr>
        <w:t xml:space="preserve">Общие положения</w:t>
      </w:r>
      <w:bookmarkEnd w:id="0"/>
      <w:r>
        <w:rPr>
          <w:b/>
          <w:bCs/>
          <w:color w:val="auto"/>
          <w:sz w:val="24"/>
          <w:szCs w:val="24"/>
          <w:lang w:eastAsia="en-US"/>
        </w:rPr>
      </w:r>
      <w:r>
        <w:rPr>
          <w:b/>
          <w:bCs/>
          <w:color w:val="auto"/>
          <w:sz w:val="24"/>
          <w:szCs w:val="24"/>
          <w:lang w:eastAsia="en-US"/>
        </w:rPr>
      </w:r>
    </w:p>
    <w:p>
      <w:pPr>
        <w:ind w:firstLine="709"/>
        <w:jc w:val="both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1.1. Ведомственный стандарт внутреннего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финансового контроля</w:t>
      </w:r>
      <w:r>
        <w:rPr>
          <w:sz w:val="24"/>
          <w:szCs w:val="24"/>
        </w:rPr>
        <w:t xml:space="preserve"> в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(далее - ведомственный стандарт) разработан в соответствии с пунктом 3 статьи 269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 Бюджетного кодекса Российской Федерации и федеральными стандартами: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«Планирование проверок, ревизий и обследований», утвержденным постановлением Правительства Российской Федерации от 27</w:t>
      </w:r>
      <w:r>
        <w:rPr>
          <w:sz w:val="24"/>
          <w:szCs w:val="24"/>
        </w:rPr>
        <w:t xml:space="preserve">.02.</w:t>
      </w:r>
      <w:r>
        <w:rPr>
          <w:sz w:val="24"/>
          <w:szCs w:val="24"/>
        </w:rPr>
        <w:t xml:space="preserve">2020 № 208 (далее - федеральный стандарт «Планирование проверок»);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«Проведение проверок, ревизий и обследований и оформление их результатов», утвержденным постановлением Правительства Российской Федерации от 17</w:t>
      </w:r>
      <w:r>
        <w:rPr>
          <w:sz w:val="24"/>
          <w:szCs w:val="24"/>
        </w:rPr>
        <w:t xml:space="preserve">.08.</w:t>
      </w:r>
      <w:r>
        <w:rPr>
          <w:sz w:val="24"/>
          <w:szCs w:val="24"/>
        </w:rPr>
        <w:t xml:space="preserve">2020 № 1235 (далее - федеральный стандарт «Проведение проверок, ревизий и обследований»);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«Реализация результатов проверок, ревизий и обследований», утвержденным постановлением Правительства Российской Федерации от 23</w:t>
      </w:r>
      <w:r>
        <w:rPr>
          <w:sz w:val="24"/>
          <w:szCs w:val="24"/>
        </w:rPr>
        <w:t xml:space="preserve">.07.</w:t>
      </w:r>
      <w:r>
        <w:rPr>
          <w:sz w:val="24"/>
          <w:szCs w:val="24"/>
        </w:rPr>
        <w:t xml:space="preserve">2020 № 1095 (далее - федеральный стандарт «Реализация результатов проверок, ревизий и обследований»);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«Правила составления отчетности о результатах контрольной деятельности», утвержденным постановлением Правительства Российской Федерации от 16</w:t>
      </w:r>
      <w:r>
        <w:rPr>
          <w:sz w:val="24"/>
          <w:szCs w:val="24"/>
        </w:rPr>
        <w:t xml:space="preserve">.09.</w:t>
      </w:r>
      <w:r>
        <w:rPr>
          <w:sz w:val="24"/>
          <w:szCs w:val="24"/>
        </w:rPr>
        <w:t xml:space="preserve">2020 г. № 1478 (далее – федеральный стандарт «Правила составления отчетности о результатах контрольной деятельности»).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Настоящий ведомственный стандарт регламентирует деятельность должностных лиц </w:t>
      </w:r>
      <w:r>
        <w:rPr>
          <w:sz w:val="24"/>
          <w:szCs w:val="24"/>
        </w:rPr>
        <w:t xml:space="preserve">контрольно - ревизионного отдела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(далее –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онтрольный орган) </w:t>
      </w:r>
      <w:r>
        <w:rPr>
          <w:sz w:val="24"/>
          <w:szCs w:val="24"/>
        </w:rPr>
        <w:t xml:space="preserve">пр</w:t>
      </w:r>
      <w:r>
        <w:rPr>
          <w:sz w:val="24"/>
          <w:szCs w:val="24"/>
        </w:rPr>
        <w:t xml:space="preserve">и осуществлении ими полномочий по внутреннему </w:t>
      </w:r>
      <w:r>
        <w:rPr>
          <w:sz w:val="24"/>
          <w:szCs w:val="24"/>
        </w:rPr>
        <w:t xml:space="preserve">муниципальному </w:t>
      </w:r>
      <w:r>
        <w:rPr>
          <w:sz w:val="24"/>
          <w:szCs w:val="24"/>
        </w:rPr>
        <w:t xml:space="preserve">финансовому контролю (далее - контрольная деятельность) в отношении объектов государственного финансового контроля согласно статье 266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 Бюджетного кодекса Российской Федерации и в случаях, предусмотренных федеральными стандартами внутреннего государственного финансового контроля, и определяет следующие порядки: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планирования проверок, ревизий и обследований;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проведения проверок, ревизий и обследований и оформления их результатов;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keepLines/>
        <w:keepNext/>
        <w:widowControl w:val="off"/>
        <w:tabs>
          <w:tab w:val="left" w:pos="993" w:leader="none"/>
          <w:tab w:val="left" w:pos="2977" w:leader="none"/>
          <w:tab w:val="left" w:pos="3119" w:leader="none"/>
          <w:tab w:val="left" w:pos="3402" w:leader="none"/>
          <w:tab w:val="left" w:pos="3544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реализации результатов проведения пр</w:t>
      </w:r>
      <w:r>
        <w:rPr>
          <w:sz w:val="24"/>
          <w:szCs w:val="24"/>
        </w:rPr>
        <w:t xml:space="preserve">оверок, ревизий и обследований.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Lines/>
        <w:keepNext/>
        <w:widowControl w:val="off"/>
        <w:tabs>
          <w:tab w:val="left" w:pos="4154" w:leader="none"/>
        </w:tabs>
        <w:rPr>
          <w:b/>
          <w:bCs/>
          <w:color w:val="auto"/>
          <w:sz w:val="24"/>
          <w:szCs w:val="24"/>
          <w:lang w:eastAsia="en-US"/>
        </w:rPr>
        <w:outlineLvl w:val="1"/>
      </w:pPr>
      <w:r>
        <w:rPr>
          <w:b/>
          <w:bCs/>
          <w:color w:val="auto"/>
          <w:sz w:val="24"/>
          <w:szCs w:val="24"/>
          <w:lang w:eastAsia="en-US"/>
        </w:rPr>
      </w:r>
      <w:r>
        <w:rPr>
          <w:b/>
          <w:bCs/>
          <w:color w:val="auto"/>
          <w:sz w:val="24"/>
          <w:szCs w:val="24"/>
          <w:lang w:eastAsia="en-US"/>
        </w:rPr>
      </w:r>
      <w:r>
        <w:rPr>
          <w:b/>
          <w:bCs/>
          <w:color w:val="auto"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125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Порядок планирования проверок, ревизии и обследований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2.1. </w:t>
      </w:r>
      <w:r>
        <w:rPr>
          <w:sz w:val="24"/>
          <w:szCs w:val="24"/>
        </w:rPr>
        <w:t xml:space="preserve">Контрольный орган</w:t>
      </w:r>
      <w:r>
        <w:rPr>
          <w:sz w:val="24"/>
          <w:szCs w:val="24"/>
        </w:rPr>
        <w:t xml:space="preserve"> осуществляет планирование проверок, ревизий и обследований в соответствии с федеральным стандартом «Планирование проверок» с учетом положений настоящего ведомственного стандарта.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>
        <w:rPr>
          <w:sz w:val="24"/>
          <w:szCs w:val="24"/>
        </w:rPr>
        <w:t xml:space="preserve">В соответствии с пунктом 2 федерального стандарта «Планирование проверок»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онтрольный орган</w:t>
      </w:r>
      <w:r>
        <w:rPr>
          <w:sz w:val="24"/>
          <w:szCs w:val="24"/>
        </w:rPr>
        <w:t xml:space="preserve"> на очередной финансовый год формирует План контрольных мероприятий </w:t>
      </w:r>
      <w:r>
        <w:rPr>
          <w:sz w:val="24"/>
          <w:szCs w:val="24"/>
        </w:rPr>
        <w:t xml:space="preserve">в рамках внутреннего муниципального финансового контроля </w:t>
      </w:r>
      <w:r>
        <w:rPr>
          <w:sz w:val="24"/>
          <w:szCs w:val="24"/>
        </w:rPr>
        <w:t xml:space="preserve">по форме 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к настоящему ведомственному стандарту 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План контрольных мероприятий), который утверждается </w:t>
      </w:r>
      <w:r>
        <w:rPr>
          <w:sz w:val="24"/>
          <w:szCs w:val="24"/>
        </w:rPr>
        <w:t xml:space="preserve">распоряжением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до </w:t>
      </w:r>
      <w:r>
        <w:rPr>
          <w:sz w:val="24"/>
          <w:szCs w:val="24"/>
        </w:rPr>
        <w:t xml:space="preserve">завершения года, предшествующего планируемому году.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 Выбор объектов контроля для включения в План контрольных мероприятий осуществляется с учетом периодичности проведения контрольного мероприятия в </w:t>
      </w:r>
      <w:r>
        <w:rPr>
          <w:sz w:val="24"/>
          <w:szCs w:val="24"/>
        </w:rPr>
        <w:t xml:space="preserve">отношении одного объекта по одной теме – не реже 1 раза в год, за ис</w:t>
      </w:r>
      <w:r>
        <w:rPr>
          <w:sz w:val="24"/>
          <w:szCs w:val="24"/>
        </w:rPr>
        <w:t xml:space="preserve">ключением случаев поступления в контрольный орган </w:t>
      </w:r>
      <w:r>
        <w:rPr>
          <w:sz w:val="24"/>
          <w:szCs w:val="24"/>
        </w:rPr>
        <w:t xml:space="preserve">информации, подтверждающей наличие нарушений в деятельности объекта контроля.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b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В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лан контрольных мероприятий могут вноситься изменения. Предложения по внесению изменений в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лан контрольных мероприятий готовятся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онтрольным органом </w:t>
      </w:r>
      <w:r>
        <w:rPr>
          <w:sz w:val="24"/>
          <w:szCs w:val="24"/>
        </w:rPr>
        <w:t xml:space="preserve">в виде служебной записки на имя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или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лиц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исполняюще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обязанности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на время его отсутствия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ind w:left="709"/>
        <w:jc w:val="center"/>
        <w:widowControl w:val="off"/>
        <w:tabs>
          <w:tab w:val="left" w:pos="1259" w:leader="none"/>
        </w:tabs>
        <w:rPr>
          <w:b/>
          <w:color w:val="auto"/>
          <w:sz w:val="24"/>
          <w:szCs w:val="24"/>
          <w:lang w:eastAsia="en-US"/>
        </w:rPr>
      </w:pP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ind w:firstLine="709"/>
        <w:jc w:val="center"/>
        <w:widowControl w:val="off"/>
        <w:tabs>
          <w:tab w:val="left" w:pos="125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Порядок проведения проверок, ревизии и обследований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widowControl w:val="off"/>
        <w:tabs>
          <w:tab w:val="left" w:pos="125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 оформление их результатов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widowControl w:val="off"/>
        <w:tabs>
          <w:tab w:val="left" w:pos="125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>
        <w:rPr>
          <w:sz w:val="24"/>
          <w:szCs w:val="24"/>
        </w:rPr>
        <w:t xml:space="preserve">Контрольный орган </w:t>
      </w:r>
      <w:r>
        <w:rPr>
          <w:sz w:val="24"/>
          <w:szCs w:val="24"/>
        </w:rPr>
        <w:t xml:space="preserve">осуществляет проведение проверок, ревизий, обследований и оформление их результатов в соответствии с федеральным стандартом «Проведение проверок, ревизий и обследований» с учетом положений настоящего ведомственного стандарта.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Решение о назначении контрольного мероприятия принимается </w:t>
      </w:r>
      <w:r>
        <w:rPr>
          <w:sz w:val="24"/>
          <w:szCs w:val="24"/>
        </w:rPr>
        <w:t xml:space="preserve">руководителем органа контроля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лавой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или </w:t>
      </w:r>
      <w:r>
        <w:rPr>
          <w:sz w:val="24"/>
          <w:szCs w:val="24"/>
        </w:rPr>
        <w:t xml:space="preserve">лицо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исполняющ</w:t>
      </w:r>
      <w:r>
        <w:rPr>
          <w:sz w:val="24"/>
          <w:szCs w:val="24"/>
        </w:rPr>
        <w:t xml:space="preserve">им</w:t>
      </w:r>
      <w:r>
        <w:rPr>
          <w:sz w:val="24"/>
          <w:szCs w:val="24"/>
        </w:rPr>
        <w:t xml:space="preserve"> обязанности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на время его отсутствия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на основании п</w:t>
      </w:r>
      <w:r>
        <w:rPr>
          <w:sz w:val="24"/>
          <w:szCs w:val="24"/>
        </w:rPr>
        <w:t xml:space="preserve">лана контрольных мероприятий и оформляется распоряжением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Во исполнение пункта 8 федерального стандарта «Проведение проверок, ревизий и обследований» в хо</w:t>
      </w:r>
      <w:r>
        <w:rPr>
          <w:sz w:val="24"/>
          <w:szCs w:val="24"/>
        </w:rPr>
        <w:t xml:space="preserve">де подготовки и проведения контрольного мероприятия могут направляться запросы о представлении информации, документов, материалов и объяснений, доступа к информационным системам, необходимых для проведения контрольного мероприятия, объекту контроля по форм</w:t>
      </w:r>
      <w:r>
        <w:rPr>
          <w:sz w:val="24"/>
          <w:szCs w:val="24"/>
        </w:rPr>
        <w:t xml:space="preserve">ам</w:t>
      </w:r>
      <w:r>
        <w:rPr>
          <w:sz w:val="24"/>
          <w:szCs w:val="24"/>
        </w:rPr>
        <w:t xml:space="preserve"> согласно приложени</w:t>
      </w:r>
      <w:r>
        <w:rPr>
          <w:sz w:val="24"/>
          <w:szCs w:val="24"/>
        </w:rPr>
        <w:t xml:space="preserve">ям</w:t>
      </w:r>
      <w:r>
        <w:rPr>
          <w:sz w:val="24"/>
          <w:szCs w:val="24"/>
        </w:rPr>
        <w:t xml:space="preserve"> №№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,3,4</w:t>
      </w:r>
      <w:r>
        <w:rPr>
          <w:sz w:val="24"/>
          <w:szCs w:val="24"/>
        </w:rPr>
        <w:t xml:space="preserve"> к настоящему ведомственному стандарту.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После проведения всех контрольных действий, руководитель контрольного мероприятия подготавливает и подписывает справку о завершении контрольных действий, и направляет ее объекту контроля в порядке, предусмотренном пунктом 9 </w:t>
      </w:r>
      <w:r>
        <w:rPr>
          <w:sz w:val="24"/>
          <w:szCs w:val="24"/>
        </w:rPr>
        <w:t xml:space="preserve">федерального с</w:t>
      </w:r>
      <w:r>
        <w:rPr>
          <w:sz w:val="24"/>
          <w:szCs w:val="24"/>
        </w:rPr>
        <w:t xml:space="preserve">тандарта «Проведение проверок, ревизий и обследований»,  согласно приложению №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к настоящему </w:t>
      </w:r>
      <w:r>
        <w:rPr>
          <w:sz w:val="24"/>
          <w:szCs w:val="24"/>
        </w:rPr>
        <w:t xml:space="preserve">ведомственному стандарту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По итогам проведения контрольного мероприятия акт, заключение составляются в одном экземпляре и подписываются руководителем</w:t>
      </w:r>
      <w:r>
        <w:rPr>
          <w:sz w:val="24"/>
          <w:szCs w:val="24"/>
        </w:rPr>
        <w:t xml:space="preserve"> проверочной (ревизионной)</w:t>
      </w:r>
      <w:r>
        <w:rPr>
          <w:sz w:val="24"/>
          <w:szCs w:val="24"/>
        </w:rPr>
        <w:t xml:space="preserve"> группы</w:t>
      </w:r>
      <w:r>
        <w:rPr>
          <w:sz w:val="24"/>
          <w:szCs w:val="24"/>
        </w:rPr>
        <w:t xml:space="preserve">, копия акта (заключения)  вручается руководителю объекта контроля, его уполномоченному представителю.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Акт, заключение могут дополняться приложениями в виде информации о выявленных нарушениях по результатам контрольного мероприятия.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5.10. Оформление результатов контрольного ме</w:t>
      </w:r>
      <w:r>
        <w:rPr>
          <w:sz w:val="24"/>
          <w:szCs w:val="24"/>
        </w:rPr>
        <w:t xml:space="preserve">роприятия осуществляется по формам документов, утвержденных  приказом Министерства финансов Российской Федерации от 30.12.2020 № 340н «Об утверждении форм документов, оформляемых органами внутреннего государственного (муниципального) финансового контроля».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09"/>
        <w:jc w:val="center"/>
        <w:widowControl w:val="off"/>
        <w:tabs>
          <w:tab w:val="left" w:pos="1259" w:leader="none"/>
        </w:tabs>
        <w:rPr>
          <w:b/>
          <w:color w:val="auto"/>
          <w:sz w:val="24"/>
          <w:szCs w:val="24"/>
          <w:lang w:eastAsia="en-US"/>
        </w:rPr>
      </w:pP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ind w:left="709"/>
        <w:jc w:val="center"/>
        <w:widowControl w:val="off"/>
        <w:tabs>
          <w:tab w:val="left" w:pos="125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Реализация результатов проверок, ревизии и обследований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709"/>
        <w:jc w:val="center"/>
        <w:widowControl w:val="off"/>
        <w:tabs>
          <w:tab w:val="left" w:pos="125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>
        <w:rPr>
          <w:sz w:val="24"/>
          <w:szCs w:val="24"/>
        </w:rPr>
        <w:t xml:space="preserve">Контрольный орган</w:t>
      </w:r>
      <w:r>
        <w:rPr>
          <w:sz w:val="24"/>
          <w:szCs w:val="24"/>
        </w:rPr>
        <w:t xml:space="preserve"> осуществляет реализацию результатов проверок, ревизий и обследований в соответствии с федеральным стандартом «Реализация результатов проверок, ревизий и обследований» с учетом положений настоящего ведомственного стандарта.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Рассмотрение акта, заключения и иных материалов контрольного мероприятия осуществляется в следующем порядке: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1) руководитель контрольного мероприятия направляет на рассмотрение </w:t>
      </w:r>
      <w:r>
        <w:rPr>
          <w:sz w:val="24"/>
          <w:szCs w:val="24"/>
        </w:rPr>
        <w:t xml:space="preserve">руководителю органа контроля -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или </w:t>
      </w:r>
      <w:r>
        <w:rPr>
          <w:sz w:val="24"/>
          <w:szCs w:val="24"/>
        </w:rPr>
        <w:t xml:space="preserve">л</w:t>
      </w:r>
      <w:r>
        <w:rPr>
          <w:sz w:val="24"/>
          <w:szCs w:val="24"/>
        </w:rPr>
        <w:t xml:space="preserve">иц</w:t>
      </w:r>
      <w:r>
        <w:rPr>
          <w:sz w:val="24"/>
          <w:szCs w:val="24"/>
        </w:rPr>
        <w:t xml:space="preserve">у,</w:t>
      </w:r>
      <w:r>
        <w:rPr>
          <w:sz w:val="24"/>
          <w:szCs w:val="24"/>
        </w:rPr>
        <w:t xml:space="preserve"> исполняюще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 обязанности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на время его отсутствия,  служебную записку с приложением акта, заключения и иных материалов контрольного мероприятия;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2) документы и материалы, подлежат рассмотрению </w:t>
      </w:r>
      <w:r>
        <w:rPr>
          <w:sz w:val="24"/>
          <w:szCs w:val="24"/>
        </w:rPr>
        <w:t xml:space="preserve">руководителем органа контроля -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лавой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или</w:t>
      </w:r>
      <w:r>
        <w:rPr>
          <w:sz w:val="24"/>
          <w:szCs w:val="24"/>
        </w:rPr>
        <w:t xml:space="preserve"> лицом, исполняющим обязанности Г</w:t>
      </w:r>
      <w:r>
        <w:rPr>
          <w:sz w:val="24"/>
          <w:szCs w:val="24"/>
        </w:rPr>
        <w:t xml:space="preserve">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на время его отсутствия, в срок не более 50 рабочих дней со дня подписания акта, заключения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в ходе которого может привлекаться руководитель (уполномоченный представитель) объекта контроля, в том числе для рассмотрения поступивших в соответствии с</w:t>
      </w:r>
      <w:r>
        <w:rPr>
          <w:sz w:val="24"/>
          <w:szCs w:val="24"/>
        </w:rPr>
        <w:t xml:space="preserve"> федеральным</w:t>
      </w:r>
      <w:r>
        <w:rPr>
          <w:sz w:val="24"/>
          <w:szCs w:val="24"/>
        </w:rPr>
        <w:t xml:space="preserve"> стандартом  «Проведение проверок</w:t>
      </w:r>
      <w:r>
        <w:rPr>
          <w:sz w:val="24"/>
          <w:szCs w:val="24"/>
        </w:rPr>
        <w:t xml:space="preserve">, ревизий и обследований и оформление их результатов» письменных замечаний (возражений, пояснений) объекта контроля на акт, заключение;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z w:val="24"/>
          <w:szCs w:val="24"/>
        </w:rPr>
        <w:t xml:space="preserve">руководител</w:t>
      </w:r>
      <w:r>
        <w:rPr>
          <w:sz w:val="24"/>
          <w:szCs w:val="24"/>
        </w:rPr>
        <w:t xml:space="preserve">ь</w:t>
      </w:r>
      <w:r>
        <w:rPr>
          <w:sz w:val="24"/>
          <w:szCs w:val="24"/>
        </w:rPr>
        <w:t xml:space="preserve"> органа контроля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или</w:t>
      </w:r>
      <w:r>
        <w:rPr>
          <w:sz w:val="24"/>
          <w:szCs w:val="24"/>
        </w:rPr>
        <w:t xml:space="preserve"> лицо, исполняющее обязанности Г</w:t>
      </w:r>
      <w:r>
        <w:rPr>
          <w:sz w:val="24"/>
          <w:szCs w:val="24"/>
        </w:rPr>
        <w:t xml:space="preserve">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на время его отсутствия, по резуль</w:t>
      </w:r>
      <w:r>
        <w:rPr>
          <w:sz w:val="24"/>
          <w:szCs w:val="24"/>
        </w:rPr>
        <w:t xml:space="preserve">татам рассмотрения акта, заключения и иных материалов контрольного мероприятия принимает решение в соответствии с пунктом 4 федерального стандарта «Реализация результатов контрольного мероприятия», которое оформляется в виде резолюции на служебной записке.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tabs>
          <w:tab w:val="left" w:pos="1259" w:leader="none"/>
        </w:tabs>
        <w:rPr>
          <w:b/>
          <w:color w:val="auto"/>
          <w:sz w:val="24"/>
          <w:szCs w:val="24"/>
          <w:lang w:eastAsia="en-US"/>
        </w:rPr>
      </w:pPr>
      <w:r>
        <w:rPr>
          <w:b/>
          <w:color w:val="auto"/>
          <w:sz w:val="24"/>
          <w:szCs w:val="24"/>
          <w:lang w:eastAsia="en-US"/>
        </w:rPr>
        <w:t xml:space="preserve">5. Правила составления отчетности о результатах</w:t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1259" w:leader="none"/>
        </w:tabs>
        <w:rPr>
          <w:b/>
          <w:color w:val="auto"/>
          <w:sz w:val="24"/>
          <w:szCs w:val="24"/>
          <w:lang w:eastAsia="en-US"/>
        </w:rPr>
      </w:pPr>
      <w:r>
        <w:rPr>
          <w:b/>
          <w:color w:val="auto"/>
          <w:sz w:val="24"/>
          <w:szCs w:val="24"/>
          <w:lang w:eastAsia="en-US"/>
        </w:rPr>
        <w:t xml:space="preserve">контрольной деятельности</w:t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1259" w:leader="none"/>
        </w:tabs>
        <w:rPr>
          <w:b/>
          <w:color w:val="auto"/>
          <w:sz w:val="24"/>
          <w:szCs w:val="24"/>
          <w:lang w:eastAsia="en-US"/>
        </w:rPr>
      </w:pP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  <w:r>
        <w:rPr>
          <w:b/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5.1. </w:t>
      </w:r>
      <w:r>
        <w:rPr>
          <w:color w:val="auto"/>
          <w:sz w:val="24"/>
          <w:szCs w:val="24"/>
          <w:lang w:eastAsia="en-US"/>
        </w:rPr>
        <w:t xml:space="preserve">Контрольный орган </w:t>
      </w:r>
      <w:r>
        <w:rPr>
          <w:color w:val="auto"/>
          <w:sz w:val="24"/>
          <w:szCs w:val="24"/>
          <w:lang w:eastAsia="en-US"/>
        </w:rPr>
        <w:t xml:space="preserve">осуществляет составление отчетности о результатах контрольной деятельности в соответствии с федеральным стандартом «Правила составления отчетности о результатах контрольной деятельности» с учетом положений настоящего ведомственного стандарта. 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5.2. </w:t>
      </w:r>
      <w:r>
        <w:rPr>
          <w:color w:val="auto"/>
          <w:sz w:val="24"/>
          <w:szCs w:val="24"/>
          <w:lang w:eastAsia="en-US"/>
        </w:rPr>
        <w:t xml:space="preserve">Отчет подлежит размещению на официальном сайте </w:t>
      </w:r>
      <w:r>
        <w:rPr>
          <w:color w:val="auto"/>
          <w:sz w:val="24"/>
          <w:szCs w:val="24"/>
          <w:lang w:eastAsia="en-US"/>
        </w:rPr>
        <w:t xml:space="preserve">Печенгского</w:t>
      </w:r>
      <w:r>
        <w:rPr>
          <w:color w:val="auto"/>
          <w:sz w:val="24"/>
          <w:szCs w:val="24"/>
          <w:lang w:eastAsia="en-US"/>
        </w:rPr>
        <w:t xml:space="preserve"> муниципального округа </w:t>
      </w:r>
      <w:hyperlink r:id="rId11" w:tooltip="http://pechengamr.gov-murman.ru" w:history="1">
        <w:r>
          <w:rPr>
            <w:rStyle w:val="943"/>
            <w:sz w:val="24"/>
            <w:szCs w:val="24"/>
            <w:lang w:eastAsia="en-US"/>
          </w:rPr>
          <w:t xml:space="preserve">http://pechengamr.gov-murman.ru</w:t>
        </w:r>
      </w:hyperlink>
      <w:r>
        <w:rPr>
          <w:color w:val="auto"/>
          <w:sz w:val="24"/>
          <w:szCs w:val="24"/>
          <w:lang w:eastAsia="en-US"/>
        </w:rPr>
        <w:t xml:space="preserve"> в сети «Интернет» не позднее 1 апреля года, следующего </w:t>
      </w:r>
      <w:r>
        <w:rPr>
          <w:color w:val="auto"/>
          <w:sz w:val="24"/>
          <w:szCs w:val="24"/>
          <w:lang w:eastAsia="en-US"/>
        </w:rPr>
        <w:t xml:space="preserve">за</w:t>
      </w:r>
      <w:r>
        <w:rPr>
          <w:color w:val="auto"/>
          <w:sz w:val="24"/>
          <w:szCs w:val="24"/>
          <w:lang w:eastAsia="en-US"/>
        </w:rPr>
        <w:t xml:space="preserve"> отчетным.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tbl>
      <w:tblPr>
        <w:tblW w:w="0" w:type="auto"/>
        <w:tblInd w:w="4786" w:type="dxa"/>
        <w:tblLook w:val="04A0" w:firstRow="1" w:lastRow="0" w:firstColumn="1" w:lastColumn="0" w:noHBand="0" w:noVBand="1"/>
      </w:tblPr>
      <w:tblGrid>
        <w:gridCol w:w="4678"/>
      </w:tblGrid>
      <w:tr>
        <w:tblPrEx/>
        <w:trPr>
          <w:trHeight w:val="438"/>
        </w:trPr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ind w:firstLine="709"/>
              <w:jc w:val="right"/>
              <w:widowControl w:val="off"/>
              <w:tabs>
                <w:tab w:val="left" w:pos="1259" w:leader="none"/>
              </w:tabs>
              <w:rPr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b/>
                <w:color w:val="auto"/>
                <w:sz w:val="24"/>
                <w:szCs w:val="24"/>
                <w:lang w:eastAsia="en-US"/>
              </w:rPr>
              <w:t xml:space="preserve">Приложение  № 1</w:t>
            </w:r>
            <w:r>
              <w:rPr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b/>
                <w:color w:val="auto"/>
                <w:sz w:val="24"/>
                <w:szCs w:val="24"/>
                <w:lang w:eastAsia="en-US"/>
              </w:rPr>
            </w:r>
          </w:p>
          <w:p>
            <w:pPr>
              <w:ind w:firstLine="709"/>
              <w:jc w:val="right"/>
              <w:widowControl w:val="off"/>
              <w:tabs>
                <w:tab w:val="left" w:pos="1259" w:leader="none"/>
              </w:tabs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 xml:space="preserve">к ведомственному  стандарту внутреннего муниципального финансового контроля 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в администрации 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Пе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ченгского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муниципального округа</w:t>
            </w:r>
            <w:r>
              <w:rPr>
                <w:color w:val="auto"/>
                <w:sz w:val="24"/>
                <w:szCs w:val="24"/>
                <w:lang w:eastAsia="en-US"/>
              </w:rPr>
            </w:r>
            <w:r>
              <w:rPr>
                <w:color w:val="auto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right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Приложение 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right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к распоряжению администрации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right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Печенгского</w:t>
      </w:r>
      <w:r>
        <w:rPr>
          <w:color w:val="auto"/>
          <w:sz w:val="24"/>
          <w:szCs w:val="24"/>
          <w:lang w:eastAsia="en-US"/>
        </w:rPr>
        <w:t xml:space="preserve"> муниципального округа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right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от «___» ________ 20__года № ____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11055"/>
        <w:jc w:val="right"/>
      </w:pPr>
      <w:r/>
      <w:r/>
    </w:p>
    <w:p>
      <w:pPr>
        <w:jc w:val="center"/>
        <w:tabs>
          <w:tab w:val="left" w:pos="4536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tabs>
          <w:tab w:val="left" w:pos="453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проведения в 20___ году контрольных мероприятий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tabs>
          <w:tab w:val="left" w:pos="453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рамках внутреннего муниципального финансового контроля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tabs>
          <w:tab w:val="left" w:pos="4536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tabs>
          <w:tab w:val="left" w:pos="4536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Style w:val="948"/>
        <w:tblW w:w="0" w:type="auto"/>
        <w:tblLook w:val="04A0" w:firstRow="1" w:lastRow="0" w:firstColumn="1" w:lastColumn="0" w:noHBand="0" w:noVBand="1"/>
      </w:tblPr>
      <w:tblGrid>
        <w:gridCol w:w="493"/>
        <w:gridCol w:w="2707"/>
        <w:gridCol w:w="2437"/>
        <w:gridCol w:w="1417"/>
        <w:gridCol w:w="2410"/>
      </w:tblGrid>
      <w:tr>
        <w:tblPrEx/>
        <w:trPr/>
        <w:tc>
          <w:tcPr>
            <w:tcW w:w="493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>
              <w:t xml:space="preserve">Наименование объекта контроля</w:t>
            </w:r>
            <w:r/>
          </w:p>
        </w:tc>
        <w:tc>
          <w:tcPr>
            <w:tcW w:w="243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>
              <w:t xml:space="preserve">Тема контрольного мероприятия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>
              <w:t xml:space="preserve">Проверяемый период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>
              <w:t xml:space="preserve">Период начала проведения контрольного мероприятия (квартал)</w:t>
            </w:r>
            <w:r/>
          </w:p>
        </w:tc>
      </w:tr>
      <w:tr>
        <w:tblPrEx/>
        <w:trPr/>
        <w:tc>
          <w:tcPr>
            <w:tcW w:w="493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243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W w:w="493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  <w:tc>
          <w:tcPr>
            <w:tcW w:w="243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</w:tr>
      <w:tr>
        <w:tblPrEx/>
        <w:trPr/>
        <w:tc>
          <w:tcPr>
            <w:tcW w:w="493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  <w:tc>
          <w:tcPr>
            <w:tcW w:w="243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</w:tr>
      <w:tr>
        <w:tblPrEx/>
        <w:trPr/>
        <w:tc>
          <w:tcPr>
            <w:tcW w:w="493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  <w:tc>
          <w:tcPr>
            <w:tcW w:w="243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</w:pPr>
            <w:r/>
            <w:r/>
          </w:p>
        </w:tc>
      </w:tr>
    </w:tbl>
    <w:p>
      <w:pPr>
        <w:jc w:val="center"/>
        <w:tabs>
          <w:tab w:val="left" w:pos="4536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tabs>
          <w:tab w:val="left" w:pos="0" w:leader="none"/>
        </w:tabs>
      </w:pPr>
      <w:r>
        <w:rPr>
          <w:b/>
          <w:bCs/>
          <w:sz w:val="28"/>
          <w:szCs w:val="28"/>
        </w:rPr>
        <w:tab/>
      </w:r>
      <w:r/>
    </w:p>
    <w:tbl>
      <w:tblPr>
        <w:tblStyle w:val="948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510"/>
        <w:gridCol w:w="1134"/>
        <w:gridCol w:w="1843"/>
        <w:gridCol w:w="851"/>
        <w:gridCol w:w="2126"/>
      </w:tblGrid>
      <w:tr>
        <w:tblPrEx/>
        <w:trPr/>
        <w:tc>
          <w:tcPr>
            <w:tcBorders>
              <w:bottom w:val="single" w:color="auto" w:sz="4" w:space="0"/>
            </w:tcBorders>
            <w:tcW w:w="3510" w:type="dxa"/>
            <w:textDirection w:val="lrTb"/>
            <w:noWrap w:val="false"/>
          </w:tcPr>
          <w:p>
            <w:pPr>
              <w:tabs>
                <w:tab w:val="left" w:pos="0" w:leader="none"/>
              </w:tabs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tabs>
                <w:tab w:val="left" w:pos="0" w:leader="none"/>
              </w:tabs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tabs>
                <w:tab w:val="left" w:pos="0" w:leader="none"/>
              </w:tabs>
            </w:pPr>
            <w:r/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tabs>
                <w:tab w:val="left" w:pos="0" w:leader="none"/>
              </w:tabs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tabs>
                <w:tab w:val="left" w:pos="0" w:leader="none"/>
              </w:tabs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3510" w:type="dxa"/>
            <w:textDirection w:val="lrTb"/>
            <w:noWrap w:val="false"/>
          </w:tcPr>
          <w:p>
            <w:pPr>
              <w:jc w:val="center"/>
              <w:tabs>
                <w:tab w:val="left" w:pos="1259" w:leader="none"/>
              </w:tabs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Руководитель контрольного мероприятия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  <w:p>
            <w:pPr>
              <w:jc w:val="center"/>
              <w:tabs>
                <w:tab w:val="left" w:pos="0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(Подпись)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(Инициалы, фамилия)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tabs>
          <w:tab w:val="left" w:pos="0" w:leader="none"/>
        </w:tabs>
      </w:pPr>
      <w:r/>
      <w:r/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259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tbl>
      <w:tblPr>
        <w:tblW w:w="0" w:type="auto"/>
        <w:tblInd w:w="4786" w:type="dxa"/>
        <w:tblLook w:val="04A0" w:firstRow="1" w:lastRow="0" w:firstColumn="1" w:lastColumn="0" w:noHBand="0" w:noVBand="1"/>
      </w:tblPr>
      <w:tblGrid>
        <w:gridCol w:w="4678"/>
      </w:tblGrid>
      <w:tr>
        <w:tblPrEx/>
        <w:trPr>
          <w:trHeight w:val="438"/>
        </w:trPr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right"/>
              <w:rPr>
                <w:b/>
                <w:color w:val="auto"/>
                <w:sz w:val="24"/>
                <w:szCs w:val="24"/>
              </w:rPr>
              <w:outlineLvl w:val="0"/>
            </w:pPr>
            <w:r>
              <w:rPr>
                <w:b/>
                <w:color w:val="auto"/>
                <w:sz w:val="24"/>
                <w:szCs w:val="24"/>
              </w:rPr>
              <w:t xml:space="preserve">Приложение  № </w:t>
            </w:r>
            <w:r>
              <w:rPr>
                <w:b/>
                <w:color w:val="auto"/>
                <w:sz w:val="24"/>
                <w:szCs w:val="24"/>
              </w:rPr>
              <w:t xml:space="preserve">2</w:t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</w:rPr>
              <w:outlineLvl w:val="0"/>
            </w:pPr>
            <w:r>
              <w:rPr>
                <w:color w:val="auto"/>
                <w:sz w:val="24"/>
                <w:szCs w:val="24"/>
              </w:rPr>
              <w:t xml:space="preserve">к ведомственному  стандарту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</w:rPr>
              <w:outlineLvl w:val="0"/>
            </w:pPr>
            <w:r>
              <w:rPr>
                <w:color w:val="auto"/>
                <w:sz w:val="24"/>
                <w:szCs w:val="24"/>
              </w:rPr>
              <w:t xml:space="preserve">внутреннего муниципального финансового контроля в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  <w:highlight w:val="lightGray"/>
              </w:rPr>
              <w:outlineLvl w:val="0"/>
            </w:pPr>
            <w:r>
              <w:rPr>
                <w:color w:val="auto"/>
                <w:sz w:val="24"/>
                <w:szCs w:val="24"/>
              </w:rPr>
              <w:t xml:space="preserve">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  <w:highlight w:val="lightGray"/>
              </w:rPr>
            </w:r>
            <w:r>
              <w:rPr>
                <w:color w:val="auto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ind w:left="6237"/>
        <w:widowControl w:val="off"/>
        <w:rPr>
          <w:color w:val="5f497a" w:themeColor="accent4" w:themeShade="BF"/>
          <w:sz w:val="24"/>
          <w:szCs w:val="24"/>
          <w:lang w:eastAsia="en-US"/>
        </w:rPr>
      </w:pPr>
      <w:r>
        <w:rPr>
          <w:color w:val="5f497a" w:themeColor="accent4" w:themeShade="BF"/>
          <w:sz w:val="24"/>
          <w:szCs w:val="24"/>
          <w:lang w:eastAsia="en-US"/>
        </w:rPr>
      </w:r>
      <w:r>
        <w:rPr>
          <w:color w:val="5f497a" w:themeColor="accent4" w:themeShade="BF"/>
          <w:sz w:val="24"/>
          <w:szCs w:val="24"/>
          <w:lang w:eastAsia="en-US"/>
        </w:rPr>
      </w:r>
      <w:r>
        <w:rPr>
          <w:color w:val="5f497a" w:themeColor="accent4" w:themeShade="BF"/>
          <w:sz w:val="24"/>
          <w:szCs w:val="24"/>
          <w:lang w:eastAsia="en-US"/>
        </w:rPr>
      </w:r>
    </w:p>
    <w:tbl>
      <w:tblPr>
        <w:tblStyle w:val="948"/>
        <w:tblW w:w="4253" w:type="dxa"/>
        <w:tblInd w:w="5211" w:type="dxa"/>
        <w:tblBorders>
          <w:left w:val="none" w:color="auto" w:sz="0" w:space="0"/>
          <w:bottom w:val="none" w:color="auto" w:sz="0" w:space="0"/>
          <w:right w:val="none" w:color="auto" w:sz="0" w:space="0"/>
        </w:tblBorders>
        <w:tblLook w:val="04A0" w:firstRow="1" w:lastRow="0" w:firstColumn="1" w:lastColumn="0" w:noHBand="0" w:noVBand="1"/>
      </w:tblPr>
      <w:tblGrid>
        <w:gridCol w:w="4253"/>
      </w:tblGrid>
      <w:tr>
        <w:tblPrEx/>
        <w:trPr>
          <w:trHeight w:val="679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(должность уполномоченного должностною лица</w:t>
            </w:r>
            <w:r>
              <w:rPr>
                <w:color w:val="auto"/>
                <w:sz w:val="16"/>
                <w:szCs w:val="16"/>
                <w:lang w:eastAsia="en-US"/>
              </w:rPr>
              <w:br/>
              <w:t xml:space="preserve">объекта контроля,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566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наименование объекта контроля,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569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Фамилия И.О. должностного лица объекта контроля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66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(адрес объекта контроля (при необходимости))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</w:tbl>
    <w:p>
      <w:pPr>
        <w:jc w:val="center"/>
        <w:widowControl w:val="off"/>
        <w:rPr>
          <w:b/>
          <w:bCs/>
          <w:color w:val="5f497a" w:themeColor="accent4" w:themeShade="BF"/>
          <w:sz w:val="16"/>
          <w:szCs w:val="16"/>
          <w:lang w:eastAsia="en-US"/>
        </w:rPr>
      </w:pPr>
      <w:r>
        <w:rPr>
          <w:b/>
          <w:bCs/>
          <w:color w:val="5f497a" w:themeColor="accent4" w:themeShade="BF"/>
          <w:sz w:val="16"/>
          <w:szCs w:val="16"/>
          <w:lang w:eastAsia="en-US"/>
        </w:rPr>
      </w:r>
      <w:r>
        <w:rPr>
          <w:b/>
          <w:bCs/>
          <w:color w:val="5f497a" w:themeColor="accent4" w:themeShade="BF"/>
          <w:sz w:val="16"/>
          <w:szCs w:val="16"/>
          <w:lang w:eastAsia="en-US"/>
        </w:rPr>
      </w:r>
      <w:r>
        <w:rPr>
          <w:b/>
          <w:bCs/>
          <w:color w:val="5f497a" w:themeColor="accent4" w:themeShade="BF"/>
          <w:sz w:val="16"/>
          <w:szCs w:val="16"/>
          <w:lang w:eastAsia="en-US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ЗАПРОС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о представлении документов, информации и материалов, необходимых 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для проведения выездного контрольного мероприятия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  <w:highlight w:val="lightGray"/>
        </w:rPr>
      </w:pPr>
      <w:r>
        <w:rPr>
          <w:b/>
          <w:bCs/>
          <w:color w:val="auto"/>
          <w:sz w:val="24"/>
          <w:szCs w:val="24"/>
          <w:highlight w:val="lightGray"/>
        </w:rPr>
      </w:r>
      <w:r>
        <w:rPr>
          <w:b/>
          <w:bCs/>
          <w:color w:val="auto"/>
          <w:sz w:val="24"/>
          <w:szCs w:val="24"/>
          <w:highlight w:val="lightGray"/>
        </w:rPr>
      </w:r>
      <w:r>
        <w:rPr>
          <w:b/>
          <w:bCs/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</w:rPr>
        <w:t xml:space="preserve">п.г.т</w:t>
      </w:r>
      <w:r>
        <w:rPr>
          <w:color w:val="auto"/>
          <w:sz w:val="24"/>
          <w:szCs w:val="24"/>
        </w:rPr>
        <w:t xml:space="preserve">. Никель                                                                                                «__»_________ 20__г.</w:t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распоряжением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</w:t>
      </w:r>
      <w:r>
        <w:rPr>
          <w:color w:val="c0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от «_____» ___________ 20__г. №__ в отношении 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                                             </w:t>
      </w:r>
      <w:r>
        <w:rPr>
          <w:color w:val="auto"/>
          <w:sz w:val="18"/>
          <w:szCs w:val="18"/>
        </w:rPr>
        <w:t xml:space="preserve">(указывается наименование объекта контроля)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spacing w:line="266" w:lineRule="exact"/>
        <w:widowControl w:val="off"/>
        <w:tabs>
          <w:tab w:val="left" w:pos="9927" w:leader="underscor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назначена/проводится _____________________________________________________________________________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left="4060"/>
        <w:spacing w:after="244" w:line="200" w:lineRule="exact"/>
        <w:widowControl w:val="off"/>
        <w:rPr>
          <w:rFonts w:ascii="PT Astra Serif" w:hAnsi="PT Astra Serif"/>
          <w:color w:val="auto"/>
          <w:sz w:val="16"/>
          <w:szCs w:val="16"/>
          <w:lang w:eastAsia="en-US"/>
        </w:rPr>
      </w:pPr>
      <w:r>
        <w:rPr>
          <w:rFonts w:ascii="PT Astra Serif" w:hAnsi="PT Astra Serif"/>
          <w:color w:val="auto"/>
          <w:sz w:val="16"/>
          <w:szCs w:val="16"/>
          <w:lang w:eastAsia="en-US"/>
        </w:rPr>
        <w:t xml:space="preserve">(указываются метод и тема контрольного мероприятия)</w:t>
      </w:r>
      <w:r>
        <w:rPr>
          <w:rFonts w:ascii="PT Astra Serif" w:hAnsi="PT Astra Serif"/>
          <w:color w:val="auto"/>
          <w:sz w:val="16"/>
          <w:szCs w:val="16"/>
          <w:lang w:eastAsia="en-US"/>
        </w:rPr>
      </w:r>
      <w:r>
        <w:rPr>
          <w:rFonts w:ascii="PT Astra Serif" w:hAnsi="PT Astra Serif"/>
          <w:color w:val="auto"/>
          <w:sz w:val="16"/>
          <w:szCs w:val="16"/>
          <w:lang w:eastAsia="en-US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соответствии с пунктом 3 статьи 266.1 Бюджетного кодекса Российской Федерации, подпунктом «в» пункта 9 Федерального стандарта внутреннего государственного (муниципального) финансового контроля  </w:t>
      </w:r>
      <w:r>
        <w:rPr>
          <w:bCs/>
          <w:color w:val="auto"/>
          <w:sz w:val="24"/>
          <w:szCs w:val="24"/>
        </w:rPr>
        <w:t xml:space="preserve">«</w:t>
      </w:r>
      <w:r>
        <w:rPr>
          <w:color w:val="auto"/>
          <w:sz w:val="24"/>
          <w:szCs w:val="24"/>
        </w:rPr>
        <w:t xml:space="preserve">Права и обязанности должностных лиц органов внутреннего государственного (муниципального) финансового контроля и объектов внутреннег</w:t>
      </w:r>
      <w:r>
        <w:rPr>
          <w:color w:val="auto"/>
          <w:sz w:val="24"/>
          <w:szCs w:val="24"/>
        </w:rPr>
        <w:t xml:space="preserve">о государственного (муниципального) финансового контроля (их должностных лиц) при осуществлении внутреннего государственного (муниципального) финансового контроля», утвержденным постановлением Правительства Российской Федерации от 06.02.2020 № 100, прошу в</w:t>
      </w:r>
      <w:r>
        <w:rPr>
          <w:color w:val="auto"/>
          <w:sz w:val="24"/>
          <w:szCs w:val="24"/>
        </w:rPr>
        <w:t xml:space="preserve"> срок</w:t>
      </w:r>
      <w:r>
        <w:rPr>
          <w:color w:val="auto"/>
          <w:sz w:val="24"/>
          <w:szCs w:val="24"/>
          <w:vertAlign w:val="superscript"/>
        </w:rPr>
        <w:footnoteReference w:id="2"/>
      </w:r>
      <w:r>
        <w:rPr>
          <w:color w:val="auto"/>
          <w:sz w:val="24"/>
          <w:szCs w:val="24"/>
        </w:rPr>
        <w:t xml:space="preserve"> не менее 3 рабочих дней со дня получения запроса представить в контрольно-ревизионный отдел</w:t>
      </w:r>
      <w:r>
        <w:rPr>
          <w:color w:val="c0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следующие документы (информацию, материалы, данные):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</w:t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                                                             (перечень </w:t>
      </w:r>
      <w:r>
        <w:rPr>
          <w:color w:val="auto"/>
          <w:sz w:val="18"/>
          <w:szCs w:val="18"/>
        </w:rPr>
        <w:t xml:space="preserve">истребуемых</w:t>
      </w:r>
      <w:r>
        <w:rPr>
          <w:color w:val="auto"/>
          <w:sz w:val="18"/>
          <w:szCs w:val="18"/>
        </w:rPr>
        <w:t xml:space="preserve"> документов, информации и материалов)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Вопросы, подлежащие проверке:______________________________________________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     (указывается перечень  вопросов, подлежащих проверке в ходе проведения контрольного мероприятия)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Документы, информация и материалы направляются в форме электронного документа или на бумажных носителях в виде подлинников документов, информации и </w:t>
      </w:r>
      <w:r>
        <w:rPr>
          <w:color w:val="auto"/>
          <w:sz w:val="24"/>
          <w:szCs w:val="24"/>
        </w:rPr>
        <w:t xml:space="preserve">материалов и (или) надлежащим образом заверенных копий указанных документов, информации и материалов.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Непредставление или несвоевременное представление информации</w:t>
      </w:r>
      <w:r>
        <w:rPr>
          <w:color w:val="auto"/>
          <w:sz w:val="24"/>
          <w:szCs w:val="24"/>
        </w:rPr>
        <w:t xml:space="preserve">, документов и материалов, указанных в настоящем запросе, а равно их представление не в полном объеме или представление недостоверных информации, документов и материалов, влечет за собой ответственность, установленную законодательством Российской Федерации</w:t>
      </w:r>
      <w:r>
        <w:rPr>
          <w:color w:val="auto"/>
          <w:sz w:val="24"/>
          <w:szCs w:val="24"/>
          <w:vertAlign w:val="superscript"/>
        </w:rPr>
        <w:footnoteReference w:id="3"/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Style w:val="95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2217"/>
        <w:gridCol w:w="301"/>
        <w:gridCol w:w="567"/>
        <w:gridCol w:w="425"/>
        <w:gridCol w:w="709"/>
        <w:gridCol w:w="284"/>
        <w:gridCol w:w="283"/>
        <w:gridCol w:w="709"/>
        <w:gridCol w:w="283"/>
        <w:gridCol w:w="1276"/>
        <w:gridCol w:w="284"/>
        <w:gridCol w:w="2233"/>
      </w:tblGrid>
      <w:tr>
        <w:tblPrEx/>
        <w:trPr/>
        <w:tc>
          <w:tcPr>
            <w:gridSpan w:val="12"/>
            <w:tcW w:w="9571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Руководитель проверочной (ревизионной) группы (уполномоченное на проведение контрольного мероприятия должностное лицо)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2217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301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W w:w="1276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233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3"/>
            <w:tcBorders>
              <w:bottom w:val="single" w:color="auto" w:sz="4" w:space="0"/>
            </w:tcBorders>
            <w:tcW w:w="3085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25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1559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</w:tcBorders>
            <w:tcW w:w="3085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(Должность)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425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(Дата)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1559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(Подпись)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(Расшифровка подписи)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/>
        <w:tc>
          <w:tcPr>
            <w:gridSpan w:val="12"/>
            <w:tcW w:w="957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12"/>
            <w:tcW w:w="957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Отметка о получении запроса о представлении документов, информации и материалов, необходимых документов, для проведения выездного контрольного мероприятия</w:t>
            </w:r>
            <w:r>
              <w:rPr>
                <w:rFonts w:eastAsiaTheme="minorHAnsi"/>
                <w:color w:val="auto"/>
                <w:sz w:val="24"/>
                <w:szCs w:val="24"/>
                <w:vertAlign w:val="superscript"/>
                <w:lang w:eastAsia="en-US"/>
              </w:rPr>
              <w:footnoteReference w:id="4"/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2217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3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W w:w="17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W w:w="992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23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217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3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2217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(Учреждение)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301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(Должность)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(Дата)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(Подпись)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(Расшифровка подписи, Ф.И.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О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 полностью)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</w:tr>
    </w:tbl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0" w:type="auto"/>
        <w:tblInd w:w="4786" w:type="dxa"/>
        <w:tblLook w:val="04A0" w:firstRow="1" w:lastRow="0" w:firstColumn="1" w:lastColumn="0" w:noHBand="0" w:noVBand="1"/>
      </w:tblPr>
      <w:tblGrid>
        <w:gridCol w:w="4678"/>
      </w:tblGrid>
      <w:tr>
        <w:tblPrEx/>
        <w:trPr>
          <w:trHeight w:val="438"/>
        </w:trPr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right"/>
              <w:rPr>
                <w:b/>
                <w:color w:val="auto"/>
                <w:sz w:val="24"/>
                <w:szCs w:val="24"/>
              </w:rPr>
              <w:outlineLvl w:val="0"/>
            </w:pP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b/>
                <w:color w:val="auto"/>
                <w:sz w:val="24"/>
                <w:szCs w:val="24"/>
              </w:rPr>
              <w:outlineLvl w:val="0"/>
            </w:pP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b/>
                <w:color w:val="auto"/>
                <w:sz w:val="24"/>
                <w:szCs w:val="24"/>
              </w:rPr>
              <w:outlineLvl w:val="0"/>
            </w:pPr>
            <w:r>
              <w:rPr>
                <w:b/>
                <w:color w:val="auto"/>
                <w:sz w:val="24"/>
                <w:szCs w:val="24"/>
              </w:rPr>
              <w:t xml:space="preserve">Приложение  № </w:t>
            </w:r>
            <w:r>
              <w:rPr>
                <w:b/>
                <w:color w:val="auto"/>
                <w:sz w:val="24"/>
                <w:szCs w:val="24"/>
              </w:rPr>
              <w:t xml:space="preserve">3</w:t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</w:rPr>
              <w:outlineLvl w:val="0"/>
            </w:pPr>
            <w:r>
              <w:rPr>
                <w:color w:val="auto"/>
                <w:sz w:val="24"/>
                <w:szCs w:val="24"/>
              </w:rPr>
              <w:t xml:space="preserve">к ведомственному  стандарту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  <w:highlight w:val="lightGray"/>
              </w:rPr>
              <w:outlineLvl w:val="0"/>
            </w:pPr>
            <w:r>
              <w:rPr>
                <w:color w:val="auto"/>
                <w:sz w:val="24"/>
                <w:szCs w:val="24"/>
              </w:rPr>
              <w:t xml:space="preserve">внутреннего муниципального финансового контроля в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  <w:highlight w:val="lightGray"/>
              </w:rPr>
            </w:r>
            <w:r>
              <w:rPr>
                <w:color w:val="auto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ind w:left="6237"/>
        <w:widowControl w:val="off"/>
        <w:rPr>
          <w:color w:val="5f497a" w:themeColor="accent4" w:themeShade="BF"/>
          <w:sz w:val="24"/>
          <w:szCs w:val="24"/>
          <w:lang w:eastAsia="en-US"/>
        </w:rPr>
      </w:pPr>
      <w:r>
        <w:rPr>
          <w:color w:val="5f497a" w:themeColor="accent4" w:themeShade="BF"/>
          <w:sz w:val="24"/>
          <w:szCs w:val="24"/>
          <w:lang w:eastAsia="en-US"/>
        </w:rPr>
      </w:r>
      <w:r>
        <w:rPr>
          <w:color w:val="5f497a" w:themeColor="accent4" w:themeShade="BF"/>
          <w:sz w:val="24"/>
          <w:szCs w:val="24"/>
          <w:lang w:eastAsia="en-US"/>
        </w:rPr>
      </w:r>
      <w:r>
        <w:rPr>
          <w:color w:val="5f497a" w:themeColor="accent4" w:themeShade="BF"/>
          <w:sz w:val="24"/>
          <w:szCs w:val="24"/>
          <w:lang w:eastAsia="en-US"/>
        </w:rPr>
      </w:r>
    </w:p>
    <w:tbl>
      <w:tblPr>
        <w:tblStyle w:val="948"/>
        <w:tblW w:w="4253" w:type="dxa"/>
        <w:tblInd w:w="5211" w:type="dxa"/>
        <w:tblBorders>
          <w:left w:val="none" w:color="auto" w:sz="0" w:space="0"/>
          <w:bottom w:val="none" w:color="auto" w:sz="0" w:space="0"/>
          <w:right w:val="none" w:color="auto" w:sz="0" w:space="0"/>
        </w:tblBorders>
        <w:tblLook w:val="04A0" w:firstRow="1" w:lastRow="0" w:firstColumn="1" w:lastColumn="0" w:noHBand="0" w:noVBand="1"/>
      </w:tblPr>
      <w:tblGrid>
        <w:gridCol w:w="4253"/>
      </w:tblGrid>
      <w:tr>
        <w:tblPrEx/>
        <w:trPr>
          <w:trHeight w:val="679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(должность уполномоченного должностною лица</w:t>
            </w:r>
            <w:r>
              <w:rPr>
                <w:color w:val="auto"/>
                <w:sz w:val="16"/>
                <w:szCs w:val="16"/>
                <w:lang w:eastAsia="en-US"/>
              </w:rPr>
              <w:br/>
              <w:t xml:space="preserve">объекта контроля,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566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наименование объекта контроля,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569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Фамилия И.О. должностного лица объекта контроля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66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(адрес объекта контроля (при необходимости))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</w:tbl>
    <w:p>
      <w:pPr>
        <w:jc w:val="center"/>
        <w:widowControl w:val="off"/>
        <w:rPr>
          <w:b/>
          <w:bCs/>
          <w:color w:val="5f497a" w:themeColor="accent4" w:themeShade="BF"/>
          <w:sz w:val="16"/>
          <w:szCs w:val="16"/>
          <w:lang w:eastAsia="en-US"/>
        </w:rPr>
      </w:pPr>
      <w:r>
        <w:rPr>
          <w:b/>
          <w:bCs/>
          <w:color w:val="5f497a" w:themeColor="accent4" w:themeShade="BF"/>
          <w:sz w:val="16"/>
          <w:szCs w:val="16"/>
          <w:lang w:eastAsia="en-US"/>
        </w:rPr>
      </w:r>
      <w:r>
        <w:rPr>
          <w:b/>
          <w:bCs/>
          <w:color w:val="5f497a" w:themeColor="accent4" w:themeShade="BF"/>
          <w:sz w:val="16"/>
          <w:szCs w:val="16"/>
          <w:lang w:eastAsia="en-US"/>
        </w:rPr>
      </w:r>
      <w:r>
        <w:rPr>
          <w:b/>
          <w:bCs/>
          <w:color w:val="5f497a" w:themeColor="accent4" w:themeShade="BF"/>
          <w:sz w:val="16"/>
          <w:szCs w:val="16"/>
          <w:lang w:eastAsia="en-US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ЗАПРОС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о представлении документов, информации и материалов, необходимых 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для проведения камеральной проверки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  <w:highlight w:val="lightGray"/>
        </w:rPr>
      </w:pPr>
      <w:r>
        <w:rPr>
          <w:b/>
          <w:bCs/>
          <w:color w:val="auto"/>
          <w:sz w:val="24"/>
          <w:szCs w:val="24"/>
          <w:highlight w:val="lightGray"/>
        </w:rPr>
      </w:r>
      <w:r>
        <w:rPr>
          <w:b/>
          <w:bCs/>
          <w:color w:val="auto"/>
          <w:sz w:val="24"/>
          <w:szCs w:val="24"/>
          <w:highlight w:val="lightGray"/>
        </w:rPr>
      </w:r>
      <w:r>
        <w:rPr>
          <w:b/>
          <w:bCs/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</w:rPr>
        <w:t xml:space="preserve">п.г.т</w:t>
      </w:r>
      <w:r>
        <w:rPr>
          <w:color w:val="auto"/>
          <w:sz w:val="24"/>
          <w:szCs w:val="24"/>
        </w:rPr>
        <w:t xml:space="preserve">. Никель                                                                                                «__»_________ 20__г.</w:t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распоряжением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</w:t>
      </w:r>
      <w:r>
        <w:rPr>
          <w:color w:val="c0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от «_____» ___________ 20__г. №__ в отношении 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                                             </w:t>
      </w:r>
      <w:r>
        <w:rPr>
          <w:color w:val="auto"/>
          <w:sz w:val="18"/>
          <w:szCs w:val="18"/>
        </w:rPr>
        <w:t xml:space="preserve">(указывается наименование объекта контроля)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spacing w:line="266" w:lineRule="exact"/>
        <w:widowControl w:val="off"/>
        <w:tabs>
          <w:tab w:val="left" w:pos="9927" w:leader="underscor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назначена/проводится _____________________________________________________________________________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left="4060"/>
        <w:spacing w:after="244" w:line="200" w:lineRule="exact"/>
        <w:widowControl w:val="off"/>
        <w:rPr>
          <w:rFonts w:ascii="PT Astra Serif" w:hAnsi="PT Astra Serif"/>
          <w:color w:val="auto"/>
          <w:sz w:val="16"/>
          <w:szCs w:val="16"/>
          <w:lang w:eastAsia="en-US"/>
        </w:rPr>
      </w:pPr>
      <w:r>
        <w:rPr>
          <w:rFonts w:ascii="PT Astra Serif" w:hAnsi="PT Astra Serif"/>
          <w:color w:val="auto"/>
          <w:sz w:val="16"/>
          <w:szCs w:val="16"/>
          <w:lang w:eastAsia="en-US"/>
        </w:rPr>
        <w:t xml:space="preserve">(указываются метод и тема контрольного мероприятия)</w:t>
      </w:r>
      <w:r>
        <w:rPr>
          <w:rFonts w:ascii="PT Astra Serif" w:hAnsi="PT Astra Serif"/>
          <w:color w:val="auto"/>
          <w:sz w:val="16"/>
          <w:szCs w:val="16"/>
          <w:lang w:eastAsia="en-US"/>
        </w:rPr>
      </w:r>
      <w:r>
        <w:rPr>
          <w:rFonts w:ascii="PT Astra Serif" w:hAnsi="PT Astra Serif"/>
          <w:color w:val="auto"/>
          <w:sz w:val="16"/>
          <w:szCs w:val="16"/>
          <w:lang w:eastAsia="en-US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соответствии с пунктом 3 статьи 266.1 Бюджетного кодекса Российской Федерации, подпунктом «в» пункта 9 Федерального стандарта внутреннего государственного (муниципального) финансового контроля  </w:t>
      </w:r>
      <w:r>
        <w:rPr>
          <w:bCs/>
          <w:color w:val="auto"/>
          <w:sz w:val="24"/>
          <w:szCs w:val="24"/>
        </w:rPr>
        <w:t xml:space="preserve">«</w:t>
      </w:r>
      <w:r>
        <w:rPr>
          <w:color w:val="auto"/>
          <w:sz w:val="24"/>
          <w:szCs w:val="24"/>
        </w:rPr>
        <w:t xml:space="preserve">Права и обязанности должностных лиц органов внутреннего государственного (муниципального) финансового контроля и объектов внутреннег</w:t>
      </w:r>
      <w:r>
        <w:rPr>
          <w:color w:val="auto"/>
          <w:sz w:val="24"/>
          <w:szCs w:val="24"/>
        </w:rPr>
        <w:t xml:space="preserve">о государственного (муниципального) финансового контроля (их должностных лиц) при осуществлении внутреннего государственного (муниципального) финансового контроля», утвержденным постановлением Правительства Российской Федерации от 06.02.2020 № 100, прошу в</w:t>
      </w:r>
      <w:r>
        <w:rPr>
          <w:color w:val="auto"/>
          <w:sz w:val="24"/>
          <w:szCs w:val="24"/>
        </w:rPr>
        <w:t xml:space="preserve"> срок</w:t>
      </w:r>
      <w:r>
        <w:rPr>
          <w:color w:val="auto"/>
          <w:sz w:val="24"/>
          <w:szCs w:val="24"/>
          <w:vertAlign w:val="superscript"/>
        </w:rPr>
        <w:footnoteReference w:id="5"/>
      </w:r>
      <w:r>
        <w:rPr>
          <w:color w:val="auto"/>
          <w:sz w:val="24"/>
          <w:szCs w:val="24"/>
        </w:rPr>
        <w:t xml:space="preserve"> не менее 10 рабочих дней со дня получения запроса представить в контрольно-ревизионный отдел</w:t>
      </w:r>
      <w:r>
        <w:rPr>
          <w:color w:val="c0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следующие документы (информацию, материалы, данные):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</w:t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                                                             (перечень </w:t>
      </w:r>
      <w:r>
        <w:rPr>
          <w:color w:val="auto"/>
          <w:sz w:val="18"/>
          <w:szCs w:val="18"/>
        </w:rPr>
        <w:t xml:space="preserve">истребуемых</w:t>
      </w:r>
      <w:r>
        <w:rPr>
          <w:color w:val="auto"/>
          <w:sz w:val="18"/>
          <w:szCs w:val="18"/>
        </w:rPr>
        <w:t xml:space="preserve"> документов, информации и материалов)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Вопросы, подлежащие проверке:______________________________________________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     (указывается перечень  вопросов, подлежащих проверке в ходе проведения контрольного мероприятия)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Документы, информация и материалы направляются в форме электронного документа или на бумажных носителях в виде подлинников документов, информации и </w:t>
      </w:r>
      <w:r>
        <w:rPr>
          <w:color w:val="auto"/>
          <w:sz w:val="24"/>
          <w:szCs w:val="24"/>
        </w:rPr>
        <w:t xml:space="preserve">материалов и (или) надлежащим образом заверенных копий указанных документов, информации и материалов.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Непредставление или несвоевременное представление информации</w:t>
      </w:r>
      <w:r>
        <w:rPr>
          <w:color w:val="auto"/>
          <w:sz w:val="24"/>
          <w:szCs w:val="24"/>
        </w:rPr>
        <w:t xml:space="preserve">, документов и материалов, указанных в настоящем запросе, а равно их представление не в полном объеме или представление недостоверных информации, документов и материалов, влечет за собой ответственность, установленную законодательством Российской Федерации</w:t>
      </w:r>
      <w:r>
        <w:rPr>
          <w:color w:val="auto"/>
          <w:sz w:val="24"/>
          <w:szCs w:val="24"/>
          <w:vertAlign w:val="superscript"/>
        </w:rPr>
        <w:footnoteReference w:id="6"/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Style w:val="95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2217"/>
        <w:gridCol w:w="301"/>
        <w:gridCol w:w="567"/>
        <w:gridCol w:w="425"/>
        <w:gridCol w:w="709"/>
        <w:gridCol w:w="284"/>
        <w:gridCol w:w="283"/>
        <w:gridCol w:w="709"/>
        <w:gridCol w:w="283"/>
        <w:gridCol w:w="1276"/>
        <w:gridCol w:w="284"/>
        <w:gridCol w:w="2233"/>
      </w:tblGrid>
      <w:tr>
        <w:tblPrEx/>
        <w:trPr/>
        <w:tc>
          <w:tcPr>
            <w:gridSpan w:val="12"/>
            <w:tcW w:w="9571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Руководитель проверочной (ревизионной) группы (уполномоченное на проведение контрольного мероприятия должностное лицо)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2217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301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W w:w="1276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233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3"/>
            <w:tcBorders>
              <w:bottom w:val="single" w:color="auto" w:sz="4" w:space="0"/>
            </w:tcBorders>
            <w:tcW w:w="3085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25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1559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</w:tcBorders>
            <w:tcW w:w="3085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(Должность)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425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(Дата)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1559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(Подпись)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(Расшифровка подписи)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/>
        <w:tc>
          <w:tcPr>
            <w:gridSpan w:val="12"/>
            <w:tcW w:w="957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12"/>
            <w:tcW w:w="957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Отметка о получении запроса о представлении документов, информации и материалов, необходимых документов, для проведения выездного контрольного мероприятия</w:t>
            </w:r>
            <w:r>
              <w:rPr>
                <w:rFonts w:eastAsiaTheme="minorHAnsi"/>
                <w:color w:val="auto"/>
                <w:sz w:val="24"/>
                <w:szCs w:val="24"/>
                <w:vertAlign w:val="superscript"/>
                <w:lang w:eastAsia="en-US"/>
              </w:rPr>
              <w:footnoteReference w:id="7"/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2217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3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W w:w="17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W w:w="992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23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217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3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2217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(Учреждение)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301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(Должность)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(Дата)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(Подпись)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(Расшифровка подписи, Ф.И.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О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 полностью)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</w:tr>
    </w:tbl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0" w:type="auto"/>
        <w:tblInd w:w="4786" w:type="dxa"/>
        <w:tblLook w:val="04A0" w:firstRow="1" w:lastRow="0" w:firstColumn="1" w:lastColumn="0" w:noHBand="0" w:noVBand="1"/>
      </w:tblPr>
      <w:tblGrid>
        <w:gridCol w:w="4678"/>
      </w:tblGrid>
      <w:tr>
        <w:tblPrEx/>
        <w:trPr>
          <w:trHeight w:val="438"/>
        </w:trPr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right"/>
              <w:rPr>
                <w:b/>
                <w:color w:val="auto"/>
                <w:sz w:val="24"/>
                <w:szCs w:val="24"/>
              </w:rPr>
              <w:outlineLvl w:val="0"/>
            </w:pPr>
            <w:r>
              <w:rPr>
                <w:b/>
                <w:color w:val="auto"/>
                <w:sz w:val="24"/>
                <w:szCs w:val="24"/>
              </w:rPr>
              <w:t xml:space="preserve">Приложение  № </w:t>
            </w:r>
            <w:r>
              <w:rPr>
                <w:b/>
                <w:color w:val="auto"/>
                <w:sz w:val="24"/>
                <w:szCs w:val="24"/>
              </w:rPr>
              <w:t xml:space="preserve">4</w:t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</w:rPr>
              <w:outlineLvl w:val="0"/>
            </w:pPr>
            <w:r>
              <w:rPr>
                <w:color w:val="auto"/>
                <w:sz w:val="24"/>
                <w:szCs w:val="24"/>
              </w:rPr>
              <w:t xml:space="preserve">к ведомственному  стандарту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  <w:highlight w:val="lightGray"/>
              </w:rPr>
              <w:outlineLvl w:val="0"/>
            </w:pPr>
            <w:r>
              <w:rPr>
                <w:color w:val="auto"/>
                <w:sz w:val="24"/>
                <w:szCs w:val="24"/>
              </w:rPr>
              <w:t xml:space="preserve">внутреннего муниципального финансового контроля в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  <w:highlight w:val="lightGray"/>
              </w:rPr>
            </w:r>
            <w:r>
              <w:rPr>
                <w:color w:val="auto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ind w:left="6237"/>
        <w:widowControl w:val="off"/>
        <w:rPr>
          <w:color w:val="5f497a" w:themeColor="accent4" w:themeShade="BF"/>
          <w:sz w:val="24"/>
          <w:szCs w:val="24"/>
          <w:lang w:eastAsia="en-US"/>
        </w:rPr>
      </w:pPr>
      <w:r>
        <w:rPr>
          <w:color w:val="5f497a" w:themeColor="accent4" w:themeShade="BF"/>
          <w:sz w:val="24"/>
          <w:szCs w:val="24"/>
          <w:lang w:eastAsia="en-US"/>
        </w:rPr>
      </w:r>
      <w:r>
        <w:rPr>
          <w:color w:val="5f497a" w:themeColor="accent4" w:themeShade="BF"/>
          <w:sz w:val="24"/>
          <w:szCs w:val="24"/>
          <w:lang w:eastAsia="en-US"/>
        </w:rPr>
      </w:r>
      <w:r>
        <w:rPr>
          <w:color w:val="5f497a" w:themeColor="accent4" w:themeShade="BF"/>
          <w:sz w:val="24"/>
          <w:szCs w:val="24"/>
          <w:lang w:eastAsia="en-US"/>
        </w:rPr>
      </w:r>
    </w:p>
    <w:tbl>
      <w:tblPr>
        <w:tblStyle w:val="948"/>
        <w:tblW w:w="4253" w:type="dxa"/>
        <w:tblInd w:w="5211" w:type="dxa"/>
        <w:tblBorders>
          <w:left w:val="none" w:color="auto" w:sz="0" w:space="0"/>
          <w:bottom w:val="none" w:color="auto" w:sz="0" w:space="0"/>
          <w:right w:val="none" w:color="auto" w:sz="0" w:space="0"/>
        </w:tblBorders>
        <w:tblLook w:val="04A0" w:firstRow="1" w:lastRow="0" w:firstColumn="1" w:lastColumn="0" w:noHBand="0" w:noVBand="1"/>
      </w:tblPr>
      <w:tblGrid>
        <w:gridCol w:w="4253"/>
      </w:tblGrid>
      <w:tr>
        <w:tblPrEx/>
        <w:trPr>
          <w:trHeight w:val="679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(должность уполномоченного должностною лица</w:t>
            </w:r>
            <w:r>
              <w:rPr>
                <w:color w:val="auto"/>
                <w:sz w:val="16"/>
                <w:szCs w:val="16"/>
                <w:lang w:eastAsia="en-US"/>
              </w:rPr>
              <w:br/>
              <w:t xml:space="preserve">объекта контроля,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566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наименование объекта контроля,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569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Фамилия И.О. должностного лица объекта контроля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66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(адрес объекта контроля (при необходимости))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</w:tbl>
    <w:p>
      <w:pPr>
        <w:jc w:val="center"/>
        <w:widowControl w:val="off"/>
        <w:rPr>
          <w:b/>
          <w:bCs/>
          <w:color w:val="5f497a" w:themeColor="accent4" w:themeShade="BF"/>
          <w:sz w:val="16"/>
          <w:szCs w:val="16"/>
          <w:lang w:eastAsia="en-US"/>
        </w:rPr>
      </w:pPr>
      <w:r>
        <w:rPr>
          <w:b/>
          <w:bCs/>
          <w:color w:val="5f497a" w:themeColor="accent4" w:themeShade="BF"/>
          <w:sz w:val="16"/>
          <w:szCs w:val="16"/>
          <w:lang w:eastAsia="en-US"/>
        </w:rPr>
      </w:r>
      <w:r>
        <w:rPr>
          <w:b/>
          <w:bCs/>
          <w:color w:val="5f497a" w:themeColor="accent4" w:themeShade="BF"/>
          <w:sz w:val="16"/>
          <w:szCs w:val="16"/>
          <w:lang w:eastAsia="en-US"/>
        </w:rPr>
      </w:r>
      <w:r>
        <w:rPr>
          <w:b/>
          <w:bCs/>
          <w:color w:val="5f497a" w:themeColor="accent4" w:themeShade="BF"/>
          <w:sz w:val="16"/>
          <w:szCs w:val="16"/>
          <w:lang w:eastAsia="en-US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ЗАПРОС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 о представлении доступа к информационным системам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  <w:highlight w:val="lightGray"/>
        </w:rPr>
      </w:pPr>
      <w:r>
        <w:rPr>
          <w:b/>
          <w:bCs/>
          <w:color w:val="auto"/>
          <w:sz w:val="24"/>
          <w:szCs w:val="24"/>
          <w:highlight w:val="lightGray"/>
        </w:rPr>
      </w:r>
      <w:r>
        <w:rPr>
          <w:b/>
          <w:bCs/>
          <w:color w:val="auto"/>
          <w:sz w:val="24"/>
          <w:szCs w:val="24"/>
          <w:highlight w:val="lightGray"/>
        </w:rPr>
      </w:r>
      <w:r>
        <w:rPr>
          <w:b/>
          <w:bCs/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</w:rPr>
        <w:t xml:space="preserve">п.г.т</w:t>
      </w:r>
      <w:r>
        <w:rPr>
          <w:color w:val="auto"/>
          <w:sz w:val="24"/>
          <w:szCs w:val="24"/>
        </w:rPr>
        <w:t xml:space="preserve">. Никель                                                                                                «__»_________ 20__г.</w:t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распоряжением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</w:t>
      </w:r>
      <w:r>
        <w:rPr>
          <w:color w:val="c0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от «_____» ___________ 20__г. №__ в отношении 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                                             </w:t>
      </w:r>
      <w:r>
        <w:rPr>
          <w:color w:val="auto"/>
          <w:sz w:val="18"/>
          <w:szCs w:val="18"/>
        </w:rPr>
        <w:t xml:space="preserve">(указывается наименование объекта контроля)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spacing w:line="266" w:lineRule="exact"/>
        <w:widowControl w:val="off"/>
        <w:tabs>
          <w:tab w:val="left" w:pos="9927" w:leader="underscor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назначена/проводится _____________________________________________________________________________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left="4060"/>
        <w:spacing w:after="244" w:line="200" w:lineRule="exact"/>
        <w:widowControl w:val="off"/>
        <w:rPr>
          <w:rFonts w:ascii="PT Astra Serif" w:hAnsi="PT Astra Serif"/>
          <w:color w:val="auto"/>
          <w:sz w:val="16"/>
          <w:szCs w:val="16"/>
          <w:lang w:eastAsia="en-US"/>
        </w:rPr>
      </w:pPr>
      <w:r>
        <w:rPr>
          <w:rFonts w:ascii="PT Astra Serif" w:hAnsi="PT Astra Serif"/>
          <w:color w:val="auto"/>
          <w:sz w:val="16"/>
          <w:szCs w:val="16"/>
          <w:lang w:eastAsia="en-US"/>
        </w:rPr>
        <w:t xml:space="preserve">(указываются метод и тема контрольного мероприятия)</w:t>
      </w:r>
      <w:r>
        <w:rPr>
          <w:rFonts w:ascii="PT Astra Serif" w:hAnsi="PT Astra Serif"/>
          <w:color w:val="auto"/>
          <w:sz w:val="16"/>
          <w:szCs w:val="16"/>
          <w:lang w:eastAsia="en-US"/>
        </w:rPr>
      </w:r>
      <w:r>
        <w:rPr>
          <w:rFonts w:ascii="PT Astra Serif" w:hAnsi="PT Astra Serif"/>
          <w:color w:val="auto"/>
          <w:sz w:val="16"/>
          <w:szCs w:val="16"/>
          <w:lang w:eastAsia="en-US"/>
        </w:rPr>
      </w:r>
    </w:p>
    <w:p>
      <w:pPr>
        <w:ind w:firstLine="709"/>
        <w:jc w:val="both"/>
        <w:spacing w:line="270" w:lineRule="exact"/>
        <w:widowControl w:val="off"/>
        <w:tabs>
          <w:tab w:val="left" w:pos="1143" w:leader="none"/>
          <w:tab w:val="left" w:pos="3453" w:leader="none"/>
          <w:tab w:val="left" w:pos="5480" w:leader="none"/>
          <w:tab w:val="left" w:pos="8017" w:leader="none"/>
        </w:tabs>
        <w:rPr>
          <w:rFonts w:ascii="PT Astra Serif" w:hAnsi="PT Astra Serif"/>
          <w:color w:val="auto"/>
          <w:sz w:val="22"/>
          <w:szCs w:val="22"/>
          <w:lang w:eastAsia="en-US"/>
        </w:rPr>
      </w:pPr>
      <w:r>
        <w:rPr>
          <w:color w:val="auto"/>
          <w:sz w:val="24"/>
          <w:szCs w:val="24"/>
          <w:lang w:eastAsia="en-US"/>
        </w:rPr>
        <w:t xml:space="preserve">В соответствии с пунктом 3 статьи 266.1 Бюджетного кодекса Российской Фед</w:t>
      </w:r>
      <w:r>
        <w:rPr>
          <w:color w:val="auto"/>
          <w:sz w:val="24"/>
          <w:szCs w:val="24"/>
          <w:lang w:eastAsia="en-US"/>
        </w:rPr>
        <w:t xml:space="preserve">ерации, подпунктом «ж» пункта 9 Федерального стандарта внутреннего государственного (муниципального) финансового контроля «Права и обязанности должностных лиц органов внутреннего государственного (муниципального) финансового контроля и объектов внутреннего</w:t>
      </w:r>
      <w:r>
        <w:rPr>
          <w:color w:val="auto"/>
          <w:sz w:val="24"/>
          <w:szCs w:val="24"/>
          <w:lang w:eastAsia="en-US"/>
        </w:rPr>
        <w:t xml:space="preserve"> государственного (муниципального) финансового контроля (их должностных лиц) при осуществлении внутреннего государственного (муниципального) финансового контроля», утвержденного постановлением Правительства Российской Федерации от 06.02.2020 № 100, прошу в</w:t>
      </w:r>
      <w:r>
        <w:rPr>
          <w:color w:val="auto"/>
          <w:sz w:val="24"/>
          <w:szCs w:val="24"/>
          <w:lang w:eastAsia="en-US"/>
        </w:rPr>
        <w:t xml:space="preserve"> срок</w:t>
      </w:r>
      <w:r>
        <w:rPr>
          <w:color w:val="auto"/>
          <w:sz w:val="24"/>
          <w:szCs w:val="24"/>
          <w:vertAlign w:val="superscript"/>
          <w:lang w:eastAsia="en-US"/>
        </w:rPr>
        <w:footnoteReference w:id="8"/>
      </w:r>
      <w:r>
        <w:rPr>
          <w:color w:val="auto"/>
          <w:sz w:val="24"/>
          <w:szCs w:val="24"/>
          <w:lang w:eastAsia="en-US"/>
        </w:rPr>
        <w:t xml:space="preserve"> не менее 3 рабочих дней со дня получения запроса представить доступ к следующим информационным системам:</w:t>
      </w:r>
      <w:r>
        <w:rPr>
          <w:rFonts w:ascii="PT Astra Serif" w:hAnsi="PT Astra Serif"/>
          <w:color w:val="auto"/>
          <w:sz w:val="22"/>
          <w:szCs w:val="22"/>
          <w:lang w:eastAsia="en-US"/>
        </w:rPr>
        <w:t xml:space="preserve"> ___________________________________</w:t>
      </w:r>
      <w:r>
        <w:rPr>
          <w:rFonts w:ascii="PT Astra Serif" w:hAnsi="PT Astra Serif"/>
          <w:color w:val="auto"/>
          <w:sz w:val="22"/>
          <w:szCs w:val="22"/>
          <w:lang w:eastAsia="en-US"/>
        </w:rPr>
      </w:r>
      <w:r>
        <w:rPr>
          <w:rFonts w:ascii="PT Astra Serif" w:hAnsi="PT Astra Serif"/>
          <w:color w:val="auto"/>
          <w:sz w:val="22"/>
          <w:szCs w:val="22"/>
          <w:lang w:eastAsia="en-US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Непредставление или несвоевременное представление информации</w:t>
      </w:r>
      <w:r>
        <w:rPr>
          <w:color w:val="auto"/>
          <w:sz w:val="24"/>
          <w:szCs w:val="24"/>
        </w:rPr>
        <w:t xml:space="preserve">, документов и материалов, указанных в настоящем запросе, а равно их представление не в полном объеме или представление недостоверных информации, документов и материалов, влечет за собой ответственность, установленную законодательством Российской Федерации</w:t>
      </w:r>
      <w:r>
        <w:rPr>
          <w:color w:val="auto"/>
          <w:sz w:val="24"/>
          <w:szCs w:val="24"/>
          <w:vertAlign w:val="superscript"/>
        </w:rPr>
        <w:footnoteReference w:id="9"/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Style w:val="95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2217"/>
        <w:gridCol w:w="301"/>
        <w:gridCol w:w="567"/>
        <w:gridCol w:w="425"/>
        <w:gridCol w:w="709"/>
        <w:gridCol w:w="284"/>
        <w:gridCol w:w="283"/>
        <w:gridCol w:w="709"/>
        <w:gridCol w:w="283"/>
        <w:gridCol w:w="1276"/>
        <w:gridCol w:w="284"/>
        <w:gridCol w:w="2233"/>
      </w:tblGrid>
      <w:tr>
        <w:tblPrEx/>
        <w:trPr/>
        <w:tc>
          <w:tcPr>
            <w:gridSpan w:val="12"/>
            <w:tcW w:w="9571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Руководитель проверочной (ревизионной) группы (уполномоченное на проведение контрольного мероприятия должностное лицо)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2217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301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W w:w="1276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233" w:type="dxa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3"/>
            <w:tcBorders>
              <w:bottom w:val="single" w:color="auto" w:sz="4" w:space="0"/>
            </w:tcBorders>
            <w:tcW w:w="3085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25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709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1559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</w:tcBorders>
            <w:tcW w:w="3085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(Должность)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425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(Дата)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1559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(Подпись)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(Расшифровка подписи)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/>
        <w:tc>
          <w:tcPr>
            <w:gridSpan w:val="12"/>
            <w:tcW w:w="957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12"/>
            <w:tcW w:w="957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Отметка о получении запроса о представлении документов, информации и материалов, необходимых документов, для проведения выездного контрольного мероприятия</w:t>
            </w:r>
            <w:r>
              <w:rPr>
                <w:rFonts w:eastAsiaTheme="minorHAnsi"/>
                <w:color w:val="auto"/>
                <w:sz w:val="24"/>
                <w:szCs w:val="24"/>
                <w:vertAlign w:val="superscript"/>
                <w:lang w:eastAsia="en-US"/>
              </w:rPr>
              <w:footnoteReference w:id="10"/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2217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3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W w:w="17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W w:w="992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23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217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3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Borders>
              <w:bottom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both"/>
              <w:spacing w:after="200" w:line="276" w:lineRule="auto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2217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(Учреждение)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301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(Должность)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(Дата)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(Подпись)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  <w:tc>
          <w:tcPr>
            <w:tcBorders>
              <w:top w:val="single" w:color="auto" w:sz="4" w:space="0"/>
            </w:tcBorders>
            <w:tcW w:w="2233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Theme="minorHAnsi"/>
                <w:color w:val="auto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(Расшифровка подписи, Ф.И.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О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  <w:t xml:space="preserve"> полностью)</w:t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  <w:r>
              <w:rPr>
                <w:rFonts w:eastAsiaTheme="minorHAnsi"/>
                <w:color w:val="auto"/>
                <w:sz w:val="16"/>
                <w:szCs w:val="16"/>
                <w:lang w:eastAsia="en-US"/>
              </w:rPr>
            </w:r>
          </w:p>
        </w:tc>
      </w:tr>
    </w:tbl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0" w:type="auto"/>
        <w:tblInd w:w="4786" w:type="dxa"/>
        <w:tblLook w:val="04A0" w:firstRow="1" w:lastRow="0" w:firstColumn="1" w:lastColumn="0" w:noHBand="0" w:noVBand="1"/>
      </w:tblPr>
      <w:tblGrid>
        <w:gridCol w:w="4678"/>
      </w:tblGrid>
      <w:tr>
        <w:tblPrEx/>
        <w:trPr>
          <w:trHeight w:val="438"/>
        </w:trPr>
        <w:tc>
          <w:tcPr>
            <w:shd w:val="clear" w:color="auto" w:fill="auto"/>
            <w:tcW w:w="4678" w:type="dxa"/>
            <w:textDirection w:val="lrTb"/>
            <w:noWrap w:val="false"/>
          </w:tcPr>
          <w:p>
            <w:pPr>
              <w:jc w:val="right"/>
              <w:rPr>
                <w:b/>
                <w:color w:val="auto"/>
                <w:sz w:val="24"/>
                <w:szCs w:val="24"/>
              </w:rPr>
              <w:outlineLvl w:val="0"/>
            </w:pP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b/>
                <w:color w:val="auto"/>
                <w:sz w:val="24"/>
                <w:szCs w:val="24"/>
              </w:rPr>
              <w:outlineLvl w:val="0"/>
            </w:pP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b/>
                <w:color w:val="auto"/>
                <w:sz w:val="24"/>
                <w:szCs w:val="24"/>
              </w:rPr>
              <w:outlineLvl w:val="0"/>
            </w:pP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b/>
                <w:color w:val="auto"/>
                <w:sz w:val="24"/>
                <w:szCs w:val="24"/>
              </w:rPr>
              <w:outlineLvl w:val="0"/>
            </w:pPr>
            <w:r>
              <w:rPr>
                <w:b/>
                <w:color w:val="auto"/>
                <w:sz w:val="24"/>
                <w:szCs w:val="24"/>
              </w:rPr>
              <w:t xml:space="preserve">Приложение  № </w:t>
            </w:r>
            <w:r>
              <w:rPr>
                <w:b/>
                <w:color w:val="auto"/>
                <w:sz w:val="24"/>
                <w:szCs w:val="24"/>
              </w:rPr>
              <w:t xml:space="preserve">5</w:t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</w:rPr>
              <w:outlineLvl w:val="0"/>
            </w:pPr>
            <w:r>
              <w:rPr>
                <w:color w:val="auto"/>
                <w:sz w:val="24"/>
                <w:szCs w:val="24"/>
              </w:rPr>
              <w:t xml:space="preserve">к ведомственному  стандарту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right"/>
              <w:rPr>
                <w:color w:val="auto"/>
                <w:sz w:val="24"/>
                <w:szCs w:val="24"/>
                <w:highlight w:val="lightGray"/>
              </w:rPr>
              <w:outlineLvl w:val="0"/>
            </w:pPr>
            <w:r>
              <w:rPr>
                <w:color w:val="auto"/>
                <w:sz w:val="24"/>
                <w:szCs w:val="24"/>
              </w:rPr>
              <w:t xml:space="preserve"> внутреннего муниципального финансового контроля в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  <w:highlight w:val="lightGray"/>
              </w:rPr>
            </w:r>
            <w:r>
              <w:rPr>
                <w:color w:val="auto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rPr>
          <w:color w:val="auto"/>
          <w:sz w:val="24"/>
          <w:szCs w:val="24"/>
          <w:highlight w:val="lightGray"/>
        </w:rPr>
      </w:pP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  <w:r>
        <w:rPr>
          <w:color w:val="auto"/>
          <w:sz w:val="24"/>
          <w:szCs w:val="24"/>
          <w:highlight w:val="lightGray"/>
        </w:rPr>
      </w:r>
    </w:p>
    <w:p>
      <w:pPr>
        <w:ind w:left="6237"/>
        <w:widowControl w:val="off"/>
        <w:rPr>
          <w:color w:val="5f497a" w:themeColor="accent4" w:themeShade="BF"/>
          <w:sz w:val="24"/>
          <w:szCs w:val="24"/>
          <w:lang w:eastAsia="en-US"/>
        </w:rPr>
      </w:pPr>
      <w:r>
        <w:rPr>
          <w:color w:val="5f497a" w:themeColor="accent4" w:themeShade="BF"/>
          <w:sz w:val="24"/>
          <w:szCs w:val="24"/>
          <w:lang w:eastAsia="en-US"/>
        </w:rPr>
      </w:r>
      <w:r>
        <w:rPr>
          <w:color w:val="5f497a" w:themeColor="accent4" w:themeShade="BF"/>
          <w:sz w:val="24"/>
          <w:szCs w:val="24"/>
          <w:lang w:eastAsia="en-US"/>
        </w:rPr>
      </w:r>
      <w:r>
        <w:rPr>
          <w:color w:val="5f497a" w:themeColor="accent4" w:themeShade="BF"/>
          <w:sz w:val="24"/>
          <w:szCs w:val="24"/>
          <w:lang w:eastAsia="en-US"/>
        </w:rPr>
      </w:r>
    </w:p>
    <w:tbl>
      <w:tblPr>
        <w:tblStyle w:val="948"/>
        <w:tblW w:w="4253" w:type="dxa"/>
        <w:tblInd w:w="5211" w:type="dxa"/>
        <w:tblBorders>
          <w:left w:val="none" w:color="auto" w:sz="0" w:space="0"/>
          <w:bottom w:val="none" w:color="auto" w:sz="0" w:space="0"/>
          <w:right w:val="none" w:color="auto" w:sz="0" w:space="0"/>
        </w:tblBorders>
        <w:tblLook w:val="04A0" w:firstRow="1" w:lastRow="0" w:firstColumn="1" w:lastColumn="0" w:noHBand="0" w:noVBand="1"/>
      </w:tblPr>
      <w:tblGrid>
        <w:gridCol w:w="4253"/>
      </w:tblGrid>
      <w:tr>
        <w:tblPrEx/>
        <w:trPr>
          <w:trHeight w:val="679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(должность уполномоченного должностною лица</w:t>
            </w:r>
            <w:r>
              <w:rPr>
                <w:color w:val="auto"/>
                <w:sz w:val="16"/>
                <w:szCs w:val="16"/>
                <w:lang w:eastAsia="en-US"/>
              </w:rPr>
              <w:br/>
              <w:t xml:space="preserve">объекта контроля,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566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наименование объекта контроля,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569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Фамилия И.О. должностного лица объекта контроля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  <w:tr>
        <w:tblPrEx/>
        <w:trPr>
          <w:trHeight w:val="166" w:hRule="exact"/>
        </w:trPr>
        <w:tc>
          <w:tcPr>
            <w:tcW w:w="4253" w:type="dxa"/>
            <w:textDirection w:val="lrTb"/>
            <w:noWrap w:val="false"/>
          </w:tcPr>
          <w:p>
            <w:pPr>
              <w:jc w:val="center"/>
              <w:spacing w:line="160" w:lineRule="exac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 xml:space="preserve">(адрес объекта контроля (при необходимости))</w:t>
            </w:r>
            <w:r>
              <w:rPr>
                <w:color w:val="auto"/>
                <w:sz w:val="16"/>
                <w:szCs w:val="16"/>
                <w:lang w:eastAsia="en-US"/>
              </w:rPr>
            </w:r>
            <w:r>
              <w:rPr>
                <w:color w:val="auto"/>
                <w:sz w:val="16"/>
                <w:szCs w:val="16"/>
                <w:lang w:eastAsia="en-US"/>
              </w:rPr>
            </w:r>
          </w:p>
        </w:tc>
      </w:tr>
    </w:tbl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Справка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о завершении контрольных действий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п.г.т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 Никель                                                                                                 «__»_________ 20__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На основании распоряжения от «___»_________20__г. №___ проводится _____________________________________________________________________________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16"/>
          <w:szCs w:val="16"/>
          <w:lang w:eastAsia="en-US"/>
        </w:rPr>
      </w:pPr>
      <w:r>
        <w:rPr>
          <w:rFonts w:eastAsiaTheme="minorHAnsi"/>
          <w:color w:val="auto"/>
          <w:sz w:val="16"/>
          <w:szCs w:val="16"/>
          <w:lang w:eastAsia="en-US"/>
        </w:rPr>
        <w:t xml:space="preserve">(указывается метод и тема контрольного мероприятия, наименование объекта контроля)</w:t>
      </w:r>
      <w:r>
        <w:rPr>
          <w:rFonts w:eastAsiaTheme="minorHAnsi"/>
          <w:color w:val="auto"/>
          <w:sz w:val="16"/>
          <w:szCs w:val="16"/>
          <w:lang w:eastAsia="en-US"/>
        </w:rPr>
      </w:r>
      <w:r>
        <w:rPr>
          <w:rFonts w:eastAsiaTheme="minorHAnsi"/>
          <w:color w:val="auto"/>
          <w:sz w:val="16"/>
          <w:szCs w:val="1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за период с «___» ________20__г. по «___» _________20__г.  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Контрольные действия по месту нахождения  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16"/>
          <w:szCs w:val="16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_____________________________________________________________________________ </w:t>
      </w:r>
      <w:r>
        <w:rPr>
          <w:rFonts w:eastAsiaTheme="minorHAnsi"/>
          <w:color w:val="auto"/>
          <w:sz w:val="16"/>
          <w:szCs w:val="16"/>
          <w:lang w:eastAsia="en-US"/>
        </w:rPr>
        <w:t xml:space="preserve">(наименование объекта контроля (для выездных проверок (ревизий) или контрольного органа (для камеральных проверок)</w:t>
      </w:r>
      <w:r>
        <w:rPr>
          <w:rFonts w:eastAsiaTheme="minorHAnsi"/>
          <w:color w:val="auto"/>
          <w:sz w:val="16"/>
          <w:szCs w:val="16"/>
          <w:lang w:eastAsia="en-US"/>
        </w:rPr>
      </w:r>
      <w:r>
        <w:rPr>
          <w:rFonts w:eastAsiaTheme="minorHAnsi"/>
          <w:color w:val="auto"/>
          <w:sz w:val="16"/>
          <w:szCs w:val="1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окончены «___» __________20__ года. 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Справку составил: ____________________________________________________________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16"/>
          <w:szCs w:val="16"/>
          <w:lang w:eastAsia="en-US"/>
        </w:rPr>
      </w:pPr>
      <w:r>
        <w:rPr>
          <w:rFonts w:eastAsiaTheme="minorHAnsi"/>
          <w:color w:val="auto"/>
          <w:sz w:val="16"/>
          <w:szCs w:val="16"/>
          <w:lang w:eastAsia="en-US"/>
        </w:rPr>
        <w:t xml:space="preserve">                                                                                                (Ф.И.О.</w:t>
      </w:r>
      <w:r>
        <w:t xml:space="preserve"> </w:t>
      </w:r>
      <w:r>
        <w:rPr>
          <w:rFonts w:eastAsiaTheme="minorHAnsi"/>
          <w:color w:val="auto"/>
          <w:sz w:val="16"/>
          <w:szCs w:val="16"/>
          <w:lang w:eastAsia="en-US"/>
        </w:rPr>
        <w:t xml:space="preserve">руководител</w:t>
      </w:r>
      <w:r>
        <w:rPr>
          <w:rFonts w:eastAsiaTheme="minorHAnsi"/>
          <w:color w:val="auto"/>
          <w:sz w:val="16"/>
          <w:szCs w:val="16"/>
          <w:lang w:eastAsia="en-US"/>
        </w:rPr>
        <w:t xml:space="preserve">я</w:t>
      </w:r>
      <w:r>
        <w:rPr>
          <w:rFonts w:eastAsiaTheme="minorHAnsi"/>
          <w:color w:val="auto"/>
          <w:sz w:val="16"/>
          <w:szCs w:val="16"/>
          <w:lang w:eastAsia="en-US"/>
        </w:rPr>
        <w:t xml:space="preserve"> контрольного мероприятия</w:t>
      </w:r>
      <w:r>
        <w:rPr>
          <w:rFonts w:eastAsiaTheme="minorHAnsi"/>
          <w:color w:val="auto"/>
          <w:sz w:val="16"/>
          <w:szCs w:val="16"/>
          <w:lang w:eastAsia="en-US"/>
        </w:rPr>
        <w:t xml:space="preserve">)</w:t>
      </w:r>
      <w:r>
        <w:rPr>
          <w:rFonts w:eastAsiaTheme="minorHAnsi"/>
          <w:color w:val="auto"/>
          <w:sz w:val="16"/>
          <w:szCs w:val="16"/>
          <w:lang w:eastAsia="en-US"/>
        </w:rPr>
      </w:r>
      <w:r>
        <w:rPr>
          <w:rFonts w:eastAsiaTheme="minorHAnsi"/>
          <w:color w:val="auto"/>
          <w:sz w:val="16"/>
          <w:szCs w:val="1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Подпись</w:t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Дата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Копию справки получил: _____________________________________________________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16"/>
          <w:szCs w:val="16"/>
          <w:lang w:eastAsia="en-US"/>
        </w:rPr>
      </w:pPr>
      <w:r>
        <w:rPr>
          <w:rFonts w:eastAsiaTheme="minorHAnsi"/>
          <w:color w:val="auto"/>
          <w:sz w:val="16"/>
          <w:szCs w:val="16"/>
          <w:lang w:eastAsia="en-US"/>
        </w:rPr>
        <w:t xml:space="preserve">                                                                                        (должность, Ф.И.О. уполномоченного представителя объекта контроля)</w:t>
      </w:r>
      <w:r>
        <w:rPr>
          <w:rFonts w:eastAsiaTheme="minorHAnsi"/>
          <w:color w:val="auto"/>
          <w:sz w:val="16"/>
          <w:szCs w:val="16"/>
          <w:lang w:eastAsia="en-US"/>
        </w:rPr>
      </w:r>
      <w:r>
        <w:rPr>
          <w:rFonts w:eastAsiaTheme="minorHAnsi"/>
          <w:color w:val="auto"/>
          <w:sz w:val="16"/>
          <w:szCs w:val="1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Подпись</w:t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  <w:tab/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Дата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</w:r>
      <w:r>
        <w:rPr>
          <w:b/>
          <w:color w:val="000000" w:themeColor="text1"/>
        </w:rPr>
      </w:r>
      <w:r>
        <w:rPr>
          <w:b/>
          <w:color w:val="000000" w:themeColor="text1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46"/>
        <w:jc w:val="both"/>
        <w:rPr>
          <w:sz w:val="16"/>
          <w:szCs w:val="16"/>
        </w:rPr>
      </w:pPr>
      <w:r>
        <w:rPr>
          <w:rStyle w:val="949"/>
          <w:sz w:val="16"/>
          <w:szCs w:val="16"/>
        </w:rPr>
        <w:footnoteRef/>
      </w:r>
      <w:r>
        <w:rPr>
          <w:sz w:val="16"/>
          <w:szCs w:val="16"/>
        </w:rPr>
        <w:t xml:space="preserve"> Срок указывается в соответствии с пу</w:t>
      </w:r>
      <w:r>
        <w:rPr>
          <w:sz w:val="16"/>
          <w:szCs w:val="16"/>
        </w:rPr>
        <w:t xml:space="preserve">нктом 4 Федерального стандарта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утвержденным постановлением Правительства Российской Федерации от 17.08.2020 № 1235</w:t>
      </w:r>
      <w:r>
        <w:rPr>
          <w:sz w:val="16"/>
          <w:szCs w:val="16"/>
        </w:rPr>
      </w:r>
      <w:r>
        <w:rPr>
          <w:sz w:val="16"/>
          <w:szCs w:val="16"/>
        </w:rPr>
      </w:r>
    </w:p>
  </w:footnote>
  <w:footnote w:id="3">
    <w:p>
      <w:pPr>
        <w:pStyle w:val="946"/>
        <w:rPr>
          <w:sz w:val="16"/>
          <w:szCs w:val="16"/>
        </w:rPr>
      </w:pPr>
      <w:r>
        <w:rPr>
          <w:rStyle w:val="949"/>
          <w:sz w:val="16"/>
          <w:szCs w:val="16"/>
        </w:rPr>
        <w:footnoteRef/>
      </w:r>
      <w:r>
        <w:rPr>
          <w:sz w:val="16"/>
          <w:szCs w:val="16"/>
        </w:rPr>
        <w:t xml:space="preserve"> Пункт 3 статьи 266.1 Бюджетного кодекса Российской Федерации.</w:t>
      </w:r>
      <w:r>
        <w:rPr>
          <w:sz w:val="16"/>
          <w:szCs w:val="16"/>
        </w:rPr>
      </w:r>
      <w:r>
        <w:rPr>
          <w:sz w:val="16"/>
          <w:szCs w:val="16"/>
        </w:rPr>
      </w:r>
    </w:p>
  </w:footnote>
  <w:footnote w:id="4">
    <w:p>
      <w:pPr>
        <w:pStyle w:val="946"/>
        <w:rPr>
          <w:sz w:val="16"/>
          <w:szCs w:val="16"/>
        </w:rPr>
      </w:pPr>
      <w:r>
        <w:rPr>
          <w:rStyle w:val="949"/>
          <w:sz w:val="16"/>
          <w:szCs w:val="16"/>
        </w:rPr>
        <w:footnoteRef/>
      </w:r>
      <w:r>
        <w:rPr>
          <w:sz w:val="16"/>
          <w:szCs w:val="16"/>
        </w:rPr>
        <w:t xml:space="preserve"> Указывается в случае вручения запроса представителю объекта контроля нарочно.</w:t>
      </w:r>
      <w:r>
        <w:rPr>
          <w:sz w:val="16"/>
          <w:szCs w:val="16"/>
        </w:rPr>
      </w:r>
      <w:r>
        <w:rPr>
          <w:sz w:val="16"/>
          <w:szCs w:val="16"/>
        </w:rPr>
      </w:r>
    </w:p>
  </w:footnote>
  <w:footnote w:id="5">
    <w:p>
      <w:pPr>
        <w:pStyle w:val="946"/>
        <w:jc w:val="both"/>
        <w:rPr>
          <w:sz w:val="16"/>
          <w:szCs w:val="16"/>
        </w:rPr>
      </w:pPr>
      <w:r>
        <w:rPr>
          <w:rStyle w:val="949"/>
          <w:sz w:val="16"/>
          <w:szCs w:val="16"/>
        </w:rPr>
        <w:footnoteRef/>
      </w:r>
      <w:r>
        <w:rPr>
          <w:sz w:val="16"/>
          <w:szCs w:val="16"/>
        </w:rPr>
        <w:t xml:space="preserve"> Срок указывается в соответствии с пу</w:t>
      </w:r>
      <w:r>
        <w:rPr>
          <w:sz w:val="16"/>
          <w:szCs w:val="16"/>
        </w:rPr>
        <w:t xml:space="preserve">нктом 4 Федерального стандарта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утвержденным постановлением Правительства Российской Федерации от 17.08.2020 № 1235</w:t>
      </w:r>
      <w:r>
        <w:rPr>
          <w:sz w:val="16"/>
          <w:szCs w:val="16"/>
        </w:rPr>
      </w:r>
      <w:r>
        <w:rPr>
          <w:sz w:val="16"/>
          <w:szCs w:val="16"/>
        </w:rPr>
      </w:r>
    </w:p>
  </w:footnote>
  <w:footnote w:id="6">
    <w:p>
      <w:pPr>
        <w:pStyle w:val="946"/>
        <w:rPr>
          <w:sz w:val="16"/>
          <w:szCs w:val="16"/>
        </w:rPr>
      </w:pPr>
      <w:r>
        <w:rPr>
          <w:rStyle w:val="949"/>
          <w:sz w:val="16"/>
          <w:szCs w:val="16"/>
        </w:rPr>
        <w:footnoteRef/>
      </w:r>
      <w:r>
        <w:rPr>
          <w:sz w:val="16"/>
          <w:szCs w:val="16"/>
        </w:rPr>
        <w:t xml:space="preserve"> Пункт 3 статьи 266.1 Бюджетного кодекса Российской Федерации.</w:t>
      </w:r>
      <w:r>
        <w:rPr>
          <w:sz w:val="16"/>
          <w:szCs w:val="16"/>
        </w:rPr>
      </w:r>
      <w:r>
        <w:rPr>
          <w:sz w:val="16"/>
          <w:szCs w:val="16"/>
        </w:rPr>
      </w:r>
    </w:p>
  </w:footnote>
  <w:footnote w:id="7">
    <w:p>
      <w:pPr>
        <w:pStyle w:val="946"/>
        <w:rPr>
          <w:sz w:val="16"/>
          <w:szCs w:val="16"/>
        </w:rPr>
      </w:pPr>
      <w:r>
        <w:rPr>
          <w:rStyle w:val="949"/>
          <w:sz w:val="16"/>
          <w:szCs w:val="16"/>
        </w:rPr>
        <w:footnoteRef/>
      </w:r>
      <w:r>
        <w:rPr>
          <w:sz w:val="16"/>
          <w:szCs w:val="16"/>
        </w:rPr>
        <w:t xml:space="preserve"> Указывается в случае вручения запроса представителю объекта контроля нарочно.</w:t>
      </w:r>
      <w:r>
        <w:rPr>
          <w:sz w:val="16"/>
          <w:szCs w:val="16"/>
        </w:rPr>
      </w:r>
      <w:r>
        <w:rPr>
          <w:sz w:val="16"/>
          <w:szCs w:val="16"/>
        </w:rPr>
      </w:r>
    </w:p>
  </w:footnote>
  <w:footnote w:id="8">
    <w:p>
      <w:pPr>
        <w:pStyle w:val="946"/>
        <w:jc w:val="both"/>
        <w:rPr>
          <w:rFonts w:ascii="PT Astra Serif" w:hAnsi="PT Astra Serif"/>
          <w:sz w:val="16"/>
          <w:szCs w:val="16"/>
        </w:rPr>
      </w:pPr>
      <w:r>
        <w:rPr>
          <w:rStyle w:val="949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16"/>
          <w:szCs w:val="16"/>
        </w:rPr>
        <w:t xml:space="preserve">Срок указывается в соответствии с пу</w:t>
      </w:r>
      <w:r>
        <w:rPr>
          <w:rFonts w:ascii="PT Astra Serif" w:hAnsi="PT Astra Serif"/>
          <w:sz w:val="16"/>
          <w:szCs w:val="16"/>
        </w:rPr>
        <w:t xml:space="preserve">нктом 6 Федерального стандарта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утвержденным постановлением Правительства Российской Федерации от 17.08.2020 № 1235</w:t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</w:footnote>
  <w:footnote w:id="9">
    <w:p>
      <w:pPr>
        <w:pStyle w:val="946"/>
        <w:rPr>
          <w:sz w:val="16"/>
          <w:szCs w:val="16"/>
        </w:rPr>
      </w:pPr>
      <w:r>
        <w:rPr>
          <w:rStyle w:val="949"/>
          <w:sz w:val="16"/>
          <w:szCs w:val="16"/>
        </w:rPr>
        <w:footnoteRef/>
      </w:r>
      <w:r>
        <w:rPr>
          <w:sz w:val="16"/>
          <w:szCs w:val="16"/>
        </w:rPr>
        <w:t xml:space="preserve"> Пункт 3 статьи 266.1 Бюджетного кодекса Российской Федерации.</w:t>
      </w:r>
      <w:r>
        <w:rPr>
          <w:sz w:val="16"/>
          <w:szCs w:val="16"/>
        </w:rPr>
      </w:r>
      <w:r>
        <w:rPr>
          <w:sz w:val="16"/>
          <w:szCs w:val="16"/>
        </w:rPr>
      </w:r>
    </w:p>
  </w:footnote>
  <w:footnote w:id="10">
    <w:p>
      <w:pPr>
        <w:pStyle w:val="946"/>
        <w:rPr>
          <w:sz w:val="16"/>
          <w:szCs w:val="16"/>
        </w:rPr>
      </w:pPr>
      <w:r>
        <w:rPr>
          <w:rStyle w:val="949"/>
          <w:sz w:val="16"/>
          <w:szCs w:val="16"/>
        </w:rPr>
        <w:footnoteRef/>
      </w:r>
      <w:r>
        <w:rPr>
          <w:sz w:val="16"/>
          <w:szCs w:val="16"/>
        </w:rPr>
        <w:t xml:space="preserve"> Указывается в случае вручения запроса представителю объекта контроля нарочно.</w:t>
      </w:r>
      <w:r>
        <w:rPr>
          <w:sz w:val="16"/>
          <w:szCs w:val="16"/>
        </w:rPr>
      </w:r>
      <w:r>
        <w:rPr>
          <w:sz w:val="16"/>
          <w:szCs w:val="16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PT Astra Serif" w:hAnsi="PT Astra Serif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0" w:firstLine="0"/>
      </w:pPr>
      <w:rPr>
        <w:rFonts w:hint="default" w:ascii="PT Astra Serif" w:hAnsi="PT Astra Serif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3">
    <w:name w:val="Heading 1"/>
    <w:basedOn w:val="934"/>
    <w:next w:val="934"/>
    <w:link w:val="76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64">
    <w:name w:val="Heading 1 Char"/>
    <w:basedOn w:val="936"/>
    <w:link w:val="763"/>
    <w:uiPriority w:val="9"/>
    <w:rPr>
      <w:rFonts w:ascii="Arial" w:hAnsi="Arial" w:eastAsia="Arial" w:cs="Arial"/>
      <w:sz w:val="40"/>
      <w:szCs w:val="40"/>
    </w:rPr>
  </w:style>
  <w:style w:type="paragraph" w:styleId="765">
    <w:name w:val="Heading 2"/>
    <w:basedOn w:val="934"/>
    <w:next w:val="934"/>
    <w:link w:val="76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6">
    <w:name w:val="Heading 2 Char"/>
    <w:basedOn w:val="936"/>
    <w:link w:val="765"/>
    <w:uiPriority w:val="9"/>
    <w:rPr>
      <w:rFonts w:ascii="Arial" w:hAnsi="Arial" w:eastAsia="Arial" w:cs="Arial"/>
      <w:sz w:val="34"/>
    </w:rPr>
  </w:style>
  <w:style w:type="paragraph" w:styleId="767">
    <w:name w:val="Heading 3"/>
    <w:basedOn w:val="934"/>
    <w:next w:val="934"/>
    <w:link w:val="76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8">
    <w:name w:val="Heading 3 Char"/>
    <w:basedOn w:val="936"/>
    <w:link w:val="767"/>
    <w:uiPriority w:val="9"/>
    <w:rPr>
      <w:rFonts w:ascii="Arial" w:hAnsi="Arial" w:eastAsia="Arial" w:cs="Arial"/>
      <w:sz w:val="30"/>
      <w:szCs w:val="30"/>
    </w:rPr>
  </w:style>
  <w:style w:type="character" w:styleId="769">
    <w:name w:val="Heading 4 Char"/>
    <w:basedOn w:val="936"/>
    <w:link w:val="935"/>
    <w:uiPriority w:val="9"/>
    <w:rPr>
      <w:rFonts w:ascii="Arial" w:hAnsi="Arial" w:eastAsia="Arial" w:cs="Arial"/>
      <w:b/>
      <w:bCs/>
      <w:sz w:val="26"/>
      <w:szCs w:val="26"/>
    </w:rPr>
  </w:style>
  <w:style w:type="paragraph" w:styleId="770">
    <w:name w:val="Heading 5"/>
    <w:basedOn w:val="934"/>
    <w:next w:val="934"/>
    <w:link w:val="7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1">
    <w:name w:val="Heading 5 Char"/>
    <w:basedOn w:val="936"/>
    <w:link w:val="770"/>
    <w:uiPriority w:val="9"/>
    <w:rPr>
      <w:rFonts w:ascii="Arial" w:hAnsi="Arial" w:eastAsia="Arial" w:cs="Arial"/>
      <w:b/>
      <w:bCs/>
      <w:sz w:val="24"/>
      <w:szCs w:val="24"/>
    </w:rPr>
  </w:style>
  <w:style w:type="paragraph" w:styleId="772">
    <w:name w:val="Heading 6"/>
    <w:basedOn w:val="934"/>
    <w:next w:val="934"/>
    <w:link w:val="7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3">
    <w:name w:val="Heading 6 Char"/>
    <w:basedOn w:val="936"/>
    <w:link w:val="772"/>
    <w:uiPriority w:val="9"/>
    <w:rPr>
      <w:rFonts w:ascii="Arial" w:hAnsi="Arial" w:eastAsia="Arial" w:cs="Arial"/>
      <w:b/>
      <w:bCs/>
      <w:sz w:val="22"/>
      <w:szCs w:val="22"/>
    </w:rPr>
  </w:style>
  <w:style w:type="paragraph" w:styleId="774">
    <w:name w:val="Heading 7"/>
    <w:basedOn w:val="934"/>
    <w:next w:val="934"/>
    <w:link w:val="7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5">
    <w:name w:val="Heading 7 Char"/>
    <w:basedOn w:val="936"/>
    <w:link w:val="7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6">
    <w:name w:val="Heading 8"/>
    <w:basedOn w:val="934"/>
    <w:next w:val="934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7">
    <w:name w:val="Heading 8 Char"/>
    <w:basedOn w:val="936"/>
    <w:link w:val="776"/>
    <w:uiPriority w:val="9"/>
    <w:rPr>
      <w:rFonts w:ascii="Arial" w:hAnsi="Arial" w:eastAsia="Arial" w:cs="Arial"/>
      <w:i/>
      <w:iCs/>
      <w:sz w:val="22"/>
      <w:szCs w:val="22"/>
    </w:rPr>
  </w:style>
  <w:style w:type="paragraph" w:styleId="778">
    <w:name w:val="Heading 9"/>
    <w:basedOn w:val="934"/>
    <w:next w:val="934"/>
    <w:link w:val="7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9">
    <w:name w:val="Heading 9 Char"/>
    <w:basedOn w:val="936"/>
    <w:link w:val="778"/>
    <w:uiPriority w:val="9"/>
    <w:rPr>
      <w:rFonts w:ascii="Arial" w:hAnsi="Arial" w:eastAsia="Arial" w:cs="Arial"/>
      <w:i/>
      <w:iCs/>
      <w:sz w:val="21"/>
      <w:szCs w:val="21"/>
    </w:rPr>
  </w:style>
  <w:style w:type="paragraph" w:styleId="780">
    <w:name w:val="List Paragraph"/>
    <w:basedOn w:val="934"/>
    <w:uiPriority w:val="34"/>
    <w:qFormat/>
    <w:pPr>
      <w:contextualSpacing/>
      <w:ind w:left="720"/>
    </w:pPr>
  </w:style>
  <w:style w:type="paragraph" w:styleId="781">
    <w:name w:val="No Spacing"/>
    <w:uiPriority w:val="1"/>
    <w:qFormat/>
    <w:pPr>
      <w:spacing w:before="0" w:after="0" w:line="240" w:lineRule="auto"/>
    </w:pPr>
  </w:style>
  <w:style w:type="paragraph" w:styleId="782">
    <w:name w:val="Title"/>
    <w:basedOn w:val="934"/>
    <w:next w:val="934"/>
    <w:link w:val="7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3">
    <w:name w:val="Title Char"/>
    <w:basedOn w:val="936"/>
    <w:link w:val="782"/>
    <w:uiPriority w:val="10"/>
    <w:rPr>
      <w:sz w:val="48"/>
      <w:szCs w:val="48"/>
    </w:rPr>
  </w:style>
  <w:style w:type="paragraph" w:styleId="784">
    <w:name w:val="Subtitle"/>
    <w:basedOn w:val="934"/>
    <w:next w:val="934"/>
    <w:link w:val="785"/>
    <w:uiPriority w:val="11"/>
    <w:qFormat/>
    <w:pPr>
      <w:spacing w:before="200" w:after="200"/>
    </w:pPr>
    <w:rPr>
      <w:sz w:val="24"/>
      <w:szCs w:val="24"/>
    </w:rPr>
  </w:style>
  <w:style w:type="character" w:styleId="785">
    <w:name w:val="Subtitle Char"/>
    <w:basedOn w:val="936"/>
    <w:link w:val="784"/>
    <w:uiPriority w:val="11"/>
    <w:rPr>
      <w:sz w:val="24"/>
      <w:szCs w:val="24"/>
    </w:rPr>
  </w:style>
  <w:style w:type="paragraph" w:styleId="786">
    <w:name w:val="Quote"/>
    <w:basedOn w:val="934"/>
    <w:next w:val="934"/>
    <w:link w:val="787"/>
    <w:uiPriority w:val="29"/>
    <w:qFormat/>
    <w:pPr>
      <w:ind w:left="720" w:right="720"/>
    </w:pPr>
    <w:rPr>
      <w:i/>
    </w:rPr>
  </w:style>
  <w:style w:type="character" w:styleId="787">
    <w:name w:val="Quote Char"/>
    <w:link w:val="786"/>
    <w:uiPriority w:val="29"/>
    <w:rPr>
      <w:i/>
    </w:rPr>
  </w:style>
  <w:style w:type="paragraph" w:styleId="788">
    <w:name w:val="Intense Quote"/>
    <w:basedOn w:val="934"/>
    <w:next w:val="934"/>
    <w:link w:val="7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9">
    <w:name w:val="Intense Quote Char"/>
    <w:link w:val="788"/>
    <w:uiPriority w:val="30"/>
    <w:rPr>
      <w:i/>
    </w:rPr>
  </w:style>
  <w:style w:type="character" w:styleId="790">
    <w:name w:val="Header Char"/>
    <w:basedOn w:val="936"/>
    <w:link w:val="951"/>
    <w:uiPriority w:val="99"/>
  </w:style>
  <w:style w:type="character" w:styleId="791">
    <w:name w:val="Footer Char"/>
    <w:basedOn w:val="936"/>
    <w:link w:val="953"/>
    <w:uiPriority w:val="99"/>
  </w:style>
  <w:style w:type="paragraph" w:styleId="792">
    <w:name w:val="Caption"/>
    <w:basedOn w:val="934"/>
    <w:next w:val="9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3">
    <w:name w:val="Caption Char"/>
    <w:basedOn w:val="792"/>
    <w:link w:val="953"/>
    <w:uiPriority w:val="99"/>
  </w:style>
  <w:style w:type="table" w:styleId="794">
    <w:name w:val="Table Grid Light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Plain Table 1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>
    <w:name w:val="Grid Table 4 - Accent 1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3">
    <w:name w:val="Grid Table 4 - Accent 2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Grid Table 4 - Accent 3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5">
    <w:name w:val="Grid Table 4 - Accent 4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Grid Table 4 - Accent 5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7">
    <w:name w:val="Grid Table 4 - Accent 6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8">
    <w:name w:val="Grid Table 5 Dark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5">
    <w:name w:val="Grid Table 6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6">
    <w:name w:val="Grid Table 6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7">
    <w:name w:val="Grid Table 6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8">
    <w:name w:val="Grid Table 6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9">
    <w:name w:val="Grid Table 6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0">
    <w:name w:val="Grid Table 6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1">
    <w:name w:val="Grid Table 6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7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7">
    <w:name w:val="List Table 2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8">
    <w:name w:val="List Table 2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9">
    <w:name w:val="List Table 2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0">
    <w:name w:val="List Table 2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1">
    <w:name w:val="List Table 2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2">
    <w:name w:val="List Table 2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6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5">
    <w:name w:val="List Table 6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6">
    <w:name w:val="List Table 6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7">
    <w:name w:val="List Table 6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8">
    <w:name w:val="List Table 6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9">
    <w:name w:val="List Table 6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0">
    <w:name w:val="List Table 6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1">
    <w:name w:val="List Table 7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2">
    <w:name w:val="List Table 7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3">
    <w:name w:val="List Table 7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4">
    <w:name w:val="List Table 7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5">
    <w:name w:val="List Table 7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6">
    <w:name w:val="List Table 7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7">
    <w:name w:val="List Table 7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8">
    <w:name w:val="Lined - Accent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Lined - Accent 1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0">
    <w:name w:val="Lined - Accent 2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1">
    <w:name w:val="Lined - Accent 3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2">
    <w:name w:val="Lined - Accent 4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3">
    <w:name w:val="Lined - Accent 5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4">
    <w:name w:val="Lined - Accent 6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5">
    <w:name w:val="Bordered &amp; Lined - Accent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Bordered &amp; Lined - Accent 1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Bordered &amp; Lined - Accent 2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Bordered &amp; Lined - Accent 3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Bordered &amp; Lined - Accent 4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Bordered &amp; Lined - Accent 5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Bordered &amp; Lined - Accent 6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3">
    <w:name w:val="Bordered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4">
    <w:name w:val="Bordered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5">
    <w:name w:val="Bordered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6">
    <w:name w:val="Bordered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7">
    <w:name w:val="Bordered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8">
    <w:name w:val="Bordered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9">
    <w:name w:val="Footnote Text Char"/>
    <w:link w:val="946"/>
    <w:uiPriority w:val="99"/>
    <w:rPr>
      <w:sz w:val="18"/>
    </w:rPr>
  </w:style>
  <w:style w:type="paragraph" w:styleId="920">
    <w:name w:val="endnote text"/>
    <w:basedOn w:val="934"/>
    <w:link w:val="921"/>
    <w:uiPriority w:val="99"/>
    <w:semiHidden/>
    <w:unhideWhenUsed/>
    <w:pPr>
      <w:spacing w:after="0" w:line="240" w:lineRule="auto"/>
    </w:pPr>
    <w:rPr>
      <w:sz w:val="20"/>
    </w:rPr>
  </w:style>
  <w:style w:type="character" w:styleId="921">
    <w:name w:val="Endnote Text Char"/>
    <w:link w:val="920"/>
    <w:uiPriority w:val="99"/>
    <w:rPr>
      <w:sz w:val="20"/>
    </w:rPr>
  </w:style>
  <w:style w:type="character" w:styleId="922">
    <w:name w:val="endnote reference"/>
    <w:basedOn w:val="936"/>
    <w:uiPriority w:val="99"/>
    <w:semiHidden/>
    <w:unhideWhenUsed/>
    <w:rPr>
      <w:vertAlign w:val="superscript"/>
    </w:rPr>
  </w:style>
  <w:style w:type="paragraph" w:styleId="923">
    <w:name w:val="toc 1"/>
    <w:basedOn w:val="934"/>
    <w:next w:val="934"/>
    <w:uiPriority w:val="39"/>
    <w:unhideWhenUsed/>
    <w:pPr>
      <w:ind w:left="0" w:right="0" w:firstLine="0"/>
      <w:spacing w:after="57"/>
    </w:pPr>
  </w:style>
  <w:style w:type="paragraph" w:styleId="924">
    <w:name w:val="toc 2"/>
    <w:basedOn w:val="934"/>
    <w:next w:val="934"/>
    <w:uiPriority w:val="39"/>
    <w:unhideWhenUsed/>
    <w:pPr>
      <w:ind w:left="283" w:right="0" w:firstLine="0"/>
      <w:spacing w:after="57"/>
    </w:pPr>
  </w:style>
  <w:style w:type="paragraph" w:styleId="925">
    <w:name w:val="toc 3"/>
    <w:basedOn w:val="934"/>
    <w:next w:val="934"/>
    <w:uiPriority w:val="39"/>
    <w:unhideWhenUsed/>
    <w:pPr>
      <w:ind w:left="567" w:right="0" w:firstLine="0"/>
      <w:spacing w:after="57"/>
    </w:pPr>
  </w:style>
  <w:style w:type="paragraph" w:styleId="926">
    <w:name w:val="toc 4"/>
    <w:basedOn w:val="934"/>
    <w:next w:val="934"/>
    <w:uiPriority w:val="39"/>
    <w:unhideWhenUsed/>
    <w:pPr>
      <w:ind w:left="850" w:right="0" w:firstLine="0"/>
      <w:spacing w:after="57"/>
    </w:pPr>
  </w:style>
  <w:style w:type="paragraph" w:styleId="927">
    <w:name w:val="toc 5"/>
    <w:basedOn w:val="934"/>
    <w:next w:val="934"/>
    <w:uiPriority w:val="39"/>
    <w:unhideWhenUsed/>
    <w:pPr>
      <w:ind w:left="1134" w:right="0" w:firstLine="0"/>
      <w:spacing w:after="57"/>
    </w:pPr>
  </w:style>
  <w:style w:type="paragraph" w:styleId="928">
    <w:name w:val="toc 6"/>
    <w:basedOn w:val="934"/>
    <w:next w:val="934"/>
    <w:uiPriority w:val="39"/>
    <w:unhideWhenUsed/>
    <w:pPr>
      <w:ind w:left="1417" w:right="0" w:firstLine="0"/>
      <w:spacing w:after="57"/>
    </w:pPr>
  </w:style>
  <w:style w:type="paragraph" w:styleId="929">
    <w:name w:val="toc 7"/>
    <w:basedOn w:val="934"/>
    <w:next w:val="934"/>
    <w:uiPriority w:val="39"/>
    <w:unhideWhenUsed/>
    <w:pPr>
      <w:ind w:left="1701" w:right="0" w:firstLine="0"/>
      <w:spacing w:after="57"/>
    </w:pPr>
  </w:style>
  <w:style w:type="paragraph" w:styleId="930">
    <w:name w:val="toc 8"/>
    <w:basedOn w:val="934"/>
    <w:next w:val="934"/>
    <w:uiPriority w:val="39"/>
    <w:unhideWhenUsed/>
    <w:pPr>
      <w:ind w:left="1984" w:right="0" w:firstLine="0"/>
      <w:spacing w:after="57"/>
    </w:pPr>
  </w:style>
  <w:style w:type="paragraph" w:styleId="931">
    <w:name w:val="toc 9"/>
    <w:basedOn w:val="934"/>
    <w:next w:val="934"/>
    <w:uiPriority w:val="39"/>
    <w:unhideWhenUsed/>
    <w:pPr>
      <w:ind w:left="2268" w:right="0" w:firstLine="0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934"/>
    <w:next w:val="934"/>
    <w:uiPriority w:val="99"/>
    <w:unhideWhenUsed/>
    <w:pPr>
      <w:spacing w:after="0" w:afterAutospacing="0"/>
    </w:pPr>
  </w:style>
  <w:style w:type="paragraph" w:styleId="9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35">
    <w:name w:val="Heading 4"/>
    <w:basedOn w:val="934"/>
    <w:next w:val="934"/>
    <w:link w:val="939"/>
    <w:qFormat/>
    <w:pPr>
      <w:ind w:firstLine="709"/>
      <w:keepNext/>
      <w:outlineLvl w:val="3"/>
    </w:pPr>
    <w:rPr>
      <w:sz w:val="28"/>
    </w:rPr>
  </w:style>
  <w:style w:type="character" w:styleId="936" w:default="1">
    <w:name w:val="Default Paragraph Font"/>
    <w:uiPriority w:val="1"/>
    <w:semiHidden/>
    <w:unhideWhenUsed/>
  </w:style>
  <w:style w:type="table" w:styleId="9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8" w:default="1">
    <w:name w:val="No List"/>
    <w:uiPriority w:val="99"/>
    <w:semiHidden/>
    <w:unhideWhenUsed/>
  </w:style>
  <w:style w:type="character" w:styleId="939" w:customStyle="1">
    <w:name w:val="Заголовок 4 Знак"/>
    <w:basedOn w:val="936"/>
    <w:link w:val="93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40" w:customStyle="1">
    <w:name w:val="ConsPlusNormal"/>
    <w:link w:val="942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1" w:customStyle="1">
    <w:name w:val="ConsPlusNonformat"/>
    <w:uiPriority w:val="99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42" w:customStyle="1">
    <w:name w:val="ConsPlusNormal Знак"/>
    <w:link w:val="94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3">
    <w:name w:val="Hyperlink"/>
    <w:basedOn w:val="936"/>
    <w:uiPriority w:val="99"/>
    <w:unhideWhenUsed/>
    <w:rPr>
      <w:color w:val="0000ff" w:themeColor="hyperlink"/>
      <w:u w:val="single"/>
    </w:rPr>
  </w:style>
  <w:style w:type="paragraph" w:styleId="944">
    <w:name w:val="Balloon Text"/>
    <w:basedOn w:val="934"/>
    <w:link w:val="945"/>
    <w:uiPriority w:val="99"/>
    <w:semiHidden/>
    <w:unhideWhenUsed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basedOn w:val="936"/>
    <w:link w:val="94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946">
    <w:name w:val="footnote text"/>
    <w:basedOn w:val="934"/>
    <w:link w:val="947"/>
    <w:uiPriority w:val="99"/>
    <w:semiHidden/>
    <w:unhideWhenUsed/>
  </w:style>
  <w:style w:type="character" w:styleId="947" w:customStyle="1">
    <w:name w:val="Текст сноски Знак"/>
    <w:basedOn w:val="936"/>
    <w:link w:val="946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table" w:styleId="948">
    <w:name w:val="Table Grid"/>
    <w:basedOn w:val="937"/>
    <w:uiPriority w:val="59"/>
    <w:pPr>
      <w:spacing w:after="0" w:line="240" w:lineRule="auto"/>
      <w:widowControl w:val="off"/>
    </w:pPr>
    <w:rPr>
      <w:rFonts w:ascii="Courier New" w:hAnsi="Courier New" w:eastAsia="Courier New" w:cs="Courier New"/>
      <w:sz w:val="24"/>
      <w:szCs w:val="24"/>
      <w:lang w:eastAsia="ru-RU" w:bidi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49">
    <w:name w:val="footnote reference"/>
    <w:basedOn w:val="936"/>
    <w:uiPriority w:val="99"/>
    <w:semiHidden/>
    <w:unhideWhenUsed/>
    <w:rPr>
      <w:vertAlign w:val="superscript"/>
    </w:rPr>
  </w:style>
  <w:style w:type="table" w:styleId="950" w:customStyle="1">
    <w:name w:val="Сетка таблицы1"/>
    <w:basedOn w:val="937"/>
    <w:next w:val="94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1">
    <w:name w:val="Header"/>
    <w:basedOn w:val="934"/>
    <w:link w:val="95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2" w:customStyle="1">
    <w:name w:val="Верхний колонтитул Знак"/>
    <w:basedOn w:val="936"/>
    <w:link w:val="951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53">
    <w:name w:val="Footer"/>
    <w:basedOn w:val="934"/>
    <w:link w:val="95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4" w:customStyle="1">
    <w:name w:val="Нижний колонтитул Знак"/>
    <w:basedOn w:val="936"/>
    <w:link w:val="953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hyperlink" Target="http://pechengamr.gov-murman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6</cp:revision>
  <dcterms:created xsi:type="dcterms:W3CDTF">2026-06-25T09:40:00Z</dcterms:created>
  <dcterms:modified xsi:type="dcterms:W3CDTF">2026-09-22T13:09:14Z</dcterms:modified>
</cp:coreProperties>
</file>