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  <w:lang w:val="ru-RU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  <w:lang w:val="ru-RU" w:eastAsia="ru-RU"/>
        </w:rPr>
      </w:pPr>
      <w:r>
        <w:rPr>
          <w:rFonts w:eastAsia="Times New Roman"/>
          <w:b/>
          <w:color w:val="000000"/>
          <w:sz w:val="44"/>
          <w:szCs w:val="44"/>
          <w:lang w:val="ru-RU" w:eastAsia="ru-RU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  <w:lang w:val="ru-RU" w:eastAsia="ru-RU"/>
        </w:rPr>
      </w:r>
      <w:r>
        <w:rPr>
          <w:rFonts w:eastAsia="Times New Roman"/>
          <w:b/>
          <w:color w:val="000000"/>
          <w:sz w:val="44"/>
          <w:szCs w:val="44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  <w:lang w:val="ru-RU" w:eastAsia="ru-RU"/>
        </w:rPr>
      </w:pPr>
      <w:r>
        <w:rPr>
          <w:rFonts w:eastAsia="Times New Roman"/>
          <w:b/>
          <w:color w:val="000000"/>
          <w:sz w:val="28"/>
          <w:szCs w:val="20"/>
          <w:lang w:val="ru-RU" w:eastAsia="ru-RU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  <w:lang w:val="ru-RU" w:eastAsia="ru-RU"/>
        </w:rPr>
      </w:pPr>
      <w:r>
        <w:rPr>
          <w:rFonts w:eastAsia="Times New Roman"/>
          <w:b/>
          <w:color w:val="000000"/>
          <w:sz w:val="28"/>
          <w:szCs w:val="20"/>
          <w:lang w:val="ru-RU" w:eastAsia="ru-RU"/>
        </w:rPr>
        <w:t xml:space="preserve">МУРМАНСКОЙ ОБЛАСТИ</w:t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  <w:lang w:val="ru-RU" w:eastAsia="ru-RU"/>
        </w:rPr>
      </w:pPr>
      <w:r>
        <w:rPr>
          <w:rFonts w:eastAsia="Times New Roman"/>
          <w:b/>
          <w:color w:val="000000"/>
          <w:sz w:val="16"/>
          <w:szCs w:val="16"/>
          <w:lang w:val="ru-RU" w:eastAsia="ru-RU"/>
        </w:rPr>
      </w:r>
      <w:r>
        <w:rPr>
          <w:rFonts w:eastAsia="Times New Roman"/>
          <w:b/>
          <w:color w:val="000000"/>
          <w:sz w:val="16"/>
          <w:szCs w:val="16"/>
          <w:lang w:val="ru-RU" w:eastAsia="ru-RU"/>
        </w:rPr>
      </w:r>
      <w:r>
        <w:rPr>
          <w:rFonts w:eastAsia="Times New Roman"/>
          <w:b/>
          <w:color w:val="000000"/>
          <w:sz w:val="16"/>
          <w:szCs w:val="16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  <w:lang w:val="ru-RU" w:eastAsia="ru-RU"/>
        </w:rPr>
      </w:pPr>
      <w:r>
        <w:rPr>
          <w:rFonts w:eastAsia="Times New Roman"/>
          <w:b/>
          <w:color w:val="000000"/>
          <w:sz w:val="44"/>
          <w:szCs w:val="44"/>
          <w:lang w:val="ru-RU" w:eastAsia="ru-RU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  <w:lang w:val="ru-RU" w:eastAsia="ru-RU"/>
        </w:rPr>
      </w:r>
      <w:r>
        <w:rPr>
          <w:rFonts w:eastAsia="Times New Roman"/>
          <w:b/>
          <w:color w:val="000000"/>
          <w:sz w:val="44"/>
          <w:szCs w:val="44"/>
          <w:lang w:val="ru-RU" w:eastAsia="ru-RU"/>
        </w:rPr>
      </w:r>
    </w:p>
    <w:p>
      <w:pPr>
        <w:jc w:val="center"/>
        <w:widowControl w:val="off"/>
        <w:rPr>
          <w:rFonts w:eastAsia="Times New Roman"/>
          <w:color w:val="000000"/>
          <w:sz w:val="20"/>
          <w:szCs w:val="20"/>
          <w:lang w:val="ru-RU" w:eastAsia="ru-RU"/>
        </w:rPr>
      </w:pPr>
      <w:r>
        <w:rPr>
          <w:rFonts w:eastAsia="Times New Roman"/>
          <w:color w:val="000000"/>
          <w:sz w:val="20"/>
          <w:szCs w:val="20"/>
          <w:lang w:val="ru-RU" w:eastAsia="ru-RU"/>
        </w:rPr>
      </w:r>
      <w:r>
        <w:rPr>
          <w:rFonts w:eastAsia="Times New Roman"/>
          <w:color w:val="000000"/>
          <w:sz w:val="20"/>
          <w:szCs w:val="20"/>
          <w:lang w:val="ru-RU" w:eastAsia="ru-RU"/>
        </w:rPr>
      </w:r>
      <w:r>
        <w:rPr>
          <w:rFonts w:eastAsia="Times New Roman"/>
          <w:color w:val="000000"/>
          <w:sz w:val="20"/>
          <w:szCs w:val="20"/>
          <w:lang w:val="ru-RU" w:eastAsia="ru-RU"/>
        </w:rPr>
      </w:r>
    </w:p>
    <w:p>
      <w:pPr>
        <w:jc w:val="center"/>
        <w:widowControl w:val="off"/>
        <w:rPr>
          <w:rFonts w:eastAsia="Times New Roman"/>
          <w:color w:val="000000"/>
          <w:sz w:val="20"/>
          <w:szCs w:val="20"/>
          <w:lang w:val="ru-RU" w:eastAsia="ru-RU"/>
        </w:rPr>
      </w:pPr>
      <w:r>
        <w:rPr>
          <w:rFonts w:eastAsia="Times New Roman"/>
          <w:color w:val="000000"/>
          <w:sz w:val="20"/>
          <w:szCs w:val="20"/>
          <w:lang w:val="ru-RU" w:eastAsia="ru-RU"/>
        </w:rPr>
      </w:r>
      <w:r>
        <w:rPr>
          <w:rFonts w:eastAsia="Times New Roman"/>
          <w:color w:val="000000"/>
          <w:sz w:val="20"/>
          <w:szCs w:val="20"/>
          <w:lang w:val="ru-RU" w:eastAsia="ru-RU"/>
        </w:rPr>
      </w:r>
      <w:r>
        <w:rPr>
          <w:rFonts w:eastAsia="Times New Roman"/>
          <w:color w:val="000000"/>
          <w:sz w:val="20"/>
          <w:szCs w:val="20"/>
          <w:lang w:val="ru-RU" w:eastAsia="ru-RU"/>
        </w:rPr>
      </w:r>
    </w:p>
    <w:p>
      <w:pPr>
        <w:jc w:val="both"/>
        <w:widowControl w:val="off"/>
        <w:rPr>
          <w:rFonts w:eastAsia="Times New Roman"/>
          <w:b/>
          <w:color w:val="000000"/>
          <w:szCs w:val="20"/>
          <w:lang w:val="ru-RU" w:eastAsia="ru-RU"/>
        </w:rPr>
      </w:pPr>
      <w:r>
        <w:rPr>
          <w:rFonts w:eastAsia="Times New Roman"/>
          <w:b/>
          <w:color w:val="000000"/>
          <w:szCs w:val="20"/>
          <w:lang w:val="ru-RU" w:eastAsia="ru-RU"/>
        </w:rPr>
        <w:t xml:space="preserve">от </w:t>
      </w:r>
      <w:r>
        <w:rPr>
          <w:rFonts w:eastAsia="Times New Roman"/>
          <w:b/>
          <w:color w:val="000000"/>
          <w:szCs w:val="20"/>
          <w:lang w:val="ru-RU" w:eastAsia="ru-RU"/>
        </w:rPr>
        <w:t xml:space="preserve">23.09.2026</w:t>
      </w:r>
      <w:r>
        <w:rPr>
          <w:rFonts w:eastAsia="Times New Roman"/>
          <w:b/>
          <w:color w:val="000000"/>
          <w:szCs w:val="20"/>
          <w:lang w:val="ru-RU" w:eastAsia="ru-RU"/>
        </w:rPr>
        <w:tab/>
      </w:r>
      <w:r>
        <w:rPr>
          <w:rFonts w:eastAsia="Times New Roman"/>
          <w:b/>
          <w:color w:val="000000"/>
          <w:szCs w:val="20"/>
          <w:lang w:val="ru-RU" w:eastAsia="ru-RU"/>
        </w:rPr>
        <w:tab/>
      </w:r>
      <w:r>
        <w:rPr>
          <w:rFonts w:eastAsia="Times New Roman"/>
          <w:b/>
          <w:color w:val="000000"/>
          <w:szCs w:val="20"/>
          <w:lang w:val="ru-RU" w:eastAsia="ru-RU"/>
        </w:rPr>
        <w:tab/>
        <w:t xml:space="preserve">                                                                  </w:t>
      </w:r>
      <w:r>
        <w:rPr>
          <w:rFonts w:eastAsia="Times New Roman"/>
          <w:b/>
          <w:color w:val="000000"/>
          <w:szCs w:val="20"/>
          <w:lang w:val="ru-RU" w:eastAsia="ru-RU"/>
        </w:rPr>
        <w:t xml:space="preserve">            </w:t>
      </w:r>
      <w:bookmarkStart w:id="0" w:name="_GoBack"/>
      <w:r/>
      <w:bookmarkEnd w:id="0"/>
      <w:r>
        <w:rPr>
          <w:rFonts w:eastAsia="Times New Roman"/>
          <w:b/>
          <w:color w:val="000000"/>
          <w:szCs w:val="20"/>
          <w:lang w:val="ru-RU" w:eastAsia="ru-RU"/>
        </w:rPr>
        <w:t xml:space="preserve">                      № </w:t>
      </w:r>
      <w:r>
        <w:rPr>
          <w:rFonts w:eastAsia="Times New Roman"/>
          <w:b/>
          <w:color w:val="000000"/>
          <w:szCs w:val="20"/>
          <w:lang w:val="ru-RU" w:eastAsia="ru-RU"/>
        </w:rPr>
        <w:t xml:space="preserve">1901</w:t>
      </w:r>
      <w:r>
        <w:rPr>
          <w:rFonts w:eastAsia="Times New Roman"/>
          <w:b/>
          <w:color w:val="000000"/>
          <w:szCs w:val="20"/>
          <w:lang w:val="ru-RU" w:eastAsia="ru-RU"/>
        </w:rPr>
      </w:r>
      <w:r>
        <w:rPr>
          <w:rFonts w:eastAsia="Times New Roman"/>
          <w:b/>
          <w:color w:val="000000"/>
          <w:szCs w:val="20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  <w:lang w:val="ru-RU" w:eastAsia="ru-RU"/>
        </w:rPr>
      </w:pPr>
      <w:r>
        <w:rPr>
          <w:rFonts w:eastAsia="Times New Roman"/>
          <w:b/>
          <w:color w:val="000000"/>
          <w:szCs w:val="20"/>
          <w:lang w:val="ru-RU" w:eastAsia="ru-RU"/>
        </w:rPr>
        <w:t xml:space="preserve">п.г.т. Никель</w:t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  <w:r>
        <w:rPr>
          <w:rFonts w:eastAsia="Times New Roman"/>
          <w:b/>
          <w:color w:val="000000"/>
          <w:sz w:val="28"/>
          <w:szCs w:val="20"/>
          <w:lang w:val="ru-RU" w:eastAsia="ru-RU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0"/>
          <w:szCs w:val="20"/>
          <w:lang w:val="ru-RU" w:eastAsia="ru-RU"/>
        </w:rPr>
      </w:pPr>
      <w:r>
        <w:rPr>
          <w:rFonts w:eastAsia="Times New Roman"/>
          <w:b/>
          <w:color w:val="000000"/>
          <w:sz w:val="20"/>
          <w:szCs w:val="20"/>
          <w:lang w:val="ru-RU" w:eastAsia="ru-RU"/>
        </w:rPr>
      </w:r>
      <w:r>
        <w:rPr>
          <w:rFonts w:eastAsia="Times New Roman"/>
          <w:b/>
          <w:color w:val="000000"/>
          <w:sz w:val="20"/>
          <w:szCs w:val="20"/>
          <w:lang w:val="ru-RU" w:eastAsia="ru-RU"/>
        </w:rPr>
      </w:r>
      <w:r>
        <w:rPr>
          <w:rFonts w:eastAsia="Times New Roman"/>
          <w:b/>
          <w:color w:val="000000"/>
          <w:sz w:val="20"/>
          <w:szCs w:val="20"/>
          <w:lang w:val="ru-RU" w:eastAsia="ru-RU"/>
        </w:rPr>
      </w:r>
    </w:p>
    <w:p>
      <w:pPr>
        <w:ind w:firstLine="709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Об утверждении порядка </w:t>
      </w:r>
      <w:r>
        <w:rPr>
          <w:b/>
          <w:sz w:val="20"/>
          <w:szCs w:val="20"/>
          <w:lang w:val="ru-RU"/>
        </w:rPr>
        <w:t xml:space="preserve">п</w:t>
      </w:r>
      <w:r>
        <w:rPr>
          <w:b/>
          <w:sz w:val="20"/>
          <w:szCs w:val="20"/>
          <w:lang w:val="ru-RU"/>
        </w:rPr>
        <w:t xml:space="preserve">редоставления из бюджета Печенгского муниципального округа субсидии некоммерческим организациям на финансовое обеспечение затрат, связанных с выполнением работ по благоустройству территории воинского захоронения на русско-</w:t>
      </w:r>
      <w:r>
        <w:rPr>
          <w:b/>
          <w:sz w:val="20"/>
          <w:szCs w:val="20"/>
          <w:lang w:val="ru-RU"/>
        </w:rPr>
        <w:t xml:space="preserve">немецком кладбище</w:t>
      </w:r>
      <w:r>
        <w:rPr>
          <w:b/>
          <w:sz w:val="20"/>
          <w:szCs w:val="20"/>
          <w:lang w:val="ru-RU"/>
        </w:rPr>
      </w:r>
      <w:r>
        <w:rPr>
          <w:b/>
          <w:sz w:val="20"/>
          <w:szCs w:val="20"/>
          <w:lang w:val="ru-RU"/>
        </w:rPr>
      </w:r>
    </w:p>
    <w:p>
      <w:pPr>
        <w:ind w:firstLine="709"/>
        <w:jc w:val="center"/>
        <w:rPr>
          <w:b/>
          <w:sz w:val="20"/>
          <w:szCs w:val="20"/>
          <w:lang w:val="ru-RU"/>
        </w:rPr>
      </w:pPr>
      <w:r>
        <w:rPr>
          <w:b/>
          <w:sz w:val="20"/>
          <w:szCs w:val="20"/>
          <w:lang w:val="ru-RU"/>
        </w:rPr>
        <w:t xml:space="preserve"> в пгт. Печенга, в 2026 году</w:t>
      </w:r>
      <w:r>
        <w:rPr>
          <w:b/>
          <w:sz w:val="20"/>
          <w:szCs w:val="20"/>
          <w:lang w:val="ru-RU"/>
        </w:rPr>
      </w:r>
      <w:r>
        <w:rPr>
          <w:b/>
          <w:sz w:val="20"/>
          <w:szCs w:val="20"/>
          <w:lang w:val="ru-RU"/>
        </w:rPr>
      </w:r>
    </w:p>
    <w:p>
      <w:pPr>
        <w:ind w:firstLine="709"/>
        <w:jc w:val="center"/>
        <w:rPr>
          <w:szCs w:val="24"/>
          <w:lang w:val="ru-RU"/>
        </w:rPr>
      </w:pPr>
      <w:r>
        <w:rPr>
          <w:szCs w:val="24"/>
          <w:lang w:val="ru-RU"/>
        </w:rPr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ind w:firstLine="709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соответствии с пунктом 3 статьи 78, пункт</w:t>
      </w:r>
      <w:r>
        <w:rPr>
          <w:szCs w:val="24"/>
          <w:lang w:val="ru-RU"/>
        </w:rPr>
        <w:t xml:space="preserve">ом</w:t>
      </w:r>
      <w:r>
        <w:rPr>
          <w:szCs w:val="24"/>
          <w:lang w:val="ru-RU"/>
        </w:rPr>
        <w:t xml:space="preserve"> 2 и пункт</w:t>
      </w:r>
      <w:r>
        <w:rPr>
          <w:szCs w:val="24"/>
          <w:lang w:val="ru-RU"/>
        </w:rPr>
        <w:t xml:space="preserve">ом</w:t>
      </w:r>
      <w:r>
        <w:rPr>
          <w:szCs w:val="24"/>
          <w:lang w:val="ru-RU"/>
        </w:rPr>
        <w:t xml:space="preserve"> 4 статьи 78.1 Бюджетного кодекса Российской Федерации, Федеральным законом от 12.01.1996 №7-ФЗ </w:t>
        <w:br/>
        <w:t xml:space="preserve">«О некоммерческих организация</w:t>
      </w:r>
      <w:r>
        <w:rPr>
          <w:szCs w:val="24"/>
          <w:lang w:val="ru-RU"/>
        </w:rPr>
        <w:t xml:space="preserve">х</w:t>
      </w:r>
      <w:r>
        <w:rPr>
          <w:szCs w:val="24"/>
          <w:lang w:val="ru-RU"/>
        </w:rPr>
        <w:t xml:space="preserve">», постановлением Правительства Российской Федерации </w:t>
        <w:br/>
        <w:t xml:space="preserve">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</w:t>
      </w:r>
      <w:r>
        <w:rPr>
          <w:szCs w:val="24"/>
          <w:lang w:val="ru-RU"/>
        </w:rPr>
        <w:t xml:space="preserve">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субсидий»,</w:t>
      </w:r>
      <w:r>
        <w:rPr>
          <w:strike/>
          <w:szCs w:val="24"/>
          <w:lang w:val="ru-RU"/>
        </w:rPr>
        <w:t xml:space="preserve"> 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ind w:right="-79"/>
        <w:jc w:val="both"/>
        <w:tabs>
          <w:tab w:val="left" w:pos="700" w:leader="none"/>
        </w:tabs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ind w:right="-79"/>
        <w:jc w:val="both"/>
        <w:rPr>
          <w:b/>
          <w:bCs/>
          <w:szCs w:val="24"/>
          <w:lang w:val="ru-RU" w:eastAsia="ru-RU"/>
        </w:rPr>
      </w:pPr>
      <w:r>
        <w:rPr>
          <w:b/>
          <w:bCs/>
          <w:szCs w:val="24"/>
          <w:lang w:val="ru-RU" w:eastAsia="ru-RU"/>
        </w:rPr>
        <w:t xml:space="preserve">ПОСТАНОВЛЯЮ:</w:t>
      </w:r>
      <w:r>
        <w:rPr>
          <w:b/>
          <w:bCs/>
          <w:szCs w:val="24"/>
          <w:lang w:val="ru-RU" w:eastAsia="ru-RU"/>
        </w:rPr>
      </w:r>
      <w:r>
        <w:rPr>
          <w:b/>
          <w:bCs/>
          <w:szCs w:val="24"/>
          <w:lang w:val="ru-RU" w:eastAsia="ru-RU"/>
        </w:rPr>
      </w:r>
    </w:p>
    <w:p>
      <w:pPr>
        <w:ind w:right="-79"/>
        <w:jc w:val="both"/>
        <w:rPr>
          <w:b/>
          <w:bCs/>
          <w:szCs w:val="24"/>
          <w:lang w:val="ru-RU" w:eastAsia="ru-RU"/>
        </w:rPr>
      </w:pPr>
      <w:r>
        <w:rPr>
          <w:b/>
          <w:bCs/>
          <w:szCs w:val="24"/>
          <w:lang w:val="ru-RU" w:eastAsia="ru-RU"/>
        </w:rPr>
      </w:r>
      <w:r>
        <w:rPr>
          <w:b/>
          <w:bCs/>
          <w:szCs w:val="24"/>
          <w:lang w:val="ru-RU" w:eastAsia="ru-RU"/>
        </w:rPr>
      </w:r>
      <w:r>
        <w:rPr>
          <w:b/>
          <w:bCs/>
          <w:szCs w:val="24"/>
          <w:lang w:val="ru-RU" w:eastAsia="ru-RU"/>
        </w:rPr>
      </w:r>
    </w:p>
    <w:p>
      <w:pPr>
        <w:pStyle w:val="865"/>
        <w:numPr>
          <w:ilvl w:val="0"/>
          <w:numId w:val="10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eastAsiaTheme="minorHAnsi"/>
          <w:szCs w:val="24"/>
          <w:lang w:val="ru-RU"/>
        </w:rPr>
      </w:pPr>
      <w:r>
        <w:rPr>
          <w:rFonts w:eastAsiaTheme="minorHAnsi"/>
          <w:szCs w:val="24"/>
          <w:lang w:val="ru-RU"/>
        </w:rPr>
        <w:t xml:space="preserve">Утвердить порядок </w:t>
      </w:r>
      <w:r>
        <w:rPr>
          <w:rFonts w:eastAsiaTheme="minorHAnsi"/>
          <w:szCs w:val="24"/>
          <w:lang w:val="ru-RU"/>
        </w:rPr>
        <w:t xml:space="preserve">предоставления из бюджета Печенгского муниципального округа субсидии некоммерческим организациям на финансовое обеспечение затрат, связанных с выполнением работ по благоустройству территории воинского захоронения на русско-немецком кладбище в пгт. Печенг</w:t>
      </w:r>
      <w:r>
        <w:rPr>
          <w:rFonts w:eastAsiaTheme="minorHAnsi"/>
          <w:color w:val="000000" w:themeColor="text1"/>
          <w:szCs w:val="24"/>
          <w:lang w:val="ru-RU"/>
        </w:rPr>
        <w:t xml:space="preserve">а</w:t>
      </w:r>
      <w:r>
        <w:rPr>
          <w:rFonts w:eastAsiaTheme="minorHAnsi"/>
          <w:color w:val="000000" w:themeColor="text1"/>
          <w:szCs w:val="24"/>
          <w:lang w:val="ru-RU"/>
        </w:rPr>
        <w:t xml:space="preserve">, </w:t>
      </w:r>
      <w:r>
        <w:rPr>
          <w:rFonts w:eastAsiaTheme="minorHAnsi"/>
          <w:color w:val="000000" w:themeColor="text1"/>
          <w:szCs w:val="24"/>
          <w:lang w:val="ru-RU"/>
        </w:rPr>
        <w:t xml:space="preserve">в</w:t>
      </w:r>
      <w:r>
        <w:rPr>
          <w:rFonts w:eastAsiaTheme="minorHAnsi"/>
          <w:color w:val="000000" w:themeColor="text1"/>
          <w:szCs w:val="24"/>
          <w:lang w:val="ru-RU"/>
        </w:rPr>
        <w:t xml:space="preserve"> 2026 году</w:t>
      </w:r>
      <w:r>
        <w:rPr>
          <w:rFonts w:eastAsiaTheme="minorHAnsi"/>
          <w:color w:val="000000" w:themeColor="text1"/>
          <w:szCs w:val="24"/>
          <w:lang w:val="ru-RU"/>
        </w:rPr>
        <w:t xml:space="preserve"> </w:t>
      </w:r>
      <w:r>
        <w:rPr>
          <w:rFonts w:eastAsiaTheme="minorHAnsi"/>
          <w:szCs w:val="24"/>
          <w:lang w:val="ru-RU"/>
        </w:rPr>
        <w:t xml:space="preserve">согласно приложению к настоящему постановлению. </w:t>
      </w:r>
      <w:r>
        <w:rPr>
          <w:rFonts w:eastAsiaTheme="minorHAnsi"/>
          <w:szCs w:val="24"/>
          <w:lang w:val="ru-RU"/>
        </w:rPr>
      </w:r>
      <w:r>
        <w:rPr>
          <w:rFonts w:eastAsiaTheme="minorHAnsi"/>
          <w:szCs w:val="24"/>
          <w:lang w:val="ru-RU"/>
        </w:rPr>
      </w:r>
    </w:p>
    <w:p>
      <w:pPr>
        <w:pStyle w:val="1004"/>
        <w:numPr>
          <w:ilvl w:val="0"/>
          <w:numId w:val="10"/>
        </w:numPr>
        <w:ind w:left="0" w:firstLine="709"/>
        <w:jc w:val="both"/>
        <w:tabs>
          <w:tab w:val="left" w:pos="142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1004"/>
        <w:numPr>
          <w:ilvl w:val="0"/>
          <w:numId w:val="10"/>
        </w:numPr>
        <w:ind w:left="0" w:firstLine="709"/>
        <w:jc w:val="both"/>
        <w:tabs>
          <w:tab w:val="left" w:pos="284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1004"/>
        <w:numPr>
          <w:ilvl w:val="0"/>
          <w:numId w:val="10"/>
        </w:numPr>
        <w:ind w:left="0" w:firstLine="709"/>
        <w:jc w:val="both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100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1004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rPr>
          <w:szCs w:val="24"/>
          <w:lang w:val="ru-RU" w:eastAsia="ru-RU"/>
        </w:rPr>
      </w:pPr>
      <w:r>
        <w:rPr>
          <w:szCs w:val="24"/>
          <w:lang w:val="ru-RU" w:eastAsia="ru-RU"/>
        </w:rPr>
        <w:t xml:space="preserve">Глава Печенгского муниципального округа                                                              А.С. Пеньшин</w:t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jc w:val="both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jc w:val="both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jc w:val="both"/>
        <w:rPr>
          <w:szCs w:val="24"/>
          <w:lang w:val="ru-RU" w:eastAsia="ru-RU"/>
        </w:rPr>
      </w:pP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  <w:r>
        <w:rPr>
          <w:szCs w:val="24"/>
          <w:lang w:val="ru-RU" w:eastAsia="ru-RU"/>
        </w:rPr>
      </w:r>
    </w:p>
    <w:p>
      <w:pPr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lang w:val="ru-RU" w:eastAsia="ru-RU"/>
        </w:rPr>
      </w:r>
    </w:p>
    <w:p>
      <w:pPr>
        <w:jc w:val="both"/>
        <w:rPr>
          <w:sz w:val="20"/>
          <w:szCs w:val="20"/>
          <w:highlight w:val="none"/>
          <w:lang w:val="ru-RU" w:eastAsia="ru-RU"/>
        </w:rPr>
      </w:pP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</w:p>
    <w:p>
      <w:pPr>
        <w:jc w:val="both"/>
        <w:rPr>
          <w:sz w:val="20"/>
          <w:szCs w:val="20"/>
          <w:highlight w:val="none"/>
          <w:lang w:val="ru-RU" w:eastAsia="ru-RU"/>
        </w:rPr>
      </w:pP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</w:p>
    <w:p>
      <w:pPr>
        <w:jc w:val="both"/>
        <w:rPr>
          <w:sz w:val="20"/>
          <w:szCs w:val="20"/>
          <w:highlight w:val="none"/>
          <w:lang w:val="ru-RU" w:eastAsia="ru-RU"/>
        </w:rPr>
      </w:pP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</w:p>
    <w:p>
      <w:pPr>
        <w:jc w:val="both"/>
        <w:rPr>
          <w:sz w:val="20"/>
          <w:szCs w:val="20"/>
          <w:highlight w:val="none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Исакова М.Г., 63186</w:t>
      </w:r>
      <w:r>
        <w:rPr>
          <w:sz w:val="20"/>
          <w:szCs w:val="20"/>
          <w:highlight w:val="none"/>
          <w:lang w:val="ru-RU" w:eastAsia="ru-RU"/>
        </w:rPr>
      </w:r>
      <w:r>
        <w:rPr>
          <w:sz w:val="20"/>
          <w:szCs w:val="20"/>
          <w:highlight w:val="none"/>
          <w:lang w:val="ru-RU" w:eastAsia="ru-RU"/>
        </w:rPr>
      </w:r>
    </w:p>
    <w:p>
      <w:pPr>
        <w:ind w:left="5528"/>
        <w:jc w:val="both"/>
        <w:rPr>
          <w:szCs w:val="24"/>
        </w:rPr>
        <w:suppressLineNumbers w:val="0"/>
      </w:pPr>
      <w:r>
        <w:rPr>
          <w:szCs w:val="24"/>
          <w:lang w:val="ru-RU"/>
        </w:rPr>
        <w:t xml:space="preserve">Приложение </w:t>
        <w:br/>
        <w:t xml:space="preserve">к постановлению администрации Печенгского муниципального округа </w:t>
      </w:r>
      <w:r>
        <w:rPr>
          <w:szCs w:val="24"/>
        </w:rPr>
      </w:r>
      <w:r>
        <w:rPr>
          <w:szCs w:val="24"/>
        </w:rPr>
      </w:r>
    </w:p>
    <w:p>
      <w:pPr>
        <w:ind w:left="5528"/>
        <w:jc w:val="both"/>
        <w:rPr>
          <w:szCs w:val="24"/>
        </w:rPr>
        <w:suppressLineNumbers w:val="0"/>
      </w:pPr>
      <w:r>
        <w:rPr>
          <w:szCs w:val="24"/>
          <w:lang w:val="ru-RU"/>
        </w:rPr>
        <w:t xml:space="preserve">от 23.09.2026 № 1901</w:t>
      </w:r>
      <w:r>
        <w:rPr>
          <w:szCs w:val="24"/>
        </w:rPr>
      </w:r>
      <w:r>
        <w:rPr>
          <w:szCs w:val="24"/>
        </w:rPr>
      </w:r>
    </w:p>
    <w:p>
      <w:pPr>
        <w:jc w:val="center"/>
        <w:spacing w:after="40"/>
        <w:rPr>
          <w:b/>
          <w:sz w:val="28"/>
          <w:lang w:val="ru-RU"/>
        </w:rPr>
      </w:pPr>
      <w:r>
        <w:rPr>
          <w:b/>
          <w:sz w:val="28"/>
          <w:lang w:val="ru-RU"/>
        </w:rPr>
      </w:r>
      <w:r>
        <w:rPr>
          <w:b/>
          <w:sz w:val="28"/>
          <w:lang w:val="ru-RU"/>
        </w:rPr>
      </w:r>
      <w:r>
        <w:rPr>
          <w:b/>
          <w:sz w:val="28"/>
          <w:lang w:val="ru-RU"/>
        </w:rPr>
      </w:r>
    </w:p>
    <w:p>
      <w:pPr>
        <w:jc w:val="center"/>
        <w:spacing w:after="40"/>
        <w:rPr>
          <w:szCs w:val="24"/>
          <w:lang w:val="ru-RU"/>
        </w:rPr>
      </w:pPr>
      <w:r>
        <w:rPr>
          <w:b/>
          <w:szCs w:val="24"/>
          <w:lang w:val="ru-RU"/>
        </w:rPr>
        <w:t xml:space="preserve">ПОРЯДОК</w:t>
      </w:r>
      <w:r>
        <w:rPr>
          <w:szCs w:val="24"/>
          <w:lang w:val="ru-RU"/>
        </w:rPr>
      </w:r>
      <w:r>
        <w:rPr>
          <w:szCs w:val="24"/>
          <w:lang w:val="ru-RU"/>
        </w:rPr>
      </w:r>
    </w:p>
    <w:p>
      <w:pPr>
        <w:jc w:val="center"/>
        <w:spacing w:after="0" w:afterAutospacing="0"/>
        <w:rPr>
          <w:lang w:val="ru-RU"/>
        </w:rPr>
      </w:pPr>
      <w:r>
        <w:rPr>
          <w:lang w:val="ru-RU"/>
        </w:rPr>
        <w:t xml:space="preserve">предоставления из бюджета Печенгского муниципального округа субсидии некоммерческим организациям на финансовое обеспечение затрат, связанных с выполнением работ по благоустройству территории воинского захоронения на русско-немецком кладбище </w:t>
        <w:br/>
        <w:t xml:space="preserve">в пгт. Печенга</w:t>
      </w:r>
      <w:r>
        <w:rPr>
          <w:lang w:val="ru-RU"/>
        </w:rPr>
        <w:t xml:space="preserve">, в 2026 году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I</w:t>
      </w:r>
      <w:r>
        <w:rPr>
          <w:b/>
          <w:lang w:val="ru-RU"/>
        </w:rPr>
        <w:t xml:space="preserve">. Общие положения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1.1. Настоящий Порядок разработан в соответствии</w:t>
      </w:r>
      <w:r>
        <w:rPr>
          <w:lang w:val="ru-RU"/>
        </w:rPr>
        <w:t xml:space="preserve"> с пунктом 2 статьи 78.1, </w:t>
        <w:br/>
        <w:t xml:space="preserve">статье</w:t>
      </w:r>
      <w:r>
        <w:rPr>
          <w:lang w:val="ru-RU"/>
        </w:rPr>
        <w:t xml:space="preserve">й 78.5 Бюджетного кодекса Р</w:t>
      </w:r>
      <w:r>
        <w:rPr>
          <w:lang w:val="ru-RU"/>
        </w:rPr>
        <w:t xml:space="preserve">оссийской Федерации, Федеральным законом от 12.01.1996 № 7-ФЗ «О некоммерческих организациях», Постановлением Правительства Российской Федерации от 25.10.2023 № 1782 «Об утверждении общих требований к нормативным правовым актам, муниципальным правовым акта</w:t>
      </w:r>
      <w:r>
        <w:rPr>
          <w:lang w:val="ru-RU"/>
        </w:rPr>
        <w:t xml:space="preserve">м, регулирующим предоставление из бюджетов субъектов Российской Федерации, местных бюджетов субсидий юридическим лицам (за исключением субсидий государственным (муниципальным) учреждениям), индивидуальным предпринимателям, физическим лицам» и определяет це</w:t>
      </w:r>
      <w:r>
        <w:rPr>
          <w:lang w:val="ru-RU"/>
        </w:rPr>
        <w:t xml:space="preserve">ль, условия и порядок предоставления субсидии из бюджета Печенгского муниципального округа Мурманской области (далее — бюджет округа) некоммерческим организациям, не являющимся государственными (муниципальными) учреждениями (далее — Организации, Субсидия).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1.2. Цель предоставления Субсидии — финансовое обеспечение затрат Организаций, связанных с выполнением работ по </w:t>
      </w:r>
      <w:r>
        <w:rPr>
          <w:color w:val="000000" w:themeColor="text1"/>
          <w:lang w:val="ru-RU"/>
        </w:rPr>
        <w:t xml:space="preserve">благоустройству территории воинского захоронения на русско-немецком кладбище в пгт. Печенга Печенгского муниципального округа Мурманской области </w:t>
      </w:r>
      <w:r>
        <w:rPr>
          <w:lang w:val="ru-RU"/>
        </w:rPr>
        <w:t xml:space="preserve">(д</w:t>
      </w:r>
      <w:r>
        <w:rPr>
          <w:lang w:val="ru-RU"/>
        </w:rPr>
        <w:t xml:space="preserve">алее — объект благоустройства), </w:t>
      </w:r>
      <w:r>
        <w:rPr>
          <w:lang w:val="ru-RU"/>
        </w:rPr>
        <w:t xml:space="preserve">включая, но не ограничиваясь: укладку тротуарных покрытий, монтаж освещения, озеленение территории, установку </w:t>
      </w:r>
      <w:r>
        <w:rPr>
          <w:lang w:val="ru-RU"/>
        </w:rPr>
        <w:t xml:space="preserve">ограждения.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1.3. Главным распорядителем бюджетных средств является администрация Печенгского муниципального округа Мурманской области (далее — Администрация).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1.4. </w:t>
      </w:r>
      <w:r>
        <w:rPr>
          <w:lang w:val="ru-RU"/>
        </w:rPr>
        <w:t xml:space="preserve">Объём бюджетных ассигнований на предоставление Субсид</w:t>
      </w:r>
      <w:r>
        <w:rPr>
          <w:lang w:val="ru-RU"/>
        </w:rPr>
        <w:t xml:space="preserve">ии составляет </w:t>
        <w:br/>
        <w:t xml:space="preserve">7 448 489,99 рублей</w:t>
      </w:r>
      <w:r>
        <w:rPr>
          <w:color w:val="00b0f0"/>
          <w:lang w:val="ru-RU"/>
        </w:rPr>
        <w:t xml:space="preserve">.</w:t>
      </w:r>
      <w:r>
        <w:rPr>
          <w:lang w:val="ru-RU"/>
        </w:rPr>
        <w:t xml:space="preserve"> Субсидия предоставляется в пределах лимитов бюджетных обязательств, предусмотренных решением Совета депутатов Печенгского муниципального округа о бюджете на очередной финансовый год и плановый период.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1.5. От</w:t>
      </w:r>
      <w:r>
        <w:rPr>
          <w:lang w:val="ru-RU"/>
        </w:rPr>
        <w:t xml:space="preserve">бор получателей Субсидии осуществляется способом запроса предложений — исходя из соответствия участников отбора категориям и (или) критериям и очередности поступления заявок на участие в отборе (пункт 3 статьи 78.5 Бюджетного кодекса Российской Федерации).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1.6. Отбор получателей Субсидии, а также заключение соглашений о предоставлении Субси</w:t>
      </w:r>
      <w:r>
        <w:rPr>
          <w:lang w:val="ru-RU"/>
        </w:rPr>
        <w:t xml:space="preserve">дии осуществляются с использованием государственной интегрированной информационной системы управления общественными финансами «Электронный бюджет» (далее — система «Электронный бюджет») через Портал предоставления мер финансовой государственной поддержки (</w:t>
      </w:r>
      <w:r>
        <w:t xml:space="preserve">https</w:t>
      </w:r>
      <w:r>
        <w:rPr>
          <w:lang w:val="ru-RU"/>
        </w:rPr>
        <w:t xml:space="preserve">://</w:t>
      </w:r>
      <w:r>
        <w:t xml:space="preserve">promote</w:t>
      </w:r>
      <w:r>
        <w:rPr>
          <w:lang w:val="ru-RU"/>
        </w:rPr>
        <w:t xml:space="preserve">.</w:t>
      </w:r>
      <w:r>
        <w:t xml:space="preserve">budget</w:t>
      </w:r>
      <w:r>
        <w:rPr>
          <w:lang w:val="ru-RU"/>
        </w:rPr>
        <w:t xml:space="preserve">.</w:t>
      </w:r>
      <w:r>
        <w:t xml:space="preserve">gov</w:t>
      </w:r>
      <w:r>
        <w:rPr>
          <w:lang w:val="ru-RU"/>
        </w:rPr>
        <w:t xml:space="preserve">.</w:t>
      </w:r>
      <w:r>
        <w:t xml:space="preserve">ru</w:t>
      </w:r>
      <w:r>
        <w:rPr>
          <w:lang w:val="ru-RU"/>
        </w:rPr>
        <w:t xml:space="preserve">/) (далее — Портал).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1.7. В целях проведения отбора Администрация формирует в системе «Эл</w:t>
      </w:r>
      <w:r>
        <w:rPr>
          <w:lang w:val="ru-RU"/>
        </w:rPr>
        <w:t xml:space="preserve">ектронный бюджет» запись о Субсидии в реестре субсидий юридических лиц, индивидуальных предпринимателей, физических лиц (региональные и муниципальные). После утверждения и согласования записи финансовым органом Печенгского муниципального округа на Портале </w:t>
      </w:r>
      <w:r>
        <w:rPr>
          <w:lang w:val="ru-RU"/>
        </w:rPr>
        <w:t xml:space="preserve">автоматически создаётся реестровая запись, на основании которой осуществляется размещение объявления и проведение отбора.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II</w:t>
      </w:r>
      <w:r>
        <w:rPr>
          <w:b/>
          <w:lang w:val="ru-RU"/>
        </w:rPr>
        <w:t xml:space="preserve">. Категории и критерии отбора получателей Субсидии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2.1. Категории получателей Субсидии — </w:t>
      </w:r>
      <w:r>
        <w:rPr>
          <w:lang w:val="ru-RU"/>
        </w:rPr>
        <w:t xml:space="preserve">социально-ориентированным </w:t>
      </w:r>
      <w:r>
        <w:rPr>
          <w:lang w:val="ru-RU"/>
        </w:rPr>
        <w:t xml:space="preserve">некоммерческие организации, созданные в соответствии с законодательством Российской Федерации и зарегистрированные в установленном порядке в качестве юридического лица, не являющиеся государственными (муниципальными) учреждениями.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2.2. Критерии отбора получателей Субсидии: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</w:t>
      </w:r>
      <w:r>
        <w:rPr>
          <w:lang w:val="ru-RU"/>
        </w:rPr>
        <w:t xml:space="preserve"> зарегистрирована и</w:t>
      </w:r>
      <w:r>
        <w:rPr>
          <w:lang w:val="ru-RU"/>
        </w:rPr>
        <w:t xml:space="preserve"> осуществляет деятельность </w:t>
      </w:r>
      <w:r>
        <w:rPr>
          <w:color w:val="000000" w:themeColor="text1"/>
          <w:lang w:val="ru-RU"/>
        </w:rPr>
        <w:t xml:space="preserve">на территории Печенгского муниципального окру</w:t>
      </w:r>
      <w:r>
        <w:rPr>
          <w:color w:val="000000" w:themeColor="text1"/>
          <w:lang w:val="ru-RU"/>
        </w:rPr>
        <w:t xml:space="preserve">га Мурманской области н</w:t>
      </w:r>
      <w:r>
        <w:rPr>
          <w:lang w:val="ru-RU"/>
        </w:rPr>
        <w:t xml:space="preserve">е менее 5 лет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уставная деятельность О</w:t>
      </w:r>
      <w:r>
        <w:rPr>
          <w:lang w:val="ru-RU"/>
        </w:rPr>
        <w:t xml:space="preserve">рганизации соответствует </w:t>
      </w:r>
      <w:r>
        <w:rPr>
          <w:lang w:val="ru-RU"/>
        </w:rPr>
        <w:t xml:space="preserve">цели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и </w:t>
      </w:r>
      <w:r>
        <w:rPr>
          <w:color w:val="000000" w:themeColor="text1"/>
          <w:lang w:val="ru-RU"/>
        </w:rPr>
        <w:t xml:space="preserve">положениям статьи</w:t>
      </w:r>
      <w:r>
        <w:rPr>
          <w:color w:val="000000" w:themeColor="text1"/>
          <w:lang w:val="ru-RU"/>
        </w:rPr>
        <w:t xml:space="preserve"> 31.1 </w:t>
      </w:r>
      <w:r>
        <w:rPr>
          <w:lang w:val="ru-RU"/>
        </w:rPr>
        <w:t xml:space="preserve">Федерального закона от 12.01.1996 № 7-ФЗ «О некоммерческих организациях»</w:t>
      </w:r>
      <w:r>
        <w:rPr>
          <w:lang w:val="ru-RU"/>
        </w:rPr>
        <w:t xml:space="preserve"> </w:t>
      </w:r>
      <w:r>
        <w:rPr>
          <w:lang w:val="ru-RU"/>
        </w:rPr>
        <w:t xml:space="preserve">согласно</w:t>
      </w:r>
      <w:r>
        <w:rPr>
          <w:lang w:val="ru-RU"/>
        </w:rPr>
        <w:t xml:space="preserve"> пункту 1.2 настоящего порядка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2.3. Организация на дату подачи заявки и на дату заключения соглашения должна соответствовать следующим требованиям: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 Организации на едином налоговом счёте отсутствует или не превышает размер, определённый пунктом 3 статьи 47 Налогового кодекса Российской Федерации, задолженность по уплате налогов, сборов и страховых взносов;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 не находится в процессе реорганизации (за исключением реорганизации в форме присоединения), ликвидации, в отношении неё не введена процедура банкротства, деятельность не приостановлена;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 не является иностранным юридическим лицом, а также российским юридическим лицом, в уставном капитале которого доля прямого или косвенного участия офшорных компаний превышает 25%;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Организации;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 Организации отсутствует просроченная (неурегулированная) задолженность по возврату в бюджет округа субсидий, бюджетных инвестиций, а также иная просроченная задолженность по денежным обязательствам перед Печенгским муниципальным округом;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Организация не получает средства из бюджета округа на цели, установленные настоящим Порядком, на основании ин</w:t>
      </w:r>
      <w:r>
        <w:rPr>
          <w:lang w:val="ru-RU"/>
        </w:rPr>
        <w:t xml:space="preserve">ых муниципальных правовых актов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1005"/>
        <w:ind w:firstLine="709"/>
      </w:pPr>
      <w:r>
        <w:t xml:space="preserve">2.4. К участию в конкурсе не допускаются:</w:t>
      </w:r>
      <w:r/>
    </w:p>
    <w:p>
      <w:pPr>
        <w:pStyle w:val="1005"/>
        <w:ind w:firstLine="709"/>
      </w:pPr>
      <w:r>
        <w:t xml:space="preserve">- общественные объединения, не являющиеся юридическими лицами;</w:t>
      </w:r>
      <w:r/>
    </w:p>
    <w:p>
      <w:pPr>
        <w:pStyle w:val="1005"/>
        <w:ind w:firstLine="709"/>
      </w:pPr>
      <w:r>
        <w:t xml:space="preserve">- саморегулируемые организации;</w:t>
      </w:r>
      <w:r/>
    </w:p>
    <w:p>
      <w:pPr>
        <w:pStyle w:val="1005"/>
        <w:ind w:firstLine="709"/>
      </w:pPr>
      <w:r>
        <w:t xml:space="preserve">- объединения работодателей;</w:t>
      </w:r>
      <w:r/>
    </w:p>
    <w:p>
      <w:pPr>
        <w:pStyle w:val="1005"/>
        <w:ind w:firstLine="709"/>
      </w:pPr>
      <w:r>
        <w:t xml:space="preserve">- торгово-промышленные палаты;</w:t>
      </w:r>
      <w:r/>
    </w:p>
    <w:p>
      <w:pPr>
        <w:pStyle w:val="1005"/>
        <w:ind w:firstLine="709"/>
      </w:pPr>
      <w:r>
        <w:t xml:space="preserve">- политические партии, а также организации, в состав учредителей которых входят политические партии, а также организации, в уставе которых имеется упоминание о наименовании политической партии;</w:t>
      </w:r>
      <w:r/>
    </w:p>
    <w:p>
      <w:pPr>
        <w:pStyle w:val="1005"/>
        <w:ind w:firstLine="709"/>
      </w:pPr>
      <w:r>
        <w:t xml:space="preserve">- государственные и муниципальные учреждения;</w:t>
      </w:r>
      <w:r/>
    </w:p>
    <w:p>
      <w:pPr>
        <w:pStyle w:val="1005"/>
        <w:ind w:firstLine="709"/>
      </w:pPr>
      <w:r>
        <w:t xml:space="preserve">- товарищества недвижимости, к которым относятся в том числе товарищества </w:t>
      </w:r>
      <w:r>
        <w:t xml:space="preserve">собственников жилья, садоводческие или огороднические некоммерческие товарищества;</w:t>
      </w:r>
      <w:r/>
    </w:p>
    <w:p>
      <w:pPr>
        <w:pStyle w:val="1005"/>
        <w:ind w:firstLine="709"/>
      </w:pPr>
      <w:r>
        <w:t xml:space="preserve">- потребительские кооперативы, в том числе жилищные, жилищно-строительные и гаражные кооперативы, общества взаимного страхования, кредитные кооперативы, фонды проката, сельскохозяйственные потребительские кооперативы;</w:t>
      </w:r>
      <w:r/>
    </w:p>
    <w:p>
      <w:pPr>
        <w:pStyle w:val="1005"/>
        <w:ind w:firstLine="709"/>
      </w:pPr>
      <w:r>
        <w:t xml:space="preserve">- адвокатские палаты;</w:t>
      </w:r>
      <w:r/>
    </w:p>
    <w:p>
      <w:pPr>
        <w:pStyle w:val="1005"/>
        <w:ind w:firstLine="709"/>
      </w:pPr>
      <w:r>
        <w:t xml:space="preserve">- адвокатские образования;</w:t>
      </w:r>
      <w:r/>
    </w:p>
    <w:p>
      <w:pPr>
        <w:pStyle w:val="1005"/>
        <w:ind w:firstLine="709"/>
      </w:pPr>
      <w:r>
        <w:t xml:space="preserve">- нотариальные палаты;</w:t>
      </w:r>
      <w:r/>
    </w:p>
    <w:p>
      <w:pPr>
        <w:pStyle w:val="1005"/>
        <w:ind w:firstLine="709"/>
        <w:rPr>
          <w:color w:val="000000" w:themeColor="text1"/>
        </w:rPr>
      </w:pPr>
      <w:r>
        <w:rPr>
          <w:color w:val="000000" w:themeColor="text1"/>
        </w:rPr>
        <w:t xml:space="preserve">- некоммерческие организации, в состав учредителей которых входят органы государственной власти или местного самоуправления;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1005"/>
        <w:ind w:firstLine="709"/>
      </w:pPr>
      <w:r>
        <w:t xml:space="preserve">- государственно-общественные и общественно-государственные организации (объединения), их территориальные (структурные) подразделения (отделения), в том числе являющиеся отдельными юридическими лицами.</w:t>
      </w:r>
      <w:r/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2.5</w:t>
      </w:r>
      <w:r>
        <w:rPr>
          <w:lang w:val="ru-RU"/>
        </w:rPr>
        <w:t xml:space="preserve">. Проверка соответствия участника отбора требованиям, указанным в пункте 2.3 настоящего Пор</w:t>
      </w:r>
      <w:r>
        <w:rPr>
          <w:lang w:val="ru-RU"/>
        </w:rPr>
        <w:t xml:space="preserve">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В </w:t>
      </w:r>
      <w:r>
        <w:rPr>
          <w:lang w:val="ru-RU"/>
        </w:rPr>
        <w:t xml:space="preserve">случае отсутствия технической возможности автоматической проверки соответствие подтверждается участником отбора путём проставления отметок в электронной форме посредством заполнения соответствующих экранных форм веб-интерфейса системы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III</w:t>
      </w:r>
      <w:r>
        <w:rPr>
          <w:b/>
          <w:lang w:val="ru-RU"/>
        </w:rPr>
        <w:t xml:space="preserve">. Порядок проведения отбора в системе «Электронный бюджет»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3.1. Организацию и проведение отбора осуществляет Администрация с использованием функциональных возможностей системы «Электронный бюджет» и Портала.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3.2. Размещение объявления о проведении отбора осуществляется Администрацией в системе «Электронный бюджет» на Портале в электронной форме посредством заполнения соответствующих экранных форм веб-интерфейса системы «Электронный бюджет» </w:t>
      </w:r>
      <w:r>
        <w:rPr>
          <w:lang w:val="ru-RU"/>
        </w:rPr>
        <w:t xml:space="preserve">не позднее 3 дней до </w:t>
      </w:r>
      <w:r>
        <w:rPr>
          <w:lang w:val="ru-RU"/>
        </w:rPr>
        <w:t xml:space="preserve">начала приёма заявок участников отбора после утверждения информации о Субсидии в реестре субсидий.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3.3</w:t>
      </w:r>
      <w:r>
        <w:rPr>
          <w:lang w:val="ru-RU"/>
        </w:rPr>
        <w:t xml:space="preserve">. Объявление о проведении отбора должно содержать: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способ проведения отбора — запрос предложений;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- </w:t>
      </w:r>
      <w:r>
        <w:rPr>
          <w:color w:val="000000" w:themeColor="text1"/>
          <w:lang w:val="ru-RU"/>
        </w:rPr>
        <w:t xml:space="preserve">даты и время начала и окончания приёма заявок. Дата окончания приёма заявок не может быть ранее 10-го календарного дня, следующего за днём размещения объявления о проведении отбора, — в случае отсутствия информации о количестве получателей Субсиди</w:t>
      </w:r>
      <w:r>
        <w:rPr>
          <w:color w:val="000000" w:themeColor="text1"/>
          <w:lang w:val="ru-RU"/>
        </w:rPr>
        <w:t xml:space="preserve">и, соответствующих категории и (или) критериям отбора; 5-го календарного дня, следующего за днём размещения объявления о проведении отбора, — в случае наличия информации о количестве получателей Субсидии, соответствующих категории и (или) критериям отбора;</w:t>
      </w:r>
      <w:r>
        <w:rPr>
          <w:color w:val="000000" w:themeColor="text1"/>
          <w:lang w:val="ru-RU"/>
        </w:rPr>
      </w:r>
      <w:r>
        <w:rPr>
          <w:color w:val="000000" w:themeColor="text1"/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наименование, место нахождения, почтовый адрес, адрес электронной почты, контактный телефон Администрации;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цель и результат предоставления Субсидии — выполнение работ по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благоустройству территории воинского захоронения на русско-немецком кладбище в пгт. Печенга Печенгского муниципального округа Мурманской области</w:t>
      </w:r>
      <w:r>
        <w:rPr>
          <w:color w:val="000000" w:themeColor="text1"/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требования к участникам отбора и перечень документов, представляемых для подтверждения соответствия указанным требованиям;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категории и (или) критерии отбора;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подачи заявок и требования, предъявляемые к форме и содержанию заявок;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отзыва заявок, порядок их возврата, определяющий основания для возврата, порядок внесения изменений в заявки;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отклонения заявок и основания для их отклонения;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объём распределяе</w:t>
      </w:r>
      <w:r>
        <w:rPr>
          <w:lang w:val="ru-RU"/>
        </w:rPr>
        <w:t xml:space="preserve">мой Субсидии — 7 448 489,99 рублей</w:t>
      </w:r>
      <w:r>
        <w:rPr>
          <w:lang w:val="ru-RU"/>
        </w:rPr>
        <w:t xml:space="preserve">, порядок расчёта размера Субсидии, правила распределения Субсидии по результатам отбора, максимальный и минимальный размер Субсидии, предельное количество победителей;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доменное имя и (или) указатели страниц государственной информационной системы в сети «Интернет» — </w:t>
      </w:r>
      <w:r>
        <w:t xml:space="preserve">https</w:t>
      </w:r>
      <w:r>
        <w:rPr>
          <w:lang w:val="ru-RU"/>
        </w:rPr>
        <w:t xml:space="preserve">://</w:t>
      </w:r>
      <w:r>
        <w:t xml:space="preserve">promote</w:t>
      </w:r>
      <w:r>
        <w:rPr>
          <w:lang w:val="ru-RU"/>
        </w:rPr>
        <w:t xml:space="preserve">.</w:t>
      </w:r>
      <w:r>
        <w:t xml:space="preserve">budget</w:t>
      </w:r>
      <w:r>
        <w:rPr>
          <w:lang w:val="ru-RU"/>
        </w:rPr>
        <w:t xml:space="preserve">.</w:t>
      </w:r>
      <w:r>
        <w:t xml:space="preserve">gov</w:t>
      </w:r>
      <w:r>
        <w:rPr>
          <w:lang w:val="ru-RU"/>
        </w:rPr>
        <w:t xml:space="preserve">.</w:t>
      </w:r>
      <w:r>
        <w:t xml:space="preserve">ru</w:t>
      </w:r>
      <w:r>
        <w:rPr>
          <w:lang w:val="ru-RU"/>
        </w:rPr>
        <w:t xml:space="preserve">/;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предоставления участникам отбора разъяснений положений объявления;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срок, в течение которого победитель должен подписать соглашение о предоставлении Субсидии;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условия признания победителя уклонившимся от заключения соглашения;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сроки размещения протокола подведения итогов отбора — не позднее 14-го календарного дня, следующего за днём определения победителей.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3.5. Внесение изменений в объявление о проведении отбора осуществляется Администрацией в системе «Электронный бюджет» не позднее наступления даты окончания приёма заявок с соблюдением следующих условий: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срок подачи заявок должен быть продлён таким образом, чтобы со дня, следующего за днём внесения изменений, до даты окончания приёма заявок указанный срок составл</w:t>
      </w:r>
      <w:r>
        <w:rPr>
          <w:lang w:val="ru-RU"/>
        </w:rPr>
        <w:t xml:space="preserve">ял не менее 3 календарных дней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при внесении изменений способ отбора не может быть изменён;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участники отбора, подавшие заявку, уведомляются о внесении изменений не позднее дня, следующего за днём внесения изменений, с использованием системы «Электронный бюджет»;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в случае внесения изменений после начала приёма заявок в объявление включается положение о праве участников отбора внести изменения в заявки.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IV</w:t>
      </w:r>
      <w:r>
        <w:rPr>
          <w:b/>
          <w:lang w:val="ru-RU"/>
        </w:rPr>
        <w:t xml:space="preserve">. Порядок подачи заявок в системе «Электронный бюджет»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4.1. Условием доступа на Портал для участников отбора является: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наличие подтверждённой учётной записи на Едином портале государственных (муниципальных) услуг (Госуслуги);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прикрепление профиля физического лица на портале Госуслуг к юридическому лицу, от имени которого планируется подача заявки;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наличие усиленной квалифицированной электронной подписи (УКЭП) руководителя Организации или уполномоченного им лица (в случае делегирования полномочий подписания заявки от руководителя иному лицу — наличие доверенности).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4.2. Формирование участниками отбора заявок осуществляется в электронной форме посредством заполнения соответствующих экран</w:t>
      </w:r>
      <w:r>
        <w:rPr>
          <w:lang w:val="ru-RU"/>
        </w:rPr>
        <w:t xml:space="preserve">ных форм веб-интерфейса системы «Электронный бюджет» с приложением электронных копий документов (документов на бумажном носителе, преобразованных в электронную форму путём сканирования), представление которых предусмотрено в объявлении о проведении отбора.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4.3. Заявка подписывается усиленной квалифицированной электронной подписью руководителя участника отбора или уполномоченного им лица.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4.4. 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4.5. В состав заявки включаются следующие сведения и документы в электронной форме: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1)</w:t>
      </w:r>
      <w:r>
        <w:rPr>
          <w:lang w:val="ru-RU"/>
        </w:rPr>
        <w:t xml:space="preserve"> Информация об Организации: полное и сокращённое наименование, ОГРН, ИНН, место нахождения, контактный т</w:t>
      </w:r>
      <w:r>
        <w:rPr>
          <w:lang w:val="ru-RU"/>
        </w:rPr>
        <w:t xml:space="preserve">елефон, адрес электронной почты.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2)</w:t>
      </w:r>
      <w:r>
        <w:rPr>
          <w:lang w:val="ru-RU"/>
        </w:rPr>
        <w:t xml:space="preserve"> Электронная копия действующей редакции устава Организации (со всеми внесёнными изменениями);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3)</w:t>
      </w:r>
      <w:r>
        <w:rPr>
          <w:lang w:val="ru-RU"/>
        </w:rPr>
        <w:t xml:space="preserve"> Электронная копия документа, подтверждающего полномочия лица на подачу заявки от имени Организации (в случае если заявку подаёт лицо, сведения о котором как о лице, имеющем право без доверенности действовать от имени Организации, не содержатся в ЕГРЮЛ);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4)</w:t>
      </w:r>
      <w:r>
        <w:rPr>
          <w:lang w:val="ru-RU"/>
        </w:rPr>
        <w:t xml:space="preserve"> Направление деятельности, описание планируемых работ по благоустройству с указанием объёмов, сроков и ожидаемых результатов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5)</w:t>
      </w:r>
      <w:r>
        <w:rPr>
          <w:color w:val="000000" w:themeColor="text1"/>
          <w:lang w:val="ru-RU"/>
        </w:rPr>
        <w:t xml:space="preserve"> Смета (сметный расчёт) планируемых затрат на выполнение работ по благоустройству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  <w:lang w:val="ru-RU"/>
        </w:rPr>
      </w:r>
      <w:r>
        <w:rPr>
          <w:color w:val="000000" w:themeColor="text1"/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</w:t>
      </w:r>
      <w:r>
        <w:rPr>
          <w:lang w:val="ru-RU"/>
        </w:rPr>
        <w:t xml:space="preserve">)</w:t>
      </w:r>
      <w:r>
        <w:rPr>
          <w:lang w:val="ru-RU"/>
        </w:rPr>
        <w:t xml:space="preserve"> Документы, подтверждающие опыт выполнения аналогичных работ (при наличии);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4.6. Администрация не вправе требовать от участника отбора представления документов и информации для подтверждения соответствия требованиям пункта 2.3 настоящего Порядка при наличии соответствующей инф</w:t>
      </w:r>
      <w:r>
        <w:rPr>
          <w:lang w:val="ru-RU"/>
        </w:rPr>
        <w:t xml:space="preserve">ормации в государственных информационных системах, доступ к которым у Администрации имеется в рамках межведомственного электронного взаимодействия, за исключением случая, если участник отбора готов представить указанные документы по собственной инициативе.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4.7. Заявки, поступившие после окончания срока приёма, не рассматриваются и возвращаются участнику отбора через систему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V</w:t>
      </w:r>
      <w:r>
        <w:rPr>
          <w:b/>
          <w:lang w:val="ru-RU"/>
        </w:rPr>
        <w:t xml:space="preserve">. Рассмотрение и оценка заявок. Определение победителей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5.1. </w:t>
      </w:r>
      <w:r>
        <w:rPr>
          <w:color w:val="000000" w:themeColor="text1"/>
          <w:lang w:val="ru-RU"/>
        </w:rPr>
        <w:t xml:space="preserve">Администрация в течение 10 рабочих дней </w:t>
      </w:r>
      <w:r>
        <w:rPr>
          <w:lang w:val="ru-RU"/>
        </w:rPr>
        <w:t xml:space="preserve">после окончания приёма заявок рассматривает поступившие заявки на соответствие требованиям, установленным разделом </w:t>
      </w:r>
      <w:r>
        <w:t xml:space="preserve">II</w:t>
      </w:r>
      <w:r>
        <w:rPr>
          <w:lang w:val="ru-RU"/>
        </w:rPr>
        <w:t xml:space="preserve"> настоящего Порядка, с использованием функциональных возможностей системы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5.2. При проведении отбора способом запроса предложений оценка заявок осуществляется исходя из соответствия участников отбора категориям и (или) критериям и очерёдности поступления заявок в системе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5.3. Победителями отбора признаются участники отбора, соответствующие установленным категориям и критериям, заявки которых поступили ранее заявок других участников, в пределах объёма распределяемой Субсидии — 7 448 489,99 рубля.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5.4. Основания для отклонения заявок: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несоответствие участника отбора требованиям, установленным разделом </w:t>
      </w:r>
      <w:r>
        <w:t xml:space="preserve">II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непредставление (представление не в полном объёме) документов и сведений, указанных в пункте 4.5;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недостоверность информации, содержащейся в представленных документах.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5.5. Результаты отбора оформляются протоколом подведения итогов отбора, формируемым в системе «Электронный бюджет», в котором указываются: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список участников отбора, заявки которых рассмотрены;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список участников отбора, заявки которых отклонены, с указанием оснований отклонения;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список победителей отбора с указанием размера предоставляемой Субсидии.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5.6. Протокол подведения итогов отбора подписывается усиленной квалифицированной электронной подписью уполномоченного должностного лица Администрации в системе «Электронный б</w:t>
      </w:r>
      <w:r>
        <w:rPr>
          <w:lang w:val="ru-RU"/>
        </w:rPr>
        <w:t xml:space="preserve">юджет» и размещается на Портале</w:t>
      </w:r>
      <w:r>
        <w:rPr>
          <w:lang w:val="ru-RU"/>
        </w:rPr>
        <w:t xml:space="preserve"> не позднее 14-го календарного дня, следующего за днём определения победителей.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5.7. На основании протокола подведения итогов отбора Администрация издаёт постановление о предоставлении Субсидии.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VI</w:t>
      </w:r>
      <w:r>
        <w:rPr>
          <w:b/>
          <w:lang w:val="ru-RU"/>
        </w:rPr>
        <w:t xml:space="preserve">. Заключение соглашения и предоставление Субсидии через систему «Электронный бюджет»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6.1. Соглашение о предоставлении Субсидии заключается между </w:t>
      </w:r>
      <w:r>
        <w:rPr>
          <w:color w:val="000000" w:themeColor="text1"/>
          <w:lang w:val="ru-RU"/>
        </w:rPr>
        <w:t xml:space="preserve">Администрацией и победителем отбора в системе «Электронный бюджет» по типовой форме, установленной </w:t>
      </w:r>
      <w:r>
        <w:rPr>
          <w:color w:val="000000" w:themeColor="text1"/>
          <w:lang w:val="ru-RU"/>
        </w:rPr>
        <w:t xml:space="preserve">финансовым управлением Администрации</w:t>
      </w:r>
      <w:r>
        <w:rPr>
          <w:color w:val="000000" w:themeColor="text1"/>
          <w:lang w:val="ru-RU"/>
        </w:rPr>
        <w:t xml:space="preserve"> для соглашений о предоставлении субсидий.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6.</w:t>
      </w:r>
      <w:r>
        <w:rPr>
          <w:lang w:val="ru-RU"/>
        </w:rPr>
        <w:t xml:space="preserve">2</w:t>
      </w:r>
      <w:r>
        <w:rPr>
          <w:lang w:val="ru-RU"/>
        </w:rPr>
        <w:t xml:space="preserve">. Соглашение должно содержать: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цель предоставления Субсидии и планируемые результаты (объём выполненных работ по благоустройству, показатели результата);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размер Субсидии — не более 7 448 489,99 рубля — и условия её предоставления;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сроки перечисления Субсидии;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согласие получателя Субсидии на осуществление Администрацией и органами муниципального финансового контроля проверок соблюдения условий, целей и порядка предоставления Субсидии;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запрет приобретения за счёт Субсидии иностранной валюты, за исключением операций, определённых законодательством;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и сроки представления отчётности о достижении результатов предоставления Субсидии;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порядок возврата Субсидии </w:t>
      </w:r>
      <w:r>
        <w:rPr>
          <w:lang w:val="ru-RU"/>
        </w:rPr>
        <w:t xml:space="preserve">в случае нарушения условий её предоставления</w:t>
      </w:r>
      <w:r>
        <w:rPr>
          <w:lang w:val="ru-RU"/>
        </w:rPr>
        <w:t xml:space="preserve">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плановые значения показателей, необходимых для достижения результатов предоставления Субсидии.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6.3</w:t>
      </w:r>
      <w:r>
        <w:rPr>
          <w:lang w:val="ru-RU"/>
        </w:rPr>
        <w:t xml:space="preserve">. Победитель отбора обязан подписать соглашение в системе «Электронный бюджет» в срок, указанный в объявлении о проведении отбора (</w:t>
      </w:r>
      <w:r>
        <w:rPr>
          <w:color w:val="000000" w:themeColor="text1"/>
          <w:lang w:val="ru-RU"/>
        </w:rPr>
        <w:t xml:space="preserve">не позднее </w:t>
      </w:r>
      <w:r>
        <w:rPr>
          <w:color w:val="000000" w:themeColor="text1"/>
          <w:lang w:val="ru-RU"/>
        </w:rPr>
        <w:t xml:space="preserve">5</w:t>
      </w:r>
      <w:r>
        <w:rPr>
          <w:color w:val="000000" w:themeColor="text1"/>
          <w:lang w:val="ru-RU"/>
        </w:rPr>
        <w:t xml:space="preserve"> рабочих дней со </w:t>
      </w:r>
      <w:r>
        <w:rPr>
          <w:lang w:val="ru-RU"/>
        </w:rPr>
        <w:t xml:space="preserve">дня определения победителей). При уклонении победителя от заключения соглашения в указанный срок он признаётся уклонившимся, и Субсидия предлагается следующему по очереди участнику отбора, соответствующему критериям.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6.4</w:t>
      </w:r>
      <w:r>
        <w:rPr>
          <w:lang w:val="ru-RU"/>
        </w:rPr>
        <w:t xml:space="preserve">. Перечисление Субсидии на расчётный счёт получателя, открытый в кредитной организации или в учреждениях Центрального банка Российской Федерации, осуществляется </w:t>
      </w:r>
      <w:r>
        <w:rPr>
          <w:color w:val="000000" w:themeColor="text1"/>
          <w:lang w:val="ru-RU"/>
        </w:rPr>
        <w:t xml:space="preserve">в течение 30 </w:t>
      </w:r>
      <w:r>
        <w:rPr>
          <w:color w:val="000000" w:themeColor="text1"/>
          <w:lang w:val="ru-RU"/>
        </w:rPr>
        <w:t xml:space="preserve">календарных</w:t>
      </w:r>
      <w:r>
        <w:rPr>
          <w:color w:val="000000" w:themeColor="text1"/>
          <w:lang w:val="ru-RU"/>
        </w:rPr>
        <w:t xml:space="preserve"> дней </w:t>
      </w:r>
      <w:r>
        <w:rPr>
          <w:lang w:val="ru-RU"/>
        </w:rPr>
        <w:t xml:space="preserve">со дня подписания соглашения в системе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6.</w:t>
      </w:r>
      <w:r>
        <w:rPr>
          <w:lang w:val="ru-RU"/>
        </w:rPr>
        <w:t xml:space="preserve">5</w:t>
      </w:r>
      <w:r>
        <w:rPr>
          <w:lang w:val="ru-RU"/>
        </w:rPr>
        <w:t xml:space="preserve">. Запрещается использовать Субсидию на: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оказание материальной помощи, лечение и приобретение лекарств;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расходы, связанные с предпринимательской деятельностью;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приобретение алкогольной и табачной продукции;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уплату штрафов;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приобретение иностранной валюты (за исключением операций, разрешённых законодательством).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VII</w:t>
      </w:r>
      <w:r>
        <w:rPr>
          <w:b/>
          <w:lang w:val="ru-RU"/>
        </w:rPr>
        <w:t xml:space="preserve">. Требования к отчётности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7.1. Получатель Субсидии представляет в Администрацию: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отчёт о достижении результатов предоставления Субсидии — в сроки, установленные соглашением;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отчёт о целевом использовании Субсидии с приложением документов, подтверждающих произведённые затраты (договоры, акты выполненных работ, платёжные документы);</w:t>
      </w:r>
      <w:r>
        <w:rPr>
          <w:lang w:val="ru-RU"/>
        </w:rPr>
      </w:r>
      <w:r>
        <w:rPr>
          <w:lang w:val="ru-RU"/>
        </w:rPr>
      </w:r>
    </w:p>
    <w:p>
      <w:pPr>
        <w:pStyle w:val="875"/>
        <w:numPr>
          <w:ilvl w:val="0"/>
          <w:numId w:val="0"/>
        </w:numPr>
        <w:ind w:firstLine="709"/>
        <w:jc w:val="both"/>
        <w:rPr>
          <w:lang w:val="ru-RU"/>
        </w:rPr>
      </w:pPr>
      <w:r>
        <w:rPr>
          <w:lang w:val="ru-RU"/>
        </w:rPr>
        <w:t xml:space="preserve">- </w:t>
      </w:r>
      <w:r>
        <w:rPr>
          <w:lang w:val="ru-RU"/>
        </w:rPr>
        <w:t xml:space="preserve">фотоматериалы, подтверждающие выполнение работ по благоустройству (до и после).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7.2. Отчётность представляется в системе «Электронный бюджет» в электронной форме (при наличии технической возможности) либо на бумажном носителе по формам, утверждённым приложением к соглашению.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VIII</w:t>
      </w:r>
      <w:r>
        <w:rPr>
          <w:b/>
          <w:lang w:val="ru-RU"/>
        </w:rPr>
        <w:t xml:space="preserve">. Контроль и ответственность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8.1. Администрация и органы муниципального финансового контроля осуществляют проверки соблюдения получателем Субсидии условий, целей и порядка её предоставления.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8.2. В случае нецелевого использования Субсидии, недостижения результатов, установленны</w:t>
      </w:r>
      <w:r>
        <w:rPr>
          <w:lang w:val="ru-RU"/>
        </w:rPr>
        <w:t xml:space="preserve">х соглашением, а также выявления факта представления недостоверных сведений для получения Субсидии, получатель обязан вернуть Субсидию в бюджет Печенгского муниципального округа в течение 10 календарных дней с момента получения соответствующего требования.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8.3. При невозврате Субсидии в указанный срок Администрация принимает меры по её взысканию в судебном порядке.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8.4. Остаток Субсидии, не использованный получателем на отчётную дату, подлежит возврату в бюджет округа в порядке, установленном соглашением.</w:t>
      </w:r>
      <w:r>
        <w:rPr>
          <w:lang w:val="ru-RU"/>
        </w:rPr>
      </w:r>
      <w:r>
        <w:rPr>
          <w:lang w:val="ru-RU"/>
        </w:rPr>
      </w:r>
    </w:p>
    <w:p>
      <w:pPr>
        <w:jc w:val="center"/>
        <w:spacing w:before="200" w:after="80"/>
        <w:rPr>
          <w:lang w:val="ru-RU"/>
        </w:rPr>
      </w:pPr>
      <w:r>
        <w:rPr>
          <w:b/>
        </w:rPr>
        <w:t xml:space="preserve">IX</w:t>
      </w:r>
      <w:r>
        <w:rPr>
          <w:b/>
          <w:lang w:val="ru-RU"/>
        </w:rPr>
        <w:t xml:space="preserve">. Особенности обеспечения проведения отбора в системе «Электронный бюджет»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9.1. Доступ к системе «Электронный бюджет» осуществляется с использованием федеральной государственной информационно</w:t>
      </w:r>
      <w:r>
        <w:rPr>
          <w:lang w:val="ru-RU"/>
        </w:rPr>
        <w:t xml:space="preserve">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(ЕСИА).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9.2. Взаимодействие Администрации с участниками отбора осуществляется с использованием документов в электронной форме в системе «Электронный бюджет».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  <w:t xml:space="preserve">9.3. Регистрация на Портале происходит только один раз и выполняется автоматически при первом входе. Для авторизации на Портале необходимо иметь под</w:t>
      </w:r>
      <w:r>
        <w:rPr>
          <w:lang w:val="ru-RU"/>
        </w:rPr>
        <w:t xml:space="preserve">тверждённую учётную запись на портале Госуслуг. При первом входе на Портал посредством авторизации через Госуслуги потребуется предоставить права доступа к данным учётной записи системе «Электронный бюджет» и дать согласие на обработку персональных данных.</w:t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ind w:firstLine="709"/>
        <w:jc w:val="both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sectPr>
      <w:footnotePr/>
      <w:endnotePr/>
      <w:type w:val="nextPage"/>
      <w:pgSz w:w="12240" w:h="15840" w:orient="portrait"/>
      <w:pgMar w:top="993" w:right="850" w:bottom="67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Segoe UI">
    <w:panose1 w:val="020B0502040204020203"/>
  </w:font>
  <w:font w:name="Courier">
    <w:panose1 w:val="020604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0" w:hanging="360"/>
        <w:tabs>
          <w:tab w:val="num" w:pos="180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  <w:tabs>
          <w:tab w:val="num" w:pos="144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pStyle w:val="880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pStyle w:val="879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pStyle w:val="877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pStyle w:val="876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decimal"/>
      <w:pStyle w:val="878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bullet"/>
      <w:pStyle w:val="875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47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2">
    <w:name w:val="Heading 1 Char"/>
    <w:basedOn w:val="850"/>
    <w:link w:val="841"/>
    <w:uiPriority w:val="9"/>
    <w:rPr>
      <w:rFonts w:ascii="Arial" w:hAnsi="Arial" w:eastAsia="Arial" w:cs="Arial"/>
      <w:sz w:val="40"/>
      <w:szCs w:val="40"/>
    </w:rPr>
  </w:style>
  <w:style w:type="character" w:styleId="683">
    <w:name w:val="Heading 2 Char"/>
    <w:basedOn w:val="850"/>
    <w:link w:val="842"/>
    <w:uiPriority w:val="9"/>
    <w:rPr>
      <w:rFonts w:ascii="Arial" w:hAnsi="Arial" w:eastAsia="Arial" w:cs="Arial"/>
      <w:sz w:val="34"/>
    </w:rPr>
  </w:style>
  <w:style w:type="character" w:styleId="684">
    <w:name w:val="Heading 3 Char"/>
    <w:basedOn w:val="850"/>
    <w:link w:val="843"/>
    <w:uiPriority w:val="9"/>
    <w:rPr>
      <w:rFonts w:ascii="Arial" w:hAnsi="Arial" w:eastAsia="Arial" w:cs="Arial"/>
      <w:sz w:val="30"/>
      <w:szCs w:val="30"/>
    </w:rPr>
  </w:style>
  <w:style w:type="character" w:styleId="685">
    <w:name w:val="Heading 4 Char"/>
    <w:basedOn w:val="850"/>
    <w:link w:val="844"/>
    <w:uiPriority w:val="9"/>
    <w:rPr>
      <w:rFonts w:ascii="Arial" w:hAnsi="Arial" w:eastAsia="Arial" w:cs="Arial"/>
      <w:b/>
      <w:bCs/>
      <w:sz w:val="26"/>
      <w:szCs w:val="26"/>
    </w:rPr>
  </w:style>
  <w:style w:type="character" w:styleId="686">
    <w:name w:val="Heading 5 Char"/>
    <w:basedOn w:val="850"/>
    <w:link w:val="845"/>
    <w:uiPriority w:val="9"/>
    <w:rPr>
      <w:rFonts w:ascii="Arial" w:hAnsi="Arial" w:eastAsia="Arial" w:cs="Arial"/>
      <w:b/>
      <w:bCs/>
      <w:sz w:val="24"/>
      <w:szCs w:val="24"/>
    </w:rPr>
  </w:style>
  <w:style w:type="character" w:styleId="687">
    <w:name w:val="Heading 6 Char"/>
    <w:basedOn w:val="850"/>
    <w:link w:val="846"/>
    <w:uiPriority w:val="9"/>
    <w:rPr>
      <w:rFonts w:ascii="Arial" w:hAnsi="Arial" w:eastAsia="Arial" w:cs="Arial"/>
      <w:b/>
      <w:bCs/>
      <w:sz w:val="22"/>
      <w:szCs w:val="22"/>
    </w:rPr>
  </w:style>
  <w:style w:type="character" w:styleId="688">
    <w:name w:val="Heading 7 Char"/>
    <w:basedOn w:val="850"/>
    <w:link w:val="84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>
    <w:name w:val="Heading 8 Char"/>
    <w:basedOn w:val="850"/>
    <w:link w:val="848"/>
    <w:uiPriority w:val="9"/>
    <w:rPr>
      <w:rFonts w:ascii="Arial" w:hAnsi="Arial" w:eastAsia="Arial" w:cs="Arial"/>
      <w:i/>
      <w:iCs/>
      <w:sz w:val="22"/>
      <w:szCs w:val="22"/>
    </w:rPr>
  </w:style>
  <w:style w:type="character" w:styleId="690">
    <w:name w:val="Heading 9 Char"/>
    <w:basedOn w:val="850"/>
    <w:link w:val="849"/>
    <w:uiPriority w:val="9"/>
    <w:rPr>
      <w:rFonts w:ascii="Arial" w:hAnsi="Arial" w:eastAsia="Arial" w:cs="Arial"/>
      <w:i/>
      <w:iCs/>
      <w:sz w:val="21"/>
      <w:szCs w:val="21"/>
    </w:rPr>
  </w:style>
  <w:style w:type="character" w:styleId="691">
    <w:name w:val="Title Char"/>
    <w:basedOn w:val="850"/>
    <w:link w:val="861"/>
    <w:uiPriority w:val="10"/>
    <w:rPr>
      <w:sz w:val="48"/>
      <w:szCs w:val="48"/>
    </w:rPr>
  </w:style>
  <w:style w:type="character" w:styleId="692">
    <w:name w:val="Subtitle Char"/>
    <w:basedOn w:val="850"/>
    <w:link w:val="863"/>
    <w:uiPriority w:val="11"/>
    <w:rPr>
      <w:sz w:val="24"/>
      <w:szCs w:val="24"/>
    </w:rPr>
  </w:style>
  <w:style w:type="character" w:styleId="693">
    <w:name w:val="Quote Char"/>
    <w:link w:val="886"/>
    <w:uiPriority w:val="29"/>
    <w:rPr>
      <w:i/>
    </w:rPr>
  </w:style>
  <w:style w:type="character" w:styleId="694">
    <w:name w:val="Intense Quote Char"/>
    <w:link w:val="897"/>
    <w:uiPriority w:val="30"/>
    <w:rPr>
      <w:i/>
    </w:rPr>
  </w:style>
  <w:style w:type="character" w:styleId="695">
    <w:name w:val="Header Char"/>
    <w:basedOn w:val="850"/>
    <w:link w:val="853"/>
    <w:uiPriority w:val="99"/>
  </w:style>
  <w:style w:type="character" w:styleId="696">
    <w:name w:val="Footer Char"/>
    <w:basedOn w:val="850"/>
    <w:link w:val="855"/>
    <w:uiPriority w:val="99"/>
  </w:style>
  <w:style w:type="character" w:styleId="697">
    <w:name w:val="Caption Char"/>
    <w:basedOn w:val="894"/>
    <w:link w:val="855"/>
    <w:uiPriority w:val="99"/>
  </w:style>
  <w:style w:type="table" w:styleId="698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0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50"/>
    <w:uiPriority w:val="99"/>
    <w:unhideWhenUsed/>
    <w:rPr>
      <w:vertAlign w:val="superscript"/>
    </w:rPr>
  </w:style>
  <w:style w:type="paragraph" w:styleId="827">
    <w:name w:val="endnote text"/>
    <w:basedOn w:val="840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50"/>
    <w:uiPriority w:val="99"/>
    <w:semiHidden/>
    <w:unhideWhenUsed/>
    <w:rPr>
      <w:vertAlign w:val="superscript"/>
    </w:rPr>
  </w:style>
  <w:style w:type="paragraph" w:styleId="830">
    <w:name w:val="toc 1"/>
    <w:basedOn w:val="840"/>
    <w:next w:val="840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0"/>
    <w:next w:val="840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0"/>
    <w:next w:val="840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0"/>
    <w:next w:val="840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0"/>
    <w:next w:val="840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0"/>
    <w:next w:val="840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0"/>
    <w:next w:val="840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0"/>
    <w:next w:val="840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0"/>
    <w:next w:val="840"/>
    <w:uiPriority w:val="39"/>
    <w:unhideWhenUsed/>
    <w:pPr>
      <w:ind w:left="2268" w:right="0" w:firstLine="0"/>
      <w:spacing w:after="57"/>
    </w:pPr>
  </w:style>
  <w:style w:type="paragraph" w:styleId="839">
    <w:name w:val="table of figures"/>
    <w:basedOn w:val="840"/>
    <w:next w:val="840"/>
    <w:uiPriority w:val="99"/>
    <w:unhideWhenUsed/>
    <w:pPr>
      <w:spacing w:after="0" w:afterAutospacing="0"/>
    </w:pPr>
  </w:style>
  <w:style w:type="paragraph" w:styleId="840" w:default="1">
    <w:name w:val="Normal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841">
    <w:name w:val="Heading 1"/>
    <w:basedOn w:val="840"/>
    <w:next w:val="840"/>
    <w:link w:val="858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2">
    <w:name w:val="Heading 2"/>
    <w:basedOn w:val="840"/>
    <w:next w:val="840"/>
    <w:link w:val="859"/>
    <w:uiPriority w:val="9"/>
    <w:unhideWhenUsed/>
    <w:qFormat/>
    <w:pPr>
      <w:keepLines/>
      <w:keepNext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43">
    <w:name w:val="Heading 3"/>
    <w:basedOn w:val="840"/>
    <w:next w:val="840"/>
    <w:link w:val="860"/>
    <w:uiPriority w:val="9"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44">
    <w:name w:val="Heading 4"/>
    <w:basedOn w:val="840"/>
    <w:next w:val="840"/>
    <w:link w:val="888"/>
    <w:uiPriority w:val="9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845">
    <w:name w:val="Heading 5"/>
    <w:basedOn w:val="840"/>
    <w:next w:val="840"/>
    <w:link w:val="889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846">
    <w:name w:val="Heading 6"/>
    <w:basedOn w:val="840"/>
    <w:next w:val="840"/>
    <w:link w:val="890"/>
    <w:uiPriority w:val="9"/>
    <w:semiHidden/>
    <w:unhideWhenUsed/>
    <w:qFormat/>
    <w:pPr>
      <w:keepLines/>
      <w:keepNext/>
      <w:spacing w:before="20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847">
    <w:name w:val="Heading 7"/>
    <w:basedOn w:val="840"/>
    <w:next w:val="840"/>
    <w:link w:val="891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848">
    <w:name w:val="Heading 8"/>
    <w:basedOn w:val="840"/>
    <w:next w:val="840"/>
    <w:link w:val="892"/>
    <w:uiPriority w:val="9"/>
    <w:semiHidden/>
    <w:unhideWhenUsed/>
    <w:qFormat/>
    <w:pPr>
      <w:keepLines/>
      <w:keepNext/>
      <w:spacing w:before="20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849">
    <w:name w:val="Heading 9"/>
    <w:basedOn w:val="840"/>
    <w:next w:val="840"/>
    <w:link w:val="893"/>
    <w:uiPriority w:val="9"/>
    <w:semiHidden/>
    <w:unhideWhenUsed/>
    <w:qFormat/>
    <w:pPr>
      <w:keepLines/>
      <w:keepNext/>
      <w:spacing w:before="20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0"/>
    <w:link w:val="854"/>
    <w:uiPriority w:val="99"/>
    <w:unhideWhenUsed/>
    <w:pPr>
      <w:tabs>
        <w:tab w:val="center" w:pos="4680" w:leader="none"/>
        <w:tab w:val="right" w:pos="9360" w:leader="none"/>
      </w:tabs>
    </w:pPr>
  </w:style>
  <w:style w:type="character" w:styleId="854" w:customStyle="1">
    <w:name w:val="Верхний колонтитул Знак"/>
    <w:basedOn w:val="850"/>
    <w:link w:val="853"/>
    <w:uiPriority w:val="99"/>
  </w:style>
  <w:style w:type="paragraph" w:styleId="855">
    <w:name w:val="Footer"/>
    <w:basedOn w:val="840"/>
    <w:link w:val="856"/>
    <w:uiPriority w:val="99"/>
    <w:unhideWhenUsed/>
    <w:pPr>
      <w:tabs>
        <w:tab w:val="center" w:pos="4680" w:leader="none"/>
        <w:tab w:val="right" w:pos="9360" w:leader="none"/>
      </w:tabs>
    </w:pPr>
  </w:style>
  <w:style w:type="character" w:styleId="856" w:customStyle="1">
    <w:name w:val="Нижний колонтитул Знак"/>
    <w:basedOn w:val="850"/>
    <w:link w:val="855"/>
    <w:uiPriority w:val="99"/>
  </w:style>
  <w:style w:type="paragraph" w:styleId="857">
    <w:name w:val="No Spacing"/>
    <w:uiPriority w:val="1"/>
    <w:qFormat/>
    <w:pPr>
      <w:spacing w:after="0" w:line="240" w:lineRule="auto"/>
    </w:pPr>
  </w:style>
  <w:style w:type="character" w:styleId="858" w:customStyle="1">
    <w:name w:val="Заголовок 1 Знак"/>
    <w:basedOn w:val="850"/>
    <w:link w:val="841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9" w:customStyle="1">
    <w:name w:val="Заголовок 2 Знак"/>
    <w:basedOn w:val="850"/>
    <w:link w:val="842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60" w:customStyle="1">
    <w:name w:val="Заголовок 3 Знак"/>
    <w:basedOn w:val="850"/>
    <w:link w:val="843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861">
    <w:name w:val="Title"/>
    <w:basedOn w:val="840"/>
    <w:next w:val="840"/>
    <w:link w:val="862"/>
    <w:uiPriority w:val="10"/>
    <w:qFormat/>
    <w:pPr>
      <w:contextualSpacing/>
      <w:spacing w:after="300"/>
      <w:pBdr>
        <w:bottom w:val="single" w:color="4F81BD" w:themeColor="accent1" w:sz="8" w:space="4"/>
      </w:pBdr>
    </w:pPr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character" w:styleId="862" w:customStyle="1">
    <w:name w:val="Название Знак"/>
    <w:basedOn w:val="850"/>
    <w:link w:val="861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sz w:val="52"/>
      <w:szCs w:val="52"/>
    </w:rPr>
  </w:style>
  <w:style w:type="paragraph" w:styleId="863">
    <w:name w:val="Subtitle"/>
    <w:basedOn w:val="840"/>
    <w:next w:val="840"/>
    <w:link w:val="864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</w:rPr>
  </w:style>
  <w:style w:type="character" w:styleId="864" w:customStyle="1">
    <w:name w:val="Подзаголовок Знак"/>
    <w:basedOn w:val="850"/>
    <w:link w:val="863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865">
    <w:name w:val="List Paragraph"/>
    <w:basedOn w:val="840"/>
    <w:uiPriority w:val="34"/>
    <w:qFormat/>
    <w:pPr>
      <w:contextualSpacing/>
      <w:ind w:left="720"/>
    </w:pPr>
  </w:style>
  <w:style w:type="paragraph" w:styleId="866">
    <w:name w:val="Body Text"/>
    <w:basedOn w:val="840"/>
    <w:link w:val="867"/>
    <w:uiPriority w:val="99"/>
    <w:unhideWhenUsed/>
    <w:pPr>
      <w:spacing w:after="120"/>
    </w:pPr>
  </w:style>
  <w:style w:type="character" w:styleId="867" w:customStyle="1">
    <w:name w:val="Основной текст Знак"/>
    <w:basedOn w:val="850"/>
    <w:link w:val="866"/>
    <w:uiPriority w:val="99"/>
  </w:style>
  <w:style w:type="paragraph" w:styleId="868">
    <w:name w:val="Body Text 2"/>
    <w:basedOn w:val="840"/>
    <w:link w:val="869"/>
    <w:uiPriority w:val="99"/>
    <w:unhideWhenUsed/>
    <w:pPr>
      <w:spacing w:after="120" w:line="480" w:lineRule="auto"/>
    </w:pPr>
  </w:style>
  <w:style w:type="character" w:styleId="869" w:customStyle="1">
    <w:name w:val="Основной текст 2 Знак"/>
    <w:basedOn w:val="850"/>
    <w:link w:val="868"/>
    <w:uiPriority w:val="99"/>
  </w:style>
  <w:style w:type="paragraph" w:styleId="870">
    <w:name w:val="Body Text 3"/>
    <w:basedOn w:val="840"/>
    <w:link w:val="871"/>
    <w:uiPriority w:val="99"/>
    <w:unhideWhenUsed/>
    <w:pPr>
      <w:spacing w:after="120"/>
    </w:pPr>
    <w:rPr>
      <w:sz w:val="16"/>
      <w:szCs w:val="16"/>
    </w:rPr>
  </w:style>
  <w:style w:type="character" w:styleId="871" w:customStyle="1">
    <w:name w:val="Основной текст 3 Знак"/>
    <w:basedOn w:val="850"/>
    <w:link w:val="870"/>
    <w:uiPriority w:val="99"/>
    <w:rPr>
      <w:sz w:val="16"/>
      <w:szCs w:val="16"/>
    </w:rPr>
  </w:style>
  <w:style w:type="paragraph" w:styleId="872">
    <w:name w:val="List"/>
    <w:basedOn w:val="840"/>
    <w:uiPriority w:val="99"/>
    <w:unhideWhenUsed/>
    <w:pPr>
      <w:contextualSpacing/>
      <w:ind w:left="360" w:hanging="360"/>
    </w:pPr>
  </w:style>
  <w:style w:type="paragraph" w:styleId="873">
    <w:name w:val="List 2"/>
    <w:basedOn w:val="840"/>
    <w:uiPriority w:val="99"/>
    <w:unhideWhenUsed/>
    <w:pPr>
      <w:contextualSpacing/>
      <w:ind w:left="720" w:hanging="360"/>
    </w:pPr>
  </w:style>
  <w:style w:type="paragraph" w:styleId="874">
    <w:name w:val="List 3"/>
    <w:basedOn w:val="840"/>
    <w:uiPriority w:val="99"/>
    <w:unhideWhenUsed/>
    <w:pPr>
      <w:contextualSpacing/>
      <w:ind w:left="1080" w:hanging="360"/>
    </w:pPr>
  </w:style>
  <w:style w:type="paragraph" w:styleId="875">
    <w:name w:val="List Bullet"/>
    <w:basedOn w:val="840"/>
    <w:uiPriority w:val="99"/>
    <w:unhideWhenUsed/>
    <w:pPr>
      <w:numPr>
        <w:ilvl w:val="0"/>
        <w:numId w:val="1"/>
      </w:numPr>
      <w:contextualSpacing/>
    </w:pPr>
  </w:style>
  <w:style w:type="paragraph" w:styleId="876">
    <w:name w:val="List Bullet 2"/>
    <w:basedOn w:val="840"/>
    <w:uiPriority w:val="99"/>
    <w:unhideWhenUsed/>
    <w:pPr>
      <w:numPr>
        <w:ilvl w:val="0"/>
        <w:numId w:val="2"/>
      </w:numPr>
      <w:contextualSpacing/>
    </w:pPr>
  </w:style>
  <w:style w:type="paragraph" w:styleId="877">
    <w:name w:val="List Bullet 3"/>
    <w:basedOn w:val="840"/>
    <w:uiPriority w:val="99"/>
    <w:unhideWhenUsed/>
    <w:pPr>
      <w:numPr>
        <w:ilvl w:val="0"/>
        <w:numId w:val="3"/>
      </w:numPr>
      <w:contextualSpacing/>
    </w:pPr>
  </w:style>
  <w:style w:type="paragraph" w:styleId="878">
    <w:name w:val="List Number"/>
    <w:basedOn w:val="840"/>
    <w:uiPriority w:val="99"/>
    <w:unhideWhenUsed/>
    <w:pPr>
      <w:numPr>
        <w:ilvl w:val="0"/>
        <w:numId w:val="5"/>
      </w:numPr>
      <w:contextualSpacing/>
    </w:pPr>
  </w:style>
  <w:style w:type="paragraph" w:styleId="879">
    <w:name w:val="List Number 2"/>
    <w:basedOn w:val="840"/>
    <w:uiPriority w:val="99"/>
    <w:unhideWhenUsed/>
    <w:pPr>
      <w:numPr>
        <w:ilvl w:val="0"/>
        <w:numId w:val="6"/>
      </w:numPr>
      <w:contextualSpacing/>
    </w:pPr>
  </w:style>
  <w:style w:type="paragraph" w:styleId="880">
    <w:name w:val="List Number 3"/>
    <w:basedOn w:val="840"/>
    <w:uiPriority w:val="99"/>
    <w:unhideWhenUsed/>
    <w:pPr>
      <w:numPr>
        <w:ilvl w:val="0"/>
        <w:numId w:val="7"/>
      </w:numPr>
      <w:contextualSpacing/>
    </w:pPr>
  </w:style>
  <w:style w:type="paragraph" w:styleId="881">
    <w:name w:val="List Continue"/>
    <w:basedOn w:val="840"/>
    <w:uiPriority w:val="99"/>
    <w:unhideWhenUsed/>
    <w:pPr>
      <w:contextualSpacing/>
      <w:ind w:left="360"/>
      <w:spacing w:after="120"/>
    </w:pPr>
  </w:style>
  <w:style w:type="paragraph" w:styleId="882">
    <w:name w:val="List Continue 2"/>
    <w:basedOn w:val="840"/>
    <w:uiPriority w:val="99"/>
    <w:unhideWhenUsed/>
    <w:pPr>
      <w:contextualSpacing/>
      <w:ind w:left="720"/>
      <w:spacing w:after="120"/>
    </w:pPr>
  </w:style>
  <w:style w:type="paragraph" w:styleId="883">
    <w:name w:val="List Continue 3"/>
    <w:basedOn w:val="840"/>
    <w:uiPriority w:val="99"/>
    <w:unhideWhenUsed/>
    <w:pPr>
      <w:contextualSpacing/>
      <w:ind w:left="1080"/>
      <w:spacing w:after="120"/>
    </w:pPr>
  </w:style>
  <w:style w:type="paragraph" w:styleId="884">
    <w:name w:val="macro"/>
    <w:link w:val="885"/>
    <w:uiPriority w:val="99"/>
    <w:unhideWhenUsed/>
    <w:pPr>
      <w:tabs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</w:pPr>
    <w:rPr>
      <w:rFonts w:ascii="Courier" w:hAnsi="Courier"/>
      <w:sz w:val="20"/>
      <w:szCs w:val="20"/>
    </w:rPr>
  </w:style>
  <w:style w:type="character" w:styleId="885" w:customStyle="1">
    <w:name w:val="Текст макроса Знак"/>
    <w:basedOn w:val="850"/>
    <w:link w:val="884"/>
    <w:uiPriority w:val="99"/>
    <w:rPr>
      <w:rFonts w:ascii="Courier" w:hAnsi="Courier"/>
      <w:sz w:val="20"/>
      <w:szCs w:val="20"/>
    </w:rPr>
  </w:style>
  <w:style w:type="paragraph" w:styleId="886">
    <w:name w:val="Quote"/>
    <w:basedOn w:val="840"/>
    <w:next w:val="840"/>
    <w:link w:val="887"/>
    <w:uiPriority w:val="29"/>
    <w:qFormat/>
    <w:rPr>
      <w:i/>
      <w:iCs/>
      <w:color w:val="000000" w:themeColor="text1"/>
    </w:rPr>
  </w:style>
  <w:style w:type="character" w:styleId="887" w:customStyle="1">
    <w:name w:val="Цитата 2 Знак"/>
    <w:basedOn w:val="850"/>
    <w:link w:val="886"/>
    <w:uiPriority w:val="29"/>
    <w:rPr>
      <w:i/>
      <w:iCs/>
      <w:color w:val="000000" w:themeColor="text1"/>
    </w:rPr>
  </w:style>
  <w:style w:type="character" w:styleId="888" w:customStyle="1">
    <w:name w:val="Заголовок 4 Знак"/>
    <w:basedOn w:val="850"/>
    <w:link w:val="844"/>
    <w:uiPriority w:val="9"/>
    <w:semiHidden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889" w:customStyle="1">
    <w:name w:val="Заголовок 5 Знак"/>
    <w:basedOn w:val="850"/>
    <w:link w:val="845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890" w:customStyle="1">
    <w:name w:val="Заголовок 6 Знак"/>
    <w:basedOn w:val="850"/>
    <w:link w:val="846"/>
    <w:uiPriority w:val="9"/>
    <w:semiHidden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891" w:customStyle="1">
    <w:name w:val="Заголовок 7 Знак"/>
    <w:basedOn w:val="850"/>
    <w:link w:val="847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892" w:customStyle="1">
    <w:name w:val="Заголовок 8 Знак"/>
    <w:basedOn w:val="850"/>
    <w:link w:val="848"/>
    <w:uiPriority w:val="9"/>
    <w:semiHidden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893" w:customStyle="1">
    <w:name w:val="Заголовок 9 Знак"/>
    <w:basedOn w:val="850"/>
    <w:link w:val="849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894">
    <w:name w:val="Caption"/>
    <w:basedOn w:val="840"/>
    <w:next w:val="84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895">
    <w:name w:val="Strong"/>
    <w:basedOn w:val="850"/>
    <w:uiPriority w:val="22"/>
    <w:qFormat/>
    <w:rPr>
      <w:b/>
      <w:bCs/>
    </w:rPr>
  </w:style>
  <w:style w:type="character" w:styleId="896">
    <w:name w:val="Emphasis"/>
    <w:basedOn w:val="850"/>
    <w:uiPriority w:val="20"/>
    <w:qFormat/>
    <w:rPr>
      <w:i/>
      <w:iCs/>
    </w:rPr>
  </w:style>
  <w:style w:type="paragraph" w:styleId="897">
    <w:name w:val="Intense Quote"/>
    <w:basedOn w:val="840"/>
    <w:next w:val="840"/>
    <w:link w:val="898"/>
    <w:uiPriority w:val="30"/>
    <w:qFormat/>
    <w:pPr>
      <w:ind w:left="936" w:right="936"/>
      <w:spacing w:before="200" w:after="280"/>
      <w:pBdr>
        <w:bottom w:val="single" w:color="4F81BD" w:themeColor="accent1" w:sz="4" w:space="4"/>
      </w:pBdr>
    </w:pPr>
    <w:rPr>
      <w:b/>
      <w:bCs/>
      <w:i/>
      <w:iCs/>
      <w:color w:val="4f81bd" w:themeColor="accent1"/>
    </w:rPr>
  </w:style>
  <w:style w:type="character" w:styleId="898" w:customStyle="1">
    <w:name w:val="Выделенная цитата Знак"/>
    <w:basedOn w:val="850"/>
    <w:link w:val="897"/>
    <w:uiPriority w:val="30"/>
    <w:rPr>
      <w:b/>
      <w:bCs/>
      <w:i/>
      <w:iCs/>
      <w:color w:val="4f81bd" w:themeColor="accent1"/>
    </w:rPr>
  </w:style>
  <w:style w:type="character" w:styleId="899">
    <w:name w:val="Subtle Emphasis"/>
    <w:basedOn w:val="850"/>
    <w:uiPriority w:val="19"/>
    <w:qFormat/>
    <w:rPr>
      <w:i/>
      <w:iCs/>
      <w:color w:val="808080" w:themeColor="text1" w:themeTint="7F"/>
    </w:rPr>
  </w:style>
  <w:style w:type="character" w:styleId="900">
    <w:name w:val="Intense Emphasis"/>
    <w:basedOn w:val="850"/>
    <w:uiPriority w:val="21"/>
    <w:qFormat/>
    <w:rPr>
      <w:b/>
      <w:bCs/>
      <w:i/>
      <w:iCs/>
      <w:color w:val="4f81bd" w:themeColor="accent1"/>
    </w:rPr>
  </w:style>
  <w:style w:type="character" w:styleId="901">
    <w:name w:val="Subtle Reference"/>
    <w:basedOn w:val="850"/>
    <w:uiPriority w:val="31"/>
    <w:qFormat/>
    <w:rPr>
      <w:smallCaps/>
      <w:color w:val="c0504d" w:themeColor="accent2"/>
      <w:u w:val="single"/>
    </w:rPr>
  </w:style>
  <w:style w:type="character" w:styleId="902">
    <w:name w:val="Intense Reference"/>
    <w:basedOn w:val="85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903">
    <w:name w:val="Book Title"/>
    <w:basedOn w:val="850"/>
    <w:uiPriority w:val="33"/>
    <w:qFormat/>
    <w:rPr>
      <w:b/>
      <w:bCs/>
      <w:smallCaps/>
      <w:spacing w:val="5"/>
    </w:rPr>
  </w:style>
  <w:style w:type="paragraph" w:styleId="904">
    <w:name w:val="TOC Heading"/>
    <w:basedOn w:val="841"/>
    <w:next w:val="840"/>
    <w:uiPriority w:val="39"/>
    <w:semiHidden/>
    <w:unhideWhenUsed/>
    <w:qFormat/>
    <w:pPr>
      <w:outlineLvl w:val="9"/>
    </w:pPr>
  </w:style>
  <w:style w:type="table" w:styleId="905">
    <w:name w:val="Table Grid"/>
    <w:basedOn w:val="85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6">
    <w:name w:val="Light Shading"/>
    <w:basedOn w:val="851"/>
    <w:uiPriority w:val="6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band1Horz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none" w:color="000000" w:sz="4" w:space="0"/>
          <w:bottom w:val="single" w:color="000000" w:themeColor="text1" w:sz="8" w:space="0"/>
          <w:right w:val="none" w:color="000000" w:sz="4" w:space="0"/>
        </w:tcBorders>
      </w:tcPr>
    </w:tblStylePr>
  </w:style>
  <w:style w:type="table" w:styleId="907">
    <w:name w:val="Light Shading Accent 1"/>
    <w:basedOn w:val="851"/>
    <w:uiPriority w:val="6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band1Horz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none" w:color="000000" w:sz="4" w:space="0"/>
          <w:bottom w:val="single" w:color="4F81BD" w:themeColor="accent1" w:sz="8" w:space="0"/>
          <w:right w:val="none" w:color="000000" w:sz="4" w:space="0"/>
        </w:tcBorders>
      </w:tcPr>
    </w:tblStylePr>
  </w:style>
  <w:style w:type="table" w:styleId="908">
    <w:name w:val="Light Shading Accent 2"/>
    <w:basedOn w:val="851"/>
    <w:uiPriority w:val="60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band1Horz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none" w:color="000000" w:sz="4" w:space="0"/>
          <w:bottom w:val="single" w:color="C0504D" w:themeColor="accent2" w:sz="8" w:space="0"/>
          <w:right w:val="none" w:color="000000" w:sz="4" w:space="0"/>
        </w:tcBorders>
      </w:tcPr>
    </w:tblStylePr>
  </w:style>
  <w:style w:type="table" w:styleId="909">
    <w:name w:val="Light Shading Accent 3"/>
    <w:basedOn w:val="851"/>
    <w:uiPriority w:val="60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band1Horz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none" w:color="000000" w:sz="4" w:space="0"/>
          <w:bottom w:val="single" w:color="9BBB59" w:themeColor="accent3" w:sz="8" w:space="0"/>
          <w:right w:val="none" w:color="000000" w:sz="4" w:space="0"/>
        </w:tcBorders>
      </w:tcPr>
    </w:tblStylePr>
  </w:style>
  <w:style w:type="table" w:styleId="910">
    <w:name w:val="Light Shading Accent 4"/>
    <w:basedOn w:val="851"/>
    <w:uiPriority w:val="60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band1Horz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none" w:color="000000" w:sz="4" w:space="0"/>
          <w:bottom w:val="single" w:color="8064A2" w:themeColor="accent4" w:sz="8" w:space="0"/>
          <w:right w:val="none" w:color="000000" w:sz="4" w:space="0"/>
        </w:tcBorders>
      </w:tcPr>
    </w:tblStylePr>
  </w:style>
  <w:style w:type="table" w:styleId="911">
    <w:name w:val="Light Shading Accent 5"/>
    <w:basedOn w:val="851"/>
    <w:uiPriority w:val="60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band1Horz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none" w:color="000000" w:sz="4" w:space="0"/>
          <w:bottom w:val="single" w:color="4BACC6" w:themeColor="accent5" w:sz="8" w:space="0"/>
          <w:right w:val="none" w:color="000000" w:sz="4" w:space="0"/>
        </w:tcBorders>
      </w:tcPr>
    </w:tblStylePr>
  </w:style>
  <w:style w:type="table" w:styleId="912">
    <w:name w:val="Light Shading Accent 6"/>
    <w:basedOn w:val="851"/>
    <w:uiPriority w:val="60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band1Horz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none" w:color="000000" w:sz="4" w:space="0"/>
          <w:bottom w:val="single" w:color="F79646" w:themeColor="accent6" w:sz="8" w:space="0"/>
          <w:right w:val="none" w:color="000000" w:sz="4" w:space="0"/>
        </w:tcBorders>
      </w:tcPr>
    </w:tblStylePr>
  </w:style>
  <w:style w:type="table" w:styleId="913">
    <w:name w:val="Light List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914">
    <w:name w:val="Light List Accent 1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915">
    <w:name w:val="Light List Accent 2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916">
    <w:name w:val="Light List Accent 3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917">
    <w:name w:val="Light List Accent 4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918">
    <w:name w:val="Light List Accent 5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919">
    <w:name w:val="Light List Accent 6"/>
    <w:basedOn w:val="851"/>
    <w:uiPriority w:val="61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920">
    <w:name w:val="Light Grid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band1Horz"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shd w:val="clear" w:color="auto" w:fill="c0c0c0" w:themeFill="text1" w:themeFillTint="3F"/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921">
    <w:name w:val="Light Grid Accent 1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band1Horz"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922">
    <w:name w:val="Light Grid Accent 2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band1Horz"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shd w:val="clear" w:color="auto" w:fill="efd3d2" w:themeFill="accent2" w:themeFillTint="3F"/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923">
    <w:name w:val="Light Grid Accent 3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band1Horz"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924">
    <w:name w:val="Light Grid Accent 4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band1Horz"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925">
    <w:name w:val="Light Grid Accent 5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band1Horz"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shd w:val="clear" w:color="auto" w:fill="d2eaf1" w:themeFill="accent5" w:themeFillTint="3F"/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926">
    <w:name w:val="Light Grid Accent 6"/>
    <w:basedOn w:val="851"/>
    <w:uiPriority w:val="62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band1Horz"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shd w:val="clear" w:color="auto" w:fill="fde4d0" w:themeFill="accent6" w:themeFillTint="3F"/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fir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</w:tcBorders>
      </w:tc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lastRow">
      <w:rPr>
        <w:rFonts w:asciiTheme="majorHAnsi" w:hAnsiTheme="majorHAnsi" w:eastAsiaTheme="majorEastAsia" w:cstheme="majorBidi"/>
        <w:b/>
        <w:bCs/>
      </w:rPr>
      <w:pPr>
        <w:spacing w:before="0" w:after="0" w:line="240" w:lineRule="auto"/>
      </w:pPr>
      <w:tcPr>
        <w:tcBorders>
          <w:top w:val="sing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927">
    <w:name w:val="Medium Shading 1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band1Horz">
      <w:tcPr>
        <w:shd w:val="clear" w:color="auto" w:fill="c0c0c0" w:themeFill="text1" w:themeFillTint="3F"/>
      </w:tcPr>
    </w:tblStylePr>
    <w:tblStylePr w:type="band1Vert">
      <w:tcPr>
        <w:shd w:val="clear" w:color="auto" w:fill="c0c0c0" w:themeFill="text1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</w:tcBorders>
      </w:tcPr>
    </w:tblStylePr>
  </w:style>
  <w:style w:type="table" w:styleId="928">
    <w:name w:val="Medium Shading 1 Accent 1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band1Horz">
      <w:tcPr>
        <w:shd w:val="clear" w:color="auto" w:fill="d3dfee" w:themeFill="accent1" w:themeFillTint="3F"/>
      </w:tcPr>
    </w:tblStylePr>
    <w:tblStylePr w:type="band1Vert">
      <w:tcPr>
        <w:shd w:val="clear" w:color="auto" w:fill="d3dfee" w:themeFill="accent1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</w:tcBorders>
      </w:tcPr>
    </w:tblStylePr>
  </w:style>
  <w:style w:type="table" w:styleId="929">
    <w:name w:val="Medium Shading 1 Accent 2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band1Horz">
      <w:tcPr>
        <w:shd w:val="clear" w:color="auto" w:fill="efd3d2" w:themeFill="accent2" w:themeFillTint="3F"/>
      </w:tcPr>
    </w:tblStylePr>
    <w:tblStylePr w:type="band1Vert">
      <w:tcPr>
        <w:shd w:val="clear" w:color="auto" w:fill="efd3d2" w:themeFill="accent2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</w:tcBorders>
      </w:tcPr>
    </w:tblStylePr>
  </w:style>
  <w:style w:type="table" w:styleId="930">
    <w:name w:val="Medium Shading 1 Accent 3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band1Horz">
      <w:tcPr>
        <w:shd w:val="clear" w:color="auto" w:fill="e6eed5" w:themeFill="accent3" w:themeFillTint="3F"/>
      </w:tcPr>
    </w:tblStylePr>
    <w:tblStylePr w:type="band1Vert">
      <w:tcPr>
        <w:shd w:val="clear" w:color="auto" w:fill="e6eed5" w:themeFill="accent3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</w:tcBorders>
      </w:tcPr>
    </w:tblStylePr>
  </w:style>
  <w:style w:type="table" w:styleId="931">
    <w:name w:val="Medium Shading 1 Accent 4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band1Horz">
      <w:tcPr>
        <w:shd w:val="clear" w:color="auto" w:fill="dfd8e8" w:themeFill="accent4" w:themeFillTint="3F"/>
      </w:tcPr>
    </w:tblStylePr>
    <w:tblStylePr w:type="band1Vert">
      <w:tcPr>
        <w:shd w:val="clear" w:color="auto" w:fill="dfd8e8" w:themeFill="accent4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</w:tcBorders>
      </w:tcPr>
    </w:tblStylePr>
  </w:style>
  <w:style w:type="table" w:styleId="932">
    <w:name w:val="Medium Shading 1 Accent 5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band1Horz">
      <w:tcPr>
        <w:shd w:val="clear" w:color="auto" w:fill="d2eaf1" w:themeFill="accent5" w:themeFillTint="3F"/>
      </w:tcPr>
    </w:tblStylePr>
    <w:tblStylePr w:type="band1Vert">
      <w:tcPr>
        <w:shd w:val="clear" w:color="auto" w:fill="d2eaf1" w:themeFill="accent5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</w:tcBorders>
      </w:tcPr>
    </w:tblStylePr>
  </w:style>
  <w:style w:type="table" w:styleId="933">
    <w:name w:val="Medium Shading 1 Accent 6"/>
    <w:basedOn w:val="851"/>
    <w:uiPriority w:val="63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band1Horz">
      <w:tcPr>
        <w:shd w:val="clear" w:color="auto" w:fill="fde4d0" w:themeFill="accent6" w:themeFillTint="3F"/>
      </w:tcPr>
    </w:tblStylePr>
    <w:tblStylePr w:type="band1Vert">
      <w:tcPr>
        <w:shd w:val="clear" w:color="auto" w:fill="fde4d0" w:themeFill="accent6" w:themeFillTint="3F"/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pPr>
        <w:spacing w:before="0" w:after="0" w:line="240" w:lineRule="auto"/>
      </w:pPr>
      <w:tcPr>
        <w:tcBorders>
          <w:top w:val="sing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</w:tcBorders>
      </w:tcPr>
    </w:tblStylePr>
  </w:style>
  <w:style w:type="table" w:styleId="934">
    <w:name w:val="Medium Shading 2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000000" w:themeFill="tex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000000" w:themeFill="tex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35">
    <w:name w:val="Medium Shading 2 Accent 1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4f81bd" w:themeFill="accent1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f81bd" w:themeFill="accent1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4f81bd" w:themeFill="accent1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36">
    <w:name w:val="Medium Shading 2 Accent 2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c0504d" w:themeFill="accent2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c0504d" w:themeFill="accent2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c0504d" w:themeFill="accent2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37">
    <w:name w:val="Medium Shading 2 Accent 3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9bbb59" w:themeFill="accent3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9bbb59" w:themeFill="accent3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9bbb59" w:themeFill="accent3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38">
    <w:name w:val="Medium Shading 2 Accent 4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8064a2" w:themeFill="accent4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8064a2" w:themeFill="accent4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8064a2" w:themeFill="accent4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39">
    <w:name w:val="Medium Shading 2 Accent 5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4bacc6" w:themeFill="accent5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4bacc6" w:themeFill="accent5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4bacc6" w:themeFill="accent5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40">
    <w:name w:val="Medium Shading 2 Accent 6"/>
    <w:basedOn w:val="851"/>
    <w:uiPriority w:val="64"/>
    <w:pPr>
      <w:spacing w:after="0" w:line="240" w:lineRule="auto"/>
    </w:pPr>
    <w:tblPr>
      <w:tblStyleRowBandSize w:val="1"/>
      <w:tblStyleColBandSize w:val="1"/>
      <w:tblBorders>
        <w:top w:val="single" w:color="000000" w:sz="18" w:space="0"/>
        <w:bottom w:val="single" w:color="000000" w:sz="18" w:space="0"/>
      </w:tblBorders>
    </w:tblPr>
    <w:tblStylePr w:type="band1Horz">
      <w:tcPr>
        <w:shd w:val="clear" w:color="auto" w:fill="d8d8d8" w:themeFill="background1" w:themeFillShade="D8"/>
      </w:tcPr>
    </w:tblStylePr>
    <w:tblStylePr w:type="band1Vert">
      <w:tcPr>
        <w:shd w:val="clear" w:color="auto" w:fill="d8d8d8" w:themeFill="background1" w:themeFillShade="D8"/>
        <w:tcBorders>
          <w:left w:val="none" w:color="000000" w:sz="4" w:space="0"/>
          <w:right w:val="none" w:color="000000" w:sz="4" w:space="0"/>
        </w:tcBorders>
      </w:tcPr>
    </w:tblStylePr>
    <w:tblStylePr w:type="firstCol">
      <w:rPr>
        <w:b/>
        <w:bCs/>
        <w:color w:val="ffffff" w:themeColor="background1"/>
      </w:rPr>
      <w:tcPr>
        <w:shd w:val="clear" w:color="auto" w:fill="f79646" w:themeFill="accent6"/>
        <w:tcBorders>
          <w:top w:val="none" w:color="000000" w:sz="4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firstRow">
      <w:rPr>
        <w:b/>
        <w:bCs/>
        <w:color w:val="ffffff" w:themeColor="background1"/>
      </w:rPr>
      <w:pPr>
        <w:spacing w:before="0" w:after="0" w:line="240" w:lineRule="auto"/>
      </w:pPr>
      <w:tcPr>
        <w:shd w:val="clear" w:color="auto" w:fill="f79646" w:themeFill="accent6"/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lastCol">
      <w:rPr>
        <w:b/>
        <w:bCs/>
        <w:color w:val="ffffff" w:themeColor="background1"/>
      </w:rPr>
      <w:tcPr>
        <w:shd w:val="clear" w:color="auto" w:fill="f79646" w:themeFill="accent6"/>
        <w:tcBorders>
          <w:left w:val="none" w:color="000000" w:sz="4" w:space="0"/>
          <w:right w:val="none" w:color="000000" w:sz="4" w:space="0"/>
        </w:tcBorders>
      </w:tcPr>
    </w:tblStylePr>
    <w:tblStylePr w:type="lastRow">
      <w:rPr>
        <w:color w:val="auto"/>
      </w:rPr>
      <w:pPr>
        <w:spacing w:before="0" w:after="0" w:line="240" w:lineRule="auto"/>
      </w:pPr>
      <w:tcPr>
        <w:shd w:val="clear" w:color="auto" w:fill="ffffff" w:themeFill="background1"/>
        <w:tcBorders>
          <w:top w:val="single" w:color="000000" w:sz="6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wCell">
      <w:rPr>
        <w:color w:val="ffffff" w:themeColor="background1"/>
      </w:rPr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  <w:tblStylePr w:type="neCell">
      <w:tcPr>
        <w:tcBorders>
          <w:top w:val="single" w:color="000000" w:sz="18" w:space="0"/>
          <w:left w:val="none" w:color="000000" w:sz="4" w:space="0"/>
          <w:bottom w:val="single" w:color="000000" w:sz="18" w:space="0"/>
          <w:right w:val="none" w:color="000000" w:sz="4" w:space="0"/>
        </w:tcBorders>
      </w:tcPr>
    </w:tblStylePr>
  </w:style>
  <w:style w:type="table" w:styleId="941">
    <w:name w:val="Medium List 1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band1Horz">
      <w:tcPr>
        <w:shd w:val="clear" w:color="auto" w:fill="c0c0c0" w:themeFill="text1" w:themeFillTint="3F"/>
      </w:tcPr>
    </w:tblStylePr>
    <w:tblStylePr w:type="band1Vert">
      <w:tcPr>
        <w:shd w:val="clear" w:color="auto" w:fill="c0c0c0" w:themeFill="text1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000000" w:themeColor="text1" w:sz="8" w:space="0"/>
        </w:tcBorders>
      </w:tc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</w:style>
  <w:style w:type="table" w:styleId="942">
    <w:name w:val="Medium List 1 Accent 1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band1Horz">
      <w:tcPr>
        <w:shd w:val="clear" w:color="auto" w:fill="d3dfee" w:themeFill="accent1" w:themeFillTint="3F"/>
      </w:tcPr>
    </w:tblStylePr>
    <w:tblStylePr w:type="band1Vert">
      <w:tcPr>
        <w:shd w:val="clear" w:color="auto" w:fill="d3dfee" w:themeFill="accent1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4F81BD" w:themeColor="accent1" w:sz="8" w:space="0"/>
        </w:tcBorders>
      </w:tc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</w:style>
  <w:style w:type="table" w:styleId="943">
    <w:name w:val="Medium List 1 Accent 2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band1Horz">
      <w:tcPr>
        <w:shd w:val="clear" w:color="auto" w:fill="efd3d2" w:themeFill="accent2" w:themeFillTint="3F"/>
      </w:tcPr>
    </w:tblStylePr>
    <w:tblStylePr w:type="band1Vert">
      <w:tcPr>
        <w:shd w:val="clear" w:color="auto" w:fill="efd3d2" w:themeFill="accent2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C0504D" w:themeColor="accent2" w:sz="8" w:space="0"/>
        </w:tcBorders>
      </w:tc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</w:style>
  <w:style w:type="table" w:styleId="944">
    <w:name w:val="Medium List 1 Accent 3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band1Horz">
      <w:tcPr>
        <w:shd w:val="clear" w:color="auto" w:fill="e6eed5" w:themeFill="accent3" w:themeFillTint="3F"/>
      </w:tcPr>
    </w:tblStylePr>
    <w:tblStylePr w:type="band1Vert">
      <w:tcPr>
        <w:shd w:val="clear" w:color="auto" w:fill="e6eed5" w:themeFill="accent3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9BBB59" w:themeColor="accent3" w:sz="8" w:space="0"/>
        </w:tcBorders>
      </w:tc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</w:style>
  <w:style w:type="table" w:styleId="945">
    <w:name w:val="Medium List 1 Accent 4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band1Horz">
      <w:tcPr>
        <w:shd w:val="clear" w:color="auto" w:fill="dfd8e8" w:themeFill="accent4" w:themeFillTint="3F"/>
      </w:tcPr>
    </w:tblStylePr>
    <w:tblStylePr w:type="band1Vert">
      <w:tcPr>
        <w:shd w:val="clear" w:color="auto" w:fill="dfd8e8" w:themeFill="accent4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8064A2" w:themeColor="accent4" w:sz="8" w:space="0"/>
        </w:tcBorders>
      </w:tc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</w:style>
  <w:style w:type="table" w:styleId="946">
    <w:name w:val="Medium List 1 Accent 5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band1Horz">
      <w:tcPr>
        <w:shd w:val="clear" w:color="auto" w:fill="d2eaf1" w:themeFill="accent5" w:themeFillTint="3F"/>
      </w:tcPr>
    </w:tblStylePr>
    <w:tblStylePr w:type="band1Vert">
      <w:tcPr>
        <w:shd w:val="clear" w:color="auto" w:fill="d2eaf1" w:themeFill="accent5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4BACC6" w:themeColor="accent5" w:sz="8" w:space="0"/>
        </w:tcBorders>
      </w:tc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</w:style>
  <w:style w:type="table" w:styleId="947">
    <w:name w:val="Medium List 1 Accent 6"/>
    <w:basedOn w:val="851"/>
    <w:uiPriority w:val="6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band1Horz">
      <w:tcPr>
        <w:shd w:val="clear" w:color="auto" w:fill="fde4d0" w:themeFill="accent6" w:themeFillTint="3F"/>
      </w:tcPr>
    </w:tblStylePr>
    <w:tblStylePr w:type="band1Vert">
      <w:tcPr>
        <w:shd w:val="clear" w:color="auto" w:fill="fde4d0" w:themeFill="accent6" w:themeFillTint="3F"/>
      </w:tcPr>
    </w:tblStylePr>
    <w:tblStylePr w:type="firstCol">
      <w:rPr>
        <w:b/>
        <w:bCs/>
      </w:rPr>
    </w:tblStylePr>
    <w:tblStylePr w:type="firstRow">
      <w:rPr>
        <w:rFonts w:asciiTheme="majorHAnsi" w:hAnsiTheme="majorHAnsi" w:eastAsiaTheme="majorEastAsia" w:cstheme="majorBidi"/>
      </w:rPr>
      <w:tcPr>
        <w:tcBorders>
          <w:top w:val="none" w:color="000000" w:sz="4" w:space="0"/>
          <w:bottom w:val="single" w:color="F79646" w:themeColor="accent6" w:sz="8" w:space="0"/>
        </w:tcBorders>
      </w:tc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</w:style>
  <w:style w:type="table" w:styleId="948">
    <w:name w:val="Medium List 2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band1Horz">
      <w:tcPr>
        <w:shd w:val="clear" w:color="auto" w:fill="c0c0c0" w:themeFill="tex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c0c0c0" w:themeFill="tex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000000" w:themeColor="text1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000000" w:themeColor="text1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000000" w:themeColor="tex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49">
    <w:name w:val="Medium List 2 Accent 1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band1Horz">
      <w:tcPr>
        <w:shd w:val="clear" w:color="auto" w:fill="d3dfee" w:themeFill="accent1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3dfee" w:themeFill="accent1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F81BD" w:themeColor="accent1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4F81BD" w:themeColor="accent1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4F81BD" w:themeColor="accent1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0">
    <w:name w:val="Medium List 2 Accent 2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band1Horz">
      <w:tcPr>
        <w:shd w:val="clear" w:color="auto" w:fill="efd3d2" w:themeFill="accent2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fd3d2" w:themeFill="accent2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0504D" w:themeColor="accent2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C0504D" w:themeColor="accent2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C0504D" w:themeColor="accent2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1">
    <w:name w:val="Medium List 2 Accent 3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band1Horz">
      <w:tcPr>
        <w:shd w:val="clear" w:color="auto" w:fill="e6eed5" w:themeFill="accent3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e6eed5" w:themeFill="accent3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BB59" w:themeColor="accent3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9BBB59" w:themeColor="accent3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9BBB59" w:themeColor="accent3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2">
    <w:name w:val="Medium List 2 Accent 4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band1Horz">
      <w:tcPr>
        <w:shd w:val="clear" w:color="auto" w:fill="dfd8e8" w:themeFill="accent4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fd8e8" w:themeFill="accent4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064A2" w:themeColor="accent4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8064A2" w:themeColor="accent4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8064A2" w:themeColor="accent4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3">
    <w:name w:val="Medium List 2 Accent 5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band1Horz">
      <w:tcPr>
        <w:shd w:val="clear" w:color="auto" w:fill="d2eaf1" w:themeFill="accent5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d2eaf1" w:themeFill="accent5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BACC6" w:themeColor="accent5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4BACC6" w:themeColor="accent5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4BACC6" w:themeColor="accent5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4">
    <w:name w:val="Medium List 2 Accent 6"/>
    <w:basedOn w:val="851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band1Horz">
      <w:tcPr>
        <w:shd w:val="clear" w:color="auto" w:fill="fde4d0" w:themeFill="accent6" w:themeFillTint="3F"/>
        <w:tcBorders>
          <w:top w:val="none" w:color="000000" w:sz="4" w:space="0"/>
          <w:bottom w:val="none" w:color="000000" w:sz="4" w:space="0"/>
        </w:tcBorders>
      </w:tcPr>
    </w:tblStylePr>
    <w:tblStylePr w:type="band1Vert">
      <w:tcPr>
        <w:shd w:val="clear" w:color="auto" w:fill="fde4d0" w:themeFill="accent6" w:themeFillTint="3F"/>
        <w:tcBorders>
          <w:left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79646" w:themeColor="accent6" w:sz="8" w:space="0"/>
        </w:tcBorders>
      </w:tcPr>
    </w:tblStylePr>
    <w:tblStylePr w:type="firstRow">
      <w:rPr>
        <w:sz w:val="24"/>
        <w:szCs w:val="24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tcPr>
        <w:shd w:val="clear" w:color="auto" w:fill="ffffff" w:themeFill="background1"/>
        <w:tcBorders>
          <w:top w:val="none" w:color="000000" w:sz="4" w:space="0"/>
          <w:left w:val="single" w:color="F79646" w:themeColor="accent6" w:sz="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ffffff" w:themeFill="background1"/>
        <w:tcBorders>
          <w:top w:val="single" w:color="F79646" w:themeColor="accent6" w:sz="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one" w:color="000000" w:sz="4" w:space="0"/>
        </w:tcBorders>
      </w:tcPr>
    </w:tblStylePr>
  </w:style>
  <w:style w:type="table" w:styleId="955">
    <w:name w:val="Medium Grid 1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404040" w:themeColor="text1" w:themeTint="BF" w:sz="18" w:space="0"/>
        </w:tcBorders>
      </w:tcPr>
    </w:tblStylePr>
  </w:style>
  <w:style w:type="table" w:styleId="956">
    <w:name w:val="Medium Grid 1 Accent 1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</w:style>
  <w:style w:type="table" w:styleId="957">
    <w:name w:val="Medium Grid 1 Accent 2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</w:style>
  <w:style w:type="table" w:styleId="958">
    <w:name w:val="Medium Grid 1 Accent 3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B3CC82" w:themeColor="accent3" w:themeTint="BF" w:sz="18" w:space="0"/>
        </w:tcBorders>
      </w:tcPr>
    </w:tblStylePr>
  </w:style>
  <w:style w:type="table" w:styleId="959">
    <w:name w:val="Medium Grid 1 Accent 4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</w:style>
  <w:style w:type="table" w:styleId="960">
    <w:name w:val="Medium Grid 1 Accent 5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</w:style>
  <w:style w:type="table" w:styleId="961">
    <w:name w:val="Medium Grid 1 Accent 6"/>
    <w:basedOn w:val="851"/>
    <w:uiPriority w:val="67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b/>
        <w:bCs/>
      </w:rPr>
    </w:tblStylePr>
    <w:tblStylePr w:type="firstRow">
      <w:rPr>
        <w:b/>
        <w:bCs/>
      </w:rPr>
    </w:tblStylePr>
    <w:tblStylePr w:type="lastCol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</w:style>
  <w:style w:type="table" w:styleId="962">
    <w:name w:val="Medium Grid 2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6e6e6" w:themeFill="text1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cccccc" w:themeFill="tex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3">
    <w:name w:val="Medium Grid 2 Accent 1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df2f8" w:themeFill="accent1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dbe5f1" w:themeFill="accent1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4">
    <w:name w:val="Medium Grid 2 Accent 2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8eded" w:themeFill="accent2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f2dbdb" w:themeFill="accent2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5">
    <w:name w:val="Medium Grid 2 Accent 3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5f8ee" w:themeFill="accent3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eaf1dd" w:themeFill="accent3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6">
    <w:name w:val="Medium Grid 2 Accent 4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2eff6" w:themeFill="accent4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e5dfec" w:themeFill="accent4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7">
    <w:name w:val="Medium Grid 2 Accent 5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edf6f9" w:themeFill="accent5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daeef3" w:themeFill="accent5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8">
    <w:name w:val="Medium Grid 2 Accent 6"/>
    <w:basedOn w:val="851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b/>
        <w:bCs/>
        <w:color w:val="000000" w:themeColor="text1"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  <w:color w:val="000000" w:themeColor="text1"/>
      </w:rPr>
      <w:tcPr>
        <w:shd w:val="clear" w:color="auto" w:fill="fef4ec" w:themeFill="accent6" w:themeFillTint="19"/>
      </w:tcPr>
    </w:tblStylePr>
    <w:tblStylePr w:type="lastCol">
      <w:rPr>
        <w:b w:val="0"/>
        <w:bCs w:val="0"/>
        <w:color w:val="000000" w:themeColor="text1"/>
      </w:rPr>
      <w:tcPr>
        <w:shd w:val="clear" w:color="auto" w:fill="fde9d9" w:themeFill="accent6" w:themeFillTint="33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000000" w:themeColor="text1"/>
      </w:rPr>
      <w:tcPr>
        <w:shd w:val="clear" w:color="auto" w:fill="ffffff" w:themeFill="background1"/>
        <w:tcBorders>
          <w:top w:val="single" w:color="000000" w:themeColor="text1" w:sz="12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tcPr>
        <w:shd w:val="clear" w:color="auto" w:fill="ffffff" w:themeFill="background1"/>
      </w:tcPr>
    </w:tblStylePr>
  </w:style>
  <w:style w:type="table" w:styleId="969">
    <w:name w:val="Medium Grid 3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band1Horz"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808080" w:themeFill="tex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000000" w:themeFill="tex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0">
    <w:name w:val="Medium Grid 3 Accent 1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band1Horz"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a7bfde" w:themeFill="accent1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4f81bd" w:themeFill="accent1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1">
    <w:name w:val="Medium Grid 3 Accent 2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band1Horz"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dfa7a6" w:themeFill="accent2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c0504d" w:themeFill="accent2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2">
    <w:name w:val="Medium Grid 3 Accent 3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band1Horz"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cdddac" w:themeFill="accent3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9bbb59" w:themeFill="accent3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3">
    <w:name w:val="Medium Grid 3 Accent 4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band1Horz"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bfb1d0" w:themeFill="accent4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8064a2" w:themeFill="accent4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4">
    <w:name w:val="Medium Grid 3 Accent 5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band1Horz"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a5d5e2" w:themeFill="accent5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4bacc6" w:themeFill="accent5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5">
    <w:name w:val="Medium Grid 3 Accent 6"/>
    <w:basedOn w:val="851"/>
    <w:uiPriority w:val="69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band1Horz"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band1Vert">
      <w:tcPr>
        <w:shd w:val="clear" w:color="auto" w:fill="fbcaa2" w:themeFill="accent6" w:themeFillTint="7F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  <w:tblStylePr w:type="firstCol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left w:val="single" w:color="FFFFFF" w:themeColor="background1" w:sz="8" w:space="0"/>
          <w:right w:val="single" w:color="FFFFFF" w:themeColor="background1" w:sz="24" w:space="0"/>
        </w:tcBorders>
      </w:tcPr>
    </w:tblStylePr>
    <w:tblStylePr w:type="firstRow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</w:tcBorders>
      </w:tcPr>
    </w:tblStylePr>
    <w:tblStylePr w:type="lastCol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none" w:color="000000" w:sz="4" w:space="0"/>
          <w:left w:val="single" w:color="FFFFFF" w:themeColor="background1" w:sz="2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i w:val="0"/>
        <w:iCs w:val="0"/>
        <w:color w:val="ffffff" w:themeColor="background1"/>
      </w:rPr>
      <w:tcPr>
        <w:shd w:val="clear" w:color="auto" w:fill="f79646" w:themeFill="accent6"/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</w:tcBorders>
      </w:tcPr>
    </w:tblStylePr>
  </w:style>
  <w:style w:type="table" w:styleId="976">
    <w:name w:val="Dark List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band1Horz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000000" w:themeFill="tex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000000" w:themeFill="tex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7">
    <w:name w:val="Dark List Accent 1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band1Horz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365f91" w:themeFill="accen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365f91" w:themeFill="accent1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243f60" w:themeFill="accent1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8">
    <w:name w:val="Dark List Accent 2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band1Horz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943634" w:themeFill="accent2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943634" w:themeFill="accent2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622423" w:themeFill="accent2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79">
    <w:name w:val="Dark List Accent 3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band1Horz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76923c" w:themeFill="accent3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76923c" w:themeFill="accent3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4e6128" w:themeFill="accent3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0">
    <w:name w:val="Dark List Accent 4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band1Horz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5f497a" w:themeFill="accent4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5f497a" w:themeFill="accent4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3f3151" w:themeFill="accent4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1">
    <w:name w:val="Dark List Accent 5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band1Horz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31849b" w:themeFill="accent5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31849b" w:themeFill="accent5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205867" w:themeFill="accent5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>
    <w:name w:val="Dark List Accent 6"/>
    <w:basedOn w:val="851"/>
    <w:uiPriority w:val="7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band1Horz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band1Vert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tcPr>
        <w:shd w:val="clear" w:color="auto" w:fill="e36c0a" w:themeFill="accent6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FFFF" w:themeColor="background1" w:sz="18" w:space="0"/>
        </w:tcBorders>
      </w:tcPr>
    </w:tblStylePr>
    <w:tblStylePr w:type="firstRow">
      <w:rPr>
        <w:b/>
        <w:bCs/>
      </w:rPr>
      <w:tcPr>
        <w:shd w:val="clear" w:color="auto" w:fill="000000" w:themeFill="text1"/>
        <w:tcBorders>
          <w:top w:val="none" w:color="000000" w:sz="4" w:space="0"/>
          <w:left w:val="none" w:color="000000" w:sz="4" w:space="0"/>
          <w:bottom w:val="single" w:color="FFFFFF" w:themeColor="background1" w:sz="18" w:space="0"/>
          <w:right w:val="none" w:color="000000" w:sz="4" w:space="0"/>
        </w:tcBorders>
      </w:tcPr>
    </w:tblStylePr>
    <w:tblStylePr w:type="lastCol">
      <w:tcPr>
        <w:shd w:val="clear" w:color="auto" w:fill="e36c0a" w:themeFill="accent6" w:themeFillShade="BF"/>
        <w:tcBorders>
          <w:top w:val="none" w:color="000000" w:sz="4" w:space="0"/>
          <w:left w:val="single" w:color="FFFFFF" w:themeColor="background1" w:sz="18" w:space="0"/>
          <w:bottom w:val="none" w:color="000000" w:sz="4" w:space="0"/>
          <w:right w:val="none" w:color="000000" w:sz="4" w:space="0"/>
        </w:tcBorders>
      </w:tcPr>
    </w:tblStylePr>
    <w:tblStylePr w:type="lastRow">
      <w:tcPr>
        <w:shd w:val="clear" w:color="auto" w:fill="974706" w:themeFill="accent6" w:themeFillShade="7F"/>
        <w:tcBorders>
          <w:top w:val="single" w:color="FFFFFF" w:themeColor="background1" w:sz="18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>
    <w:name w:val="Colorful Shading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000000" w:themeFill="tex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84">
    <w:name w:val="Colorful Shading Accent 1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2c4c74" w:themeFill="accent1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2c4c74" w:themeFill="accent1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85">
    <w:name w:val="Colorful Shading Accent 2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C0504D" w:themeColor="accent2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772c2a" w:themeFill="accent2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772c2a" w:themeFill="accent2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86">
    <w:name w:val="Colorful Shading Accent 3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8064A2" w:themeColor="accent4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5e7530" w:themeFill="accent3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5e7530" w:themeFill="accent3" w:themeFillShade="99"/>
        <w:tcBorders>
          <w:top w:val="single" w:color="FFFFFF" w:themeColor="background1" w:sz="6" w:space="0"/>
        </w:tcBorders>
      </w:tcPr>
    </w:tblStylePr>
  </w:style>
  <w:style w:type="table" w:styleId="987">
    <w:name w:val="Colorful Shading Accent 4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9BBB59" w:themeColor="accent3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4c3b62" w:themeFill="accent4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4c3b62" w:themeFill="accent4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88">
    <w:name w:val="Colorful Shading Accent 5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F79646" w:themeColor="accent6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276a7c" w:themeFill="accent5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276a7c" w:themeFill="accent5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89">
    <w:name w:val="Colorful Shading Accent 6"/>
    <w:basedOn w:val="851"/>
    <w:uiPriority w:val="71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left w:val="none" w:color="000000" w:sz="4" w:space="0"/>
          <w:bottom w:val="single" w:color="4BACC6" w:themeColor="accent5" w:sz="24" w:space="0"/>
          <w:right w:val="none" w:color="000000" w:sz="4" w:space="0"/>
        </w:tcBorders>
      </w:tcPr>
    </w:tblStylePr>
    <w:tblStylePr w:type="lastCol">
      <w:rPr>
        <w:color w:val="ffffff" w:themeColor="background1"/>
      </w:rPr>
      <w:tcPr>
        <w:shd w:val="clear" w:color="auto" w:fill="b65608" w:themeFill="accent6" w:themeFillShade="99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bCs/>
        <w:color w:val="ffffff" w:themeColor="background1"/>
      </w:rPr>
      <w:tcPr>
        <w:shd w:val="clear" w:color="auto" w:fill="b65608" w:themeFill="accent6" w:themeFillShade="99"/>
        <w:tcBorders>
          <w:top w:val="single" w:color="FFFFFF" w:themeColor="background1" w:sz="6" w:space="0"/>
        </w:tcBorders>
      </w:tcPr>
    </w:tblStylePr>
    <w:tblStylePr w:type="nwCell">
      <w:rPr>
        <w:color w:val="000000" w:themeColor="text1"/>
      </w:rPr>
    </w:tblStylePr>
    <w:tblStylePr w:type="neCell">
      <w:rPr>
        <w:color w:val="000000" w:themeColor="text1"/>
      </w:rPr>
    </w:tblStylePr>
  </w:style>
  <w:style w:type="table" w:styleId="990">
    <w:name w:val="Colorful List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band1Horz">
      <w:tcPr>
        <w:shd w:val="clear" w:color="auto" w:fill="cccccc" w:themeFill="text1" w:themeFillTint="33"/>
      </w:tcPr>
    </w:tblStylePr>
    <w:tblStylePr w:type="band1Vert">
      <w:tcPr>
        <w:shd w:val="clear" w:color="auto" w:fill="c0c0c0" w:themeFill="tex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1">
    <w:name w:val="Colorful List Accent 1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band1Horz">
      <w:tcPr>
        <w:shd w:val="clear" w:color="auto" w:fill="dbe5f1" w:themeFill="accent1" w:themeFillTint="33"/>
      </w:tcPr>
    </w:tblStylePr>
    <w:tblStylePr w:type="band1Vert">
      <w:tcPr>
        <w:shd w:val="clear" w:color="auto" w:fill="d3dfee" w:themeFill="accent1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2">
    <w:name w:val="Colorful List Accent 2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band1Horz">
      <w:tcPr>
        <w:shd w:val="clear" w:color="auto" w:fill="f2dbdb" w:themeFill="accent2" w:themeFillTint="33"/>
      </w:tcPr>
    </w:tblStylePr>
    <w:tblStylePr w:type="band1Vert">
      <w:tcPr>
        <w:shd w:val="clear" w:color="auto" w:fill="efd3d2" w:themeFill="accent2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9e3a38" w:themeFill="accent2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9e3a38" w:themeColor="accent2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3">
    <w:name w:val="Colorful List Accent 3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band1Horz">
      <w:tcPr>
        <w:shd w:val="clear" w:color="auto" w:fill="eaf1dd" w:themeFill="accent3" w:themeFillTint="33"/>
      </w:tcPr>
    </w:tblStylePr>
    <w:tblStylePr w:type="band1Vert">
      <w:tcPr>
        <w:shd w:val="clear" w:color="auto" w:fill="e6eed5" w:themeFill="accent3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664e82" w:themeFill="accent4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664e82" w:themeColor="accent4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4">
    <w:name w:val="Colorful List Accent 4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band1Horz">
      <w:tcPr>
        <w:shd w:val="clear" w:color="auto" w:fill="e5dfec" w:themeFill="accent4" w:themeFillTint="33"/>
      </w:tcPr>
    </w:tblStylePr>
    <w:tblStylePr w:type="band1Vert">
      <w:tcPr>
        <w:shd w:val="clear" w:color="auto" w:fill="dfd8e8" w:themeFill="accent4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7e9c40" w:themeFill="accent3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7e9c40" w:themeColor="accent3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5">
    <w:name w:val="Colorful List Accent 5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band1Horz">
      <w:tcPr>
        <w:shd w:val="clear" w:color="auto" w:fill="daeef3" w:themeFill="accent5" w:themeFillTint="33"/>
      </w:tcPr>
    </w:tblStylePr>
    <w:tblStylePr w:type="band1Vert">
      <w:tcPr>
        <w:shd w:val="clear" w:color="auto" w:fill="d2eaf1" w:themeFill="accent5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f2730a" w:themeFill="accent6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f2730a" w:themeColor="accent6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6">
    <w:name w:val="Colorful List Accent 6"/>
    <w:basedOn w:val="851"/>
    <w:uiPriority w:val="72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band1Horz">
      <w:tcPr>
        <w:shd w:val="clear" w:color="auto" w:fill="fde9d9" w:themeFill="accent6" w:themeFillTint="33"/>
      </w:tcPr>
    </w:tblStylePr>
    <w:tblStylePr w:type="band1Vert">
      <w:tcPr>
        <w:shd w:val="clear" w:color="auto" w:fill="fde4d0" w:themeFill="accent6" w:themeFillTint="3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bCs/>
      </w:rPr>
    </w:tblStylePr>
    <w:tblStylePr w:type="firstRow">
      <w:rPr>
        <w:b/>
        <w:bCs/>
        <w:color w:val="ffffff" w:themeColor="background1"/>
      </w:rPr>
      <w:tcPr>
        <w:shd w:val="clear" w:color="auto" w:fill="348da5" w:themeFill="accent5" w:themeFillShade="CC"/>
        <w:tcBorders>
          <w:bottom w:val="single" w:color="FFFFFF" w:themeColor="background1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  <w:color w:val="348da5" w:themeColor="accent5" w:themeShade="CC"/>
      </w:rPr>
      <w:tcPr>
        <w:shd w:val="clear" w:color="auto" w:fill="ffffff" w:themeFill="background1"/>
        <w:tcBorders>
          <w:top w:val="single" w:color="000000" w:themeColor="text1" w:sz="12" w:space="0"/>
        </w:tcBorders>
      </w:tcPr>
    </w:tblStylePr>
  </w:style>
  <w:style w:type="table" w:styleId="997">
    <w:name w:val="Colorful Grid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band1Horz">
      <w:tcPr>
        <w:shd w:val="clear" w:color="auto" w:fill="808080" w:themeFill="text1" w:themeFillTint="7F"/>
      </w:tcPr>
    </w:tblStylePr>
    <w:tblStylePr w:type="band1Vert">
      <w:tcPr>
        <w:shd w:val="clear" w:color="auto" w:fill="808080" w:themeFill="text1" w:themeFillTint="7F"/>
      </w:tcPr>
    </w:tblStylePr>
    <w:tblStylePr w:type="firstCol">
      <w:rPr>
        <w:color w:val="ffffff" w:themeColor="background1"/>
      </w:rPr>
      <w:tcPr>
        <w:shd w:val="clear" w:color="auto" w:fill="000000" w:themeFill="text1" w:themeFillShade="BF"/>
      </w:tcPr>
    </w:tblStyle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Col">
      <w:rPr>
        <w:color w:val="ffffff" w:themeColor="background1"/>
      </w:rPr>
      <w:tcPr>
        <w:shd w:val="clear" w:color="auto" w:fill="000000" w:themeFill="text1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999999" w:themeFill="text1" w:themeFillTint="66"/>
      </w:tcPr>
    </w:tblStylePr>
  </w:style>
  <w:style w:type="table" w:styleId="998">
    <w:name w:val="Colorful Grid Accent 1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band1Horz">
      <w:tcPr>
        <w:shd w:val="clear" w:color="auto" w:fill="a7bfde" w:themeFill="accent1" w:themeFillTint="7F"/>
      </w:tcPr>
    </w:tblStylePr>
    <w:tblStylePr w:type="band1Vert">
      <w:tcPr>
        <w:shd w:val="clear" w:color="auto" w:fill="a7bfde" w:themeFill="accent1" w:themeFillTint="7F"/>
      </w:tcPr>
    </w:tblStylePr>
    <w:tblStylePr w:type="fir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Col">
      <w:rPr>
        <w:color w:val="ffffff" w:themeColor="background1"/>
      </w:rPr>
      <w:tcPr>
        <w:shd w:val="clear" w:color="auto" w:fill="365f91" w:themeFill="accent1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b8cce4" w:themeFill="accent1" w:themeFillTint="66"/>
      </w:tcPr>
    </w:tblStylePr>
  </w:style>
  <w:style w:type="table" w:styleId="999">
    <w:name w:val="Colorful Grid Accent 2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band1Horz">
      <w:tcPr>
        <w:shd w:val="clear" w:color="auto" w:fill="dfa7a6" w:themeFill="accent2" w:themeFillTint="7F"/>
      </w:tcPr>
    </w:tblStylePr>
    <w:tblStylePr w:type="band1Vert">
      <w:tcPr>
        <w:shd w:val="clear" w:color="auto" w:fill="dfa7a6" w:themeFill="accent2" w:themeFillTint="7F"/>
      </w:tcPr>
    </w:tblStylePr>
    <w:tblStylePr w:type="fir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Col">
      <w:rPr>
        <w:color w:val="ffffff" w:themeColor="background1"/>
      </w:rPr>
      <w:tcPr>
        <w:shd w:val="clear" w:color="auto" w:fill="943634" w:themeFill="accent2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e5b8b7" w:themeFill="accent2" w:themeFillTint="66"/>
      </w:tcPr>
    </w:tblStylePr>
  </w:style>
  <w:style w:type="table" w:styleId="1000">
    <w:name w:val="Colorful Grid Accent 3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band1Horz">
      <w:tcPr>
        <w:shd w:val="clear" w:color="auto" w:fill="cdddac" w:themeFill="accent3" w:themeFillTint="7F"/>
      </w:tcPr>
    </w:tblStylePr>
    <w:tblStylePr w:type="band1Vert">
      <w:tcPr>
        <w:shd w:val="clear" w:color="auto" w:fill="cdddac" w:themeFill="accent3" w:themeFillTint="7F"/>
      </w:tcPr>
    </w:tblStylePr>
    <w:tblStylePr w:type="fir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Col">
      <w:rPr>
        <w:color w:val="ffffff" w:themeColor="background1"/>
      </w:rPr>
      <w:tcPr>
        <w:shd w:val="clear" w:color="auto" w:fill="76923c" w:themeFill="accent3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d6e3bc" w:themeFill="accent3" w:themeFillTint="66"/>
      </w:tcPr>
    </w:tblStylePr>
  </w:style>
  <w:style w:type="table" w:styleId="1001">
    <w:name w:val="Colorful Grid Accent 4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band1Horz">
      <w:tcPr>
        <w:shd w:val="clear" w:color="auto" w:fill="bfb1d0" w:themeFill="accent4" w:themeFillTint="7F"/>
      </w:tcPr>
    </w:tblStylePr>
    <w:tblStylePr w:type="band1Vert">
      <w:tcPr>
        <w:shd w:val="clear" w:color="auto" w:fill="bfb1d0" w:themeFill="accent4" w:themeFillTint="7F"/>
      </w:tcPr>
    </w:tblStylePr>
    <w:tblStylePr w:type="fir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Col">
      <w:rPr>
        <w:color w:val="ffffff" w:themeColor="background1"/>
      </w:rPr>
      <w:tcPr>
        <w:shd w:val="clear" w:color="auto" w:fill="5f497a" w:themeFill="accent4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ccc0d9" w:themeFill="accent4" w:themeFillTint="66"/>
      </w:tcPr>
    </w:tblStylePr>
  </w:style>
  <w:style w:type="table" w:styleId="1002">
    <w:name w:val="Colorful Grid Accent 5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band1Horz">
      <w:tcPr>
        <w:shd w:val="clear" w:color="auto" w:fill="a5d5e2" w:themeFill="accent5" w:themeFillTint="7F"/>
      </w:tcPr>
    </w:tblStylePr>
    <w:tblStylePr w:type="band1Vert">
      <w:tcPr>
        <w:shd w:val="clear" w:color="auto" w:fill="a5d5e2" w:themeFill="accent5" w:themeFillTint="7F"/>
      </w:tcPr>
    </w:tblStylePr>
    <w:tblStylePr w:type="fir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Col">
      <w:rPr>
        <w:color w:val="ffffff" w:themeColor="background1"/>
      </w:rPr>
      <w:tcPr>
        <w:shd w:val="clear" w:color="auto" w:fill="31849b" w:themeFill="accent5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b6dde8" w:themeFill="accent5" w:themeFillTint="66"/>
      </w:tcPr>
    </w:tblStylePr>
  </w:style>
  <w:style w:type="table" w:styleId="1003">
    <w:name w:val="Colorful Grid Accent 6"/>
    <w:basedOn w:val="851"/>
    <w:uiPriority w:val="7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band1Horz">
      <w:tcPr>
        <w:shd w:val="clear" w:color="auto" w:fill="fbcaa2" w:themeFill="accent6" w:themeFillTint="7F"/>
      </w:tcPr>
    </w:tblStylePr>
    <w:tblStylePr w:type="band1Vert">
      <w:tcPr>
        <w:shd w:val="clear" w:color="auto" w:fill="fbcaa2" w:themeFill="accent6" w:themeFillTint="7F"/>
      </w:tcPr>
    </w:tblStylePr>
    <w:tblStylePr w:type="fir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Col">
      <w:rPr>
        <w:color w:val="ffffff" w:themeColor="background1"/>
      </w:rPr>
      <w:tcPr>
        <w:shd w:val="clear" w:color="auto" w:fill="e36c0a" w:themeFill="accent6" w:themeFillShade="BF"/>
      </w:tcPr>
    </w:tblStylePr>
    <w:tblStylePr w:type="lastRow">
      <w:rPr>
        <w:b/>
        <w:bCs/>
        <w:color w:val="000000" w:themeColor="text1"/>
      </w:rPr>
      <w:tcPr>
        <w:shd w:val="clear" w:color="auto" w:fill="fbd4b4" w:themeFill="accent6" w:themeFillTint="66"/>
      </w:tcPr>
    </w:tblStylePr>
  </w:style>
  <w:style w:type="paragraph" w:styleId="1004" w:customStyle="1">
    <w:name w:val="Без интервала1"/>
    <w:pPr>
      <w:spacing w:after="0" w:line="240" w:lineRule="auto"/>
    </w:pPr>
    <w:rPr>
      <w:rFonts w:ascii="Calibri" w:hAnsi="Calibri" w:eastAsia="Calibri" w:cs="Calibri"/>
      <w:lang w:val="ru-RU"/>
    </w:rPr>
  </w:style>
  <w:style w:type="paragraph" w:styleId="1005" w:customStyle="1">
    <w:name w:val="Стиль1"/>
    <w:basedOn w:val="840"/>
    <w:link w:val="1006"/>
    <w:qFormat/>
    <w:pPr>
      <w:ind w:firstLine="540"/>
      <w:jc w:val="both"/>
      <w:widowControl w:val="off"/>
    </w:pPr>
    <w:rPr>
      <w:rFonts w:eastAsia="Times New Roman" w:cs="Times New Roman"/>
      <w:szCs w:val="24"/>
      <w:lang w:val="ru-RU" w:eastAsia="ru-RU"/>
    </w:rPr>
  </w:style>
  <w:style w:type="character" w:styleId="1006" w:customStyle="1">
    <w:name w:val="Стиль1 Знак"/>
    <w:basedOn w:val="850"/>
    <w:link w:val="1005"/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1007">
    <w:name w:val="annotation reference"/>
    <w:basedOn w:val="850"/>
    <w:uiPriority w:val="99"/>
    <w:semiHidden/>
    <w:unhideWhenUsed/>
    <w:rPr>
      <w:sz w:val="16"/>
      <w:szCs w:val="16"/>
    </w:rPr>
  </w:style>
  <w:style w:type="paragraph" w:styleId="1008">
    <w:name w:val="annotation text"/>
    <w:basedOn w:val="840"/>
    <w:link w:val="1009"/>
    <w:uiPriority w:val="99"/>
    <w:semiHidden/>
    <w:unhideWhenUsed/>
    <w:rPr>
      <w:sz w:val="20"/>
      <w:szCs w:val="20"/>
    </w:rPr>
  </w:style>
  <w:style w:type="character" w:styleId="1009" w:customStyle="1">
    <w:name w:val="Текст примечания Знак"/>
    <w:basedOn w:val="850"/>
    <w:link w:val="1008"/>
    <w:uiPriority w:val="99"/>
    <w:semiHidden/>
    <w:rPr>
      <w:rFonts w:ascii="Times New Roman" w:hAnsi="Times New Roman"/>
      <w:sz w:val="20"/>
      <w:szCs w:val="20"/>
    </w:rPr>
  </w:style>
  <w:style w:type="paragraph" w:styleId="1010">
    <w:name w:val="annotation subject"/>
    <w:basedOn w:val="1008"/>
    <w:next w:val="1008"/>
    <w:link w:val="1011"/>
    <w:uiPriority w:val="99"/>
    <w:semiHidden/>
    <w:unhideWhenUsed/>
    <w:rPr>
      <w:b/>
      <w:bCs/>
    </w:rPr>
  </w:style>
  <w:style w:type="character" w:styleId="1011" w:customStyle="1">
    <w:name w:val="Тема примечания Знак"/>
    <w:basedOn w:val="1009"/>
    <w:link w:val="1010"/>
    <w:uiPriority w:val="99"/>
    <w:semiHidden/>
    <w:rPr>
      <w:rFonts w:ascii="Times New Roman" w:hAnsi="Times New Roman"/>
      <w:b/>
      <w:bCs/>
      <w:sz w:val="20"/>
      <w:szCs w:val="20"/>
    </w:rPr>
  </w:style>
  <w:style w:type="paragraph" w:styleId="1012">
    <w:name w:val="Balloon Text"/>
    <w:basedOn w:val="840"/>
    <w:link w:val="1013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1013" w:customStyle="1">
    <w:name w:val="Текст выноски Знак"/>
    <w:basedOn w:val="850"/>
    <w:link w:val="1012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8A9B17-1774-46C4-A007-7B77BFABB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Base/>
  <HyperlinksChanged>false</HyperlinksChanged>
  <LinksUpToDate>false</LinksUpToDate>
  <Manager/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revision>8</cp:revision>
  <dcterms:created xsi:type="dcterms:W3CDTF">2026-09-21T15:49:00Z</dcterms:created>
  <dcterms:modified xsi:type="dcterms:W3CDTF">2026-09-25T12:38:56Z</dcterms:modified>
  <cp:category/>
</cp:coreProperties>
</file>