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4C" w:rsidRDefault="007D489A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75574C" w:rsidRDefault="007557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</w:p>
    <w:p w:rsidR="0075574C" w:rsidRDefault="007D4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74C" w:rsidRDefault="007D4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№ 1708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74C" w:rsidRDefault="007D4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75574C" w:rsidRDefault="007D4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«Культура» на 2025 - 2027 годы</w:t>
      </w:r>
    </w:p>
    <w:p w:rsidR="0075574C" w:rsidRPr="00FC45D2" w:rsidRDefault="00FC45D2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AC6E4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й</w:t>
      </w:r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1782</w:t>
      </w:r>
      <w:r w:rsidR="00730DE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AC6E4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2</w:t>
      </w:r>
      <w:r w:rsidR="002E001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4</w:t>
      </w:r>
      <w:r w:rsidR="00AC6E4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.01.2025 № 102</w:t>
      </w:r>
      <w:r w:rsidR="00CA5C47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730DE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30.05.2025 № 949</w:t>
      </w:r>
      <w:r w:rsidR="00CA5C47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29.08.2025 № </w:t>
      </w:r>
      <w:r w:rsidR="00586083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1402</w:t>
      </w:r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75574C" w:rsidRDefault="00755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5574C" w:rsidRDefault="007D489A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16.08.2021 № 838,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целях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творческого и культурного развития личности, участия населения в культурной жизни и развития дополнительного образования в сфере культуры и искусства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 муниципальном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округе</w:t>
      </w:r>
    </w:p>
    <w:p w:rsidR="0075574C" w:rsidRDefault="0075574C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 w:rsidP="009248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Утвердить муниципальную программу Печенгского муниципального округа «Культура» на 2025-2027 годы (далее – программа) согласно приложению.</w:t>
      </w:r>
    </w:p>
    <w:p w:rsidR="0075574C" w:rsidRDefault="007D489A" w:rsidP="009248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01 января 2025 года.</w:t>
      </w:r>
    </w:p>
    <w:p w:rsidR="0075574C" w:rsidRDefault="007D489A" w:rsidP="00924890">
      <w:pPr>
        <w:pStyle w:val="aff1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right="-5" w:firstLine="709"/>
        <w:jc w:val="both"/>
        <w:rPr>
          <w:sz w:val="24"/>
          <w:szCs w:val="18"/>
        </w:rPr>
      </w:pPr>
      <w:r>
        <w:rPr>
          <w:rFonts w:eastAsia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75574C" w:rsidRDefault="007D489A" w:rsidP="00924890">
      <w:pPr>
        <w:pStyle w:val="aff1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right="-5" w:firstLine="709"/>
        <w:jc w:val="both"/>
        <w:rPr>
          <w:sz w:val="24"/>
          <w:szCs w:val="18"/>
        </w:rPr>
      </w:pPr>
      <w:r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А.В. Кузнецов</w:t>
      </w:r>
    </w:p>
    <w:p w:rsidR="0075574C" w:rsidRDefault="007557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574C" w:rsidRDefault="007557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D489A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Большакова О.В.,52725</w:t>
      </w:r>
    </w:p>
    <w:p w:rsidR="00730DEA" w:rsidRDefault="00730DEA" w:rsidP="00730DEA">
      <w:pPr>
        <w:tabs>
          <w:tab w:val="left" w:pos="558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558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558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30DEA" w:rsidRDefault="00730DEA" w:rsidP="00730DEA">
      <w:pPr>
        <w:tabs>
          <w:tab w:val="left" w:pos="72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Печенгского муниципального округа</w:t>
      </w:r>
    </w:p>
    <w:p w:rsidR="002211CA" w:rsidRDefault="00730DEA" w:rsidP="002211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1708</w:t>
      </w:r>
    </w:p>
    <w:p w:rsidR="00730DEA" w:rsidRDefault="00730DEA" w:rsidP="00730DE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730DEA" w:rsidRDefault="00730DEA" w:rsidP="00730DE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730DEA" w:rsidRDefault="00730DEA" w:rsidP="00730DE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«Культура» на 2025-2027 годы</w:t>
      </w: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 Печенгского муниципального округа</w:t>
      </w: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«Культура» на 2025-2027 годы</w:t>
      </w:r>
    </w:p>
    <w:p w:rsidR="00730DEA" w:rsidRPr="00CA5C47" w:rsidRDefault="00CA5C47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CA5C47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редакции постановления от 30.05.2025 № 949 и от 29.08.2025 № </w:t>
      </w:r>
      <w:r w:rsidR="00586083">
        <w:rPr>
          <w:rFonts w:ascii="Times New Roman" w:hAnsi="Times New Roman" w:cs="Times New Roman"/>
          <w:bCs/>
          <w:color w:val="0070C0"/>
          <w:sz w:val="20"/>
          <w:szCs w:val="20"/>
        </w:rPr>
        <w:t>1402</w:t>
      </w:r>
      <w:r w:rsidRPr="00CA5C47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CA5C47" w:rsidRDefault="00CA5C47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1"/>
        <w:gridCol w:w="7616"/>
      </w:tblGrid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730DEA" w:rsidTr="00730DEA">
        <w:trPr>
          <w:trHeight w:val="256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 w:rsidP="00924890">
            <w:pPr>
              <w:pStyle w:val="aff1"/>
              <w:numPr>
                <w:ilvl w:val="0"/>
                <w:numId w:val="2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730DEA" w:rsidRDefault="00730DEA" w:rsidP="00924890">
            <w:pPr>
              <w:pStyle w:val="aff1"/>
              <w:numPr>
                <w:ilvl w:val="0"/>
                <w:numId w:val="2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730DEA" w:rsidRDefault="00730DEA" w:rsidP="00924890">
            <w:pPr>
              <w:pStyle w:val="aff1"/>
              <w:numPr>
                <w:ilvl w:val="0"/>
                <w:numId w:val="2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развитие и формирование культурных традиций, создание единого социокультурного пространства.</w:t>
            </w:r>
          </w:p>
        </w:tc>
      </w:tr>
      <w:tr w:rsidR="00730DEA" w:rsidTr="00730DEA">
        <w:trPr>
          <w:trHeight w:val="2755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муниципального задания учреждениями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клубных формирований.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культурно-массовых мероприятий, организованных учреждениями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Число посетителей (зрителей) культурно-массовых мероприятий.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книговыдач в библиотеках.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Число посетителей музея.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предметов основного музейного фонда.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развития и укрепления материально-технической базы учреждений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Проведение текущих ремонтов в учреждениях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Проведение капитального ремонта здания ДК «Восход».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Количество учреждений культуры, победителей конкурса получателей государственной поддержки.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Выполнение муниципального задания учреждениями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Доля детей, осваивающих дополнительные общеразвивающие программы.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Доля детей, осваивающих дополнительные предпрофессиональные программы.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Обеспечение развития и укрепления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Проведение текущих ремонтов в учреждениях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Число участников творческих конкурсов, фестивалей, выставок.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Количество мероприятий для лиц с ограниченными возможностями здоровья.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Количество благоустроенных памятников культурного наследия.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Количество созданных модельных муниципальных библиотек.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2025 - 2027 годы</w:t>
            </w:r>
          </w:p>
        </w:tc>
      </w:tr>
      <w:tr w:rsidR="00730DEA" w:rsidTr="00730DEA">
        <w:trPr>
          <w:trHeight w:val="70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730DEA" w:rsidTr="00730DEA">
        <w:trPr>
          <w:trHeight w:val="542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="00CA5C47">
              <w:rPr>
                <w:rFonts w:ascii="Times New Roman" w:hAnsi="Times New Roman" w:cs="Times New Roman"/>
                <w:b/>
                <w:sz w:val="24"/>
                <w:szCs w:val="24"/>
              </w:rPr>
              <w:t>44 369,8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14964,9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14964,9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274191,3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91397,1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91397,1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91397,1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54</w:t>
            </w:r>
            <w:r w:rsidR="00CA5C47">
              <w:rPr>
                <w:rFonts w:ascii="Times New Roman" w:hAnsi="Times New Roman" w:cs="Times New Roman"/>
                <w:sz w:val="24"/>
                <w:szCs w:val="24"/>
              </w:rPr>
              <w:t>0780,7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</w:t>
            </w:r>
            <w:r w:rsidR="00CA5C47">
              <w:rPr>
                <w:rFonts w:ascii="Times New Roman" w:hAnsi="Times New Roman" w:cs="Times New Roman"/>
                <w:sz w:val="24"/>
                <w:szCs w:val="24"/>
              </w:rPr>
              <w:t xml:space="preserve">85997,5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198453,5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156329,7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144</w:t>
            </w:r>
            <w:r w:rsidR="00CA5C4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48</w:t>
            </w:r>
            <w:r w:rsidR="00CA5C4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4800,0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4800,0 тыс. рублей.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 642,0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214,0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214,0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214,0 тыс. рублей.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посещающего учреждения культуры всех типов.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обучающихся в учреждениях дополнительного образования в сфере культуры и искусства</w:t>
            </w:r>
          </w:p>
        </w:tc>
      </w:tr>
      <w:tr w:rsidR="00730DEA" w:rsidTr="00730DEA">
        <w:trPr>
          <w:trHeight w:val="274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Печенгского муниципального округа 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«Историко - краеведческий музей Печенгского муниципального округа» (далее – Музей).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«Печенгское межпоселенческое библиотечное объединение» (далее – МБО).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«Восход» Печенгского муниципального округа (далее – ДК «Восход»).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«Октябрь» Печенгского муниципального округа (далее – ДК «Октябрь»).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обеспечению деятельности администрации Печенгского муниципального округа» (Отдел работы с населением МКУ «Управление по ОДА» (далее – ОРН)).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школа» (далее - ДМШ).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школа» (далее - ДХШ).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"Центр культуры Печенгского муниципального округа» (далее – МБУК «ЦКПМО»).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0DEA" w:rsidRDefault="00730DEA" w:rsidP="00730DEA">
      <w:pPr>
        <w:pStyle w:val="14"/>
        <w:widowControl w:val="0"/>
        <w:tabs>
          <w:tab w:val="left" w:pos="426"/>
        </w:tabs>
        <w:ind w:left="0" w:firstLine="709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730DEA" w:rsidRDefault="00730DEA" w:rsidP="00924890">
      <w:pPr>
        <w:pStyle w:val="14"/>
        <w:widowControl w:val="0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center"/>
        <w:rPr>
          <w:b/>
          <w:bCs/>
        </w:rPr>
      </w:pPr>
      <w:r>
        <w:rPr>
          <w:b/>
          <w:bCs/>
        </w:rPr>
        <w:t xml:space="preserve"> Характеристика проблемы, на решение которой направлена программа</w:t>
      </w:r>
    </w:p>
    <w:p w:rsidR="00730DEA" w:rsidRDefault="00730DEA" w:rsidP="00730DEA">
      <w:pPr>
        <w:pStyle w:val="14"/>
        <w:widowControl w:val="0"/>
        <w:ind w:left="0" w:firstLine="709"/>
        <w:jc w:val="center"/>
        <w:rPr>
          <w:b/>
          <w:bCs/>
        </w:rPr>
      </w:pP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Одними из приоритетных направлений социально-экономического развития Печенгского муниципального округа являются стабильное развитие сферы культуры, сохранение культурных и нравственных ценностей. Данная программа разработана в целях комплексного решения данных проблем.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учреждений культуры и дополнительного образования в сфере культуры и искусства является одной из важнейших составляющих современной культурной жизни. Библиотеки, музей, клубы, музыкальные и художественные школы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Печенгского муниципального округа.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Печенгском муниципальном округе успешно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осуществлялась реализация ряда муниципальных программ, направленных на развитие и модернизацию учреждений культуры, 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искусства. 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01.01.2025 структура учреждений культуры Печенгского муниципального округа представлена 10 муниципальными учреждениями: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образования детей – 5, из них - 3 ДМШ и 2 ДХШ;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 - 1, в состав, которой входят 2 библиотеки и 8 филиалов библиотек, расположенных по всей территории Печенгского муниципального округа;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 – 1;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 культурно-досугового типа - 3 (ДК, КДЦ).</w:t>
      </w:r>
    </w:p>
    <w:p w:rsidR="00730DEA" w:rsidRDefault="00730DEA" w:rsidP="00730DEA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Музей является своеобразной визитной карточкой муниципального образования, обладает огромным образовательно-воспитательным потенциалом, так как он сохраняет и экспонирует подлинные исторические документы о Печенгском муниципальном округе.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округа.  </w:t>
      </w:r>
    </w:p>
    <w:p w:rsidR="00730DEA" w:rsidRDefault="00730DEA" w:rsidP="00730DEA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Библиотеки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территории округа,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730DEA" w:rsidRDefault="00730DEA" w:rsidP="00730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дальнейшего развития библиотечного и музейного дела в округе необходимо и дальше улучшать качество обслуживания населения за счет внедрения современных компьютерных технологий, повышения уровня информационной культуры жителей округа, совершенствования и формирования в соответствии с современными требованиями материально-технической базы учреждений.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Печенгском муниципальном округе сфера культуры и искусства в большей степени удовлетворяет культурные потребности населения и находится на достаточно высоком уровне. В то же время существует ряд проблем, решение которых необходимо для дальнейшего развития всех </w:t>
      </w:r>
      <w:r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программы является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задач:</w:t>
      </w:r>
    </w:p>
    <w:p w:rsidR="00730DEA" w:rsidRDefault="00730DEA" w:rsidP="0092489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по организации досуга, развития народного творчества и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730DEA" w:rsidRDefault="00730DEA" w:rsidP="0092489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и качества услуг дополнительного образования в сфере культуры и искусства.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730DEA" w:rsidRDefault="00730DEA" w:rsidP="0092489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Сохранение, развитие и формирование культурных традиций Печенгского муниципального округа, создание единого социокультурного пространства.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обеспечено:</w:t>
      </w:r>
    </w:p>
    <w:p w:rsidR="00730DEA" w:rsidRDefault="00730DEA" w:rsidP="00730D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населения, посещающего учреждения культуры всех типов;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успешная реализация программы позволит сохранить культурное и историческое наследие,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Печенгского муниципального округа.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924890">
      <w:pPr>
        <w:pStyle w:val="14"/>
        <w:widowControl w:val="0"/>
        <w:numPr>
          <w:ilvl w:val="0"/>
          <w:numId w:val="3"/>
        </w:numPr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</w:rPr>
        <w:t>Основные цели и задачи программы с указанием сроков и этапов ее реализации,   а также перечень основных мероприятий и показателей</w:t>
      </w:r>
    </w:p>
    <w:p w:rsidR="00730DEA" w:rsidRDefault="00730DEA" w:rsidP="00730DEA">
      <w:pPr>
        <w:pStyle w:val="14"/>
        <w:widowControl w:val="0"/>
        <w:tabs>
          <w:tab w:val="left" w:pos="709"/>
        </w:tabs>
        <w:jc w:val="both"/>
        <w:outlineLvl w:val="1"/>
        <w:rPr>
          <w:bCs/>
        </w:rPr>
      </w:pP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both"/>
        <w:outlineLvl w:val="1"/>
        <w:rPr>
          <w:bCs/>
        </w:rPr>
      </w:pPr>
      <w:r>
        <w:rPr>
          <w:bCs/>
        </w:rPr>
        <w:tab/>
        <w:t>Целью данной программы является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center"/>
        <w:outlineLvl w:val="1"/>
        <w:rPr>
          <w:bCs/>
          <w:u w:val="single"/>
        </w:rPr>
      </w:pP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center"/>
        <w:outlineLvl w:val="1"/>
        <w:rPr>
          <w:bCs/>
          <w:u w:val="single"/>
        </w:rPr>
      </w:pPr>
      <w:r>
        <w:rPr>
          <w:bCs/>
          <w:u w:val="single"/>
        </w:rPr>
        <w:t>Основные показатели эффективности реализации программы</w:t>
      </w: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center"/>
        <w:outlineLvl w:val="1"/>
        <w:rPr>
          <w:bCs/>
          <w:u w:val="single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37"/>
        <w:gridCol w:w="708"/>
        <w:gridCol w:w="9"/>
        <w:gridCol w:w="853"/>
        <w:gridCol w:w="849"/>
        <w:gridCol w:w="859"/>
        <w:gridCol w:w="853"/>
        <w:gridCol w:w="851"/>
        <w:gridCol w:w="1417"/>
      </w:tblGrid>
      <w:tr w:rsidR="00730DEA" w:rsidTr="00730DEA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730DEA" w:rsidTr="00730DEA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DEA" w:rsidTr="00730DEA">
        <w:trPr>
          <w:gridAfter w:val="1"/>
          <w:wAfter w:w="1417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730DEA" w:rsidTr="00730DE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730DEA" w:rsidTr="00730DE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730DEA" w:rsidTr="00730DE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задач муниципальной программы</w:t>
            </w:r>
          </w:p>
        </w:tc>
      </w:tr>
      <w:tr w:rsidR="00730DEA" w:rsidTr="00730DEA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730DEA" w:rsidTr="00730DEA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«Платформа», МБУК «ЦКПМО» 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 (зрителей) 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Отчёты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ДК «Восход»,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КДЦ «Платформа», МБУК «ЦКПМО» 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 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459229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500000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6-НК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Музея, стат.форма    8-НК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Музея, стат.форма    8-НК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  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исполнителей программы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исполнителей программы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 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ДК «Восход»,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культуры, победителей конкурса получателей государственной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 МБО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модельных муниципальных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МБО</w:t>
            </w:r>
          </w:p>
        </w:tc>
      </w:tr>
      <w:tr w:rsidR="00730DEA" w:rsidTr="00730DEA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дополнительного образования в сфере культуры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9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9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предпрофессиональные 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дополнительного образования в сфере культуры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участников творческих конкурсов, фестивалей, выставок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 отдела КСиМП</w:t>
            </w:r>
          </w:p>
        </w:tc>
      </w:tr>
    </w:tbl>
    <w:p w:rsidR="00730DEA" w:rsidRDefault="00730DEA" w:rsidP="00730DEA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730DEA" w:rsidRDefault="00730DEA" w:rsidP="00730DEA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730DEA" w:rsidRDefault="00730DEA" w:rsidP="00924890">
      <w:pPr>
        <w:pStyle w:val="aff1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Перечень и краткое описание подпрограмм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программы входят три подпрограммы: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учреждений культуры» (приложение № 1):</w:t>
      </w:r>
    </w:p>
    <w:p w:rsidR="00730DEA" w:rsidRDefault="00730DEA" w:rsidP="00730D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подпрограммы является -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культуры;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развитию творческого потенциала и организации досуга населения. 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№ 2 «Развитие системы дополнительного образования в сфере культуры и искусства» (приложение № 2):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730DEA" w:rsidRDefault="00730DEA" w:rsidP="00924890">
      <w:pPr>
        <w:widowControl w:val="0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искусства.</w:t>
      </w:r>
    </w:p>
    <w:p w:rsidR="00730DEA" w:rsidRDefault="00730DEA" w:rsidP="00924890">
      <w:pPr>
        <w:widowControl w:val="0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предоставления услуг учреждениями дополнительного образования в сфере культуры и искусства;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3 «Развитие культуры» (приложение № 3):</w:t>
      </w:r>
    </w:p>
    <w:p w:rsidR="00730DEA" w:rsidRDefault="00730DEA" w:rsidP="00730DEA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730DEA" w:rsidRDefault="00730DEA" w:rsidP="00730DE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730DEA" w:rsidRDefault="00730DEA" w:rsidP="00730D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Важными показателями эффективности реализации подпрограммы станут увеличение количества жителей Печенгского муниципального округа, участвующих в культурно - досуговых мероприятиях, повышение качества проводимых массовых мероприятий, организация полезного досуга населения, увеличение количества благоустроенных памятников истории культуры.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реализации программы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культуры, спорта и молодежной политики администрации Печенгского муниципального округа – ответственный исполнитель программы: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730DEA" w:rsidRDefault="00730DEA" w:rsidP="00730DE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осуществляет подготовку предложений по корректировке программы.</w:t>
      </w:r>
    </w:p>
    <w:p w:rsidR="00730DEA" w:rsidRDefault="00730DEA" w:rsidP="00730DEA">
      <w:pPr>
        <w:pStyle w:val="14"/>
        <w:widowControl w:val="0"/>
        <w:ind w:left="0" w:firstLine="709"/>
        <w:jc w:val="right"/>
        <w:outlineLvl w:val="1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730DEA" w:rsidRDefault="00730DEA" w:rsidP="00730DEA">
      <w:pPr>
        <w:pStyle w:val="aff1"/>
        <w:widowControl w:val="0"/>
        <w:tabs>
          <w:tab w:val="left" w:pos="993"/>
        </w:tabs>
        <w:ind w:left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730DEA" w:rsidRDefault="00730DEA" w:rsidP="00730DEA">
      <w:pPr>
        <w:pStyle w:val="aff1"/>
        <w:widowControl w:val="0"/>
        <w:ind w:left="0" w:firstLine="709"/>
        <w:outlineLvl w:val="1"/>
        <w:rPr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показателей) при условии соблюдения обоснованного объема расходов. 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30DEA" w:rsidRDefault="00730DEA" w:rsidP="00730DEA">
      <w:pPr>
        <w:pStyle w:val="aff1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730DEA" w:rsidRDefault="00730DEA" w:rsidP="00730D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30DEA" w:rsidRDefault="00730DEA" w:rsidP="00730DE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730DEA" w:rsidRDefault="005068CF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редакции постановления от 29.08.2025 № </w:t>
      </w:r>
      <w:r w:rsidR="00586083">
        <w:rPr>
          <w:rFonts w:ascii="Times New Roman" w:hAnsi="Times New Roman" w:cs="Times New Roman"/>
          <w:bCs/>
          <w:color w:val="0070C0"/>
          <w:sz w:val="20"/>
          <w:szCs w:val="20"/>
        </w:rPr>
        <w:t>1402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5068CF" w:rsidRDefault="005068CF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9"/>
        <w:gridCol w:w="7265"/>
      </w:tblGrid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Печенгского муниципального округа «Культура» на 2025-2027 годы</w:t>
            </w:r>
          </w:p>
        </w:tc>
      </w:tr>
      <w:tr w:rsidR="00730DEA" w:rsidTr="00730DEA">
        <w:trPr>
          <w:trHeight w:val="25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30DEA" w:rsidTr="00730DEA">
        <w:trPr>
          <w:trHeight w:val="25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муниципального задания учреждениями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культурно-массовых мероприятий, организованных учреждениями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Число посетителей (зрителей) культурно-массовых мероприятий.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книговыдач в библиотеках.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Число посетителей музея.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предметов основного музейного фонда.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Проведение текущих ремонтов в учреждениях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Проведение капитального ремонта здания ДК «Восход».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Количество учреждений культуры, победителей конкурса получателей государственной поддержки.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Количество созданных модельных муниципальных библиотек.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2025 - 2027 годы</w:t>
            </w:r>
          </w:p>
        </w:tc>
      </w:tr>
      <w:tr w:rsidR="00730DEA" w:rsidTr="00730DEA">
        <w:trPr>
          <w:trHeight w:val="542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 w:rsidR="005068CF">
              <w:rPr>
                <w:rFonts w:ascii="Times New Roman" w:hAnsi="Times New Roman" w:cs="Times New Roman"/>
                <w:b/>
                <w:sz w:val="24"/>
                <w:szCs w:val="24"/>
              </w:rPr>
              <w:t>516 223,9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14964,9 тыс. рублей, из них: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14964,9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190735,2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63578,4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63578,4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63578,4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68CF">
              <w:rPr>
                <w:rFonts w:ascii="Times New Roman" w:hAnsi="Times New Roman" w:cs="Times New Roman"/>
              </w:rPr>
              <w:t>296090,9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10</w:t>
            </w:r>
            <w:r w:rsidR="005068CF">
              <w:rPr>
                <w:rFonts w:ascii="Times New Roman" w:hAnsi="Times New Roman" w:cs="Times New Roman"/>
                <w:sz w:val="24"/>
                <w:szCs w:val="24"/>
              </w:rPr>
              <w:t>0704,7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109135,5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86250,7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144</w:t>
            </w:r>
            <w:r w:rsidR="005068CF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48</w:t>
            </w:r>
            <w:r w:rsidR="005068CF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4800,0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4800,0 тыс. рублей.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количества клубных формирований.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книговыдач в библиотеках.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предметов музейного фонда.</w:t>
            </w:r>
          </w:p>
        </w:tc>
      </w:tr>
      <w:tr w:rsidR="00730DEA" w:rsidTr="00730DEA">
        <w:trPr>
          <w:trHeight w:val="274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КСиМП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Музей, МБО, ДК «Восход», ДК «Октябрь», КДЦ «Платформа»,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МБУК «ЦКПМО»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0DEA">
          <w:pgSz w:w="11905" w:h="16838"/>
          <w:pgMar w:top="1134" w:right="567" w:bottom="1134" w:left="1701" w:header="720" w:footer="720" w:gutter="0"/>
          <w:cols w:space="720"/>
        </w:sect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  <w:r w:rsidR="00DB15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30DEA" w:rsidRDefault="00DB15A1" w:rsidP="00730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(в редакции постановления от 29.08.2025 № </w:t>
      </w:r>
      <w:r w:rsidR="0058608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1402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730DEA" w:rsidRDefault="00730DEA" w:rsidP="00730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905"/>
        <w:gridCol w:w="1372"/>
        <w:gridCol w:w="1855"/>
        <w:gridCol w:w="1082"/>
        <w:gridCol w:w="1161"/>
        <w:gridCol w:w="1158"/>
        <w:gridCol w:w="1180"/>
        <w:gridCol w:w="1698"/>
      </w:tblGrid>
      <w:tr w:rsidR="00730DEA" w:rsidTr="00730DEA">
        <w:trPr>
          <w:trHeight w:val="78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30DEA" w:rsidTr="00730D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30DEA" w:rsidTr="00730DEA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культуры</w:t>
            </w:r>
          </w:p>
        </w:tc>
      </w:tr>
      <w:tr w:rsidR="00730DEA" w:rsidTr="00730DEA">
        <w:trPr>
          <w:trHeight w:val="18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в сфере культуры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ДК «Октябрь»;  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DC56F0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249016,8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82070,2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75030,9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DC56F0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263416,8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86870,2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96715,7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79830,9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ДК «Октябрь»;  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190735,2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33659,4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224394,6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ДК «Октябрь»;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182743,8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32249,1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214992,9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 ДК «Восход»;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7991,4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9401,7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2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Итого по основному мероприятию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190735,2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DC56F0">
        <w:trPr>
          <w:trHeight w:val="2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282676,2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93290,0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103135,5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86250,7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DC56F0">
        <w:trPr>
          <w:trHeight w:val="2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487811,4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161668,4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171513,9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154629,1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культуры</w:t>
            </w:r>
          </w:p>
        </w:tc>
      </w:tr>
      <w:tr w:rsidR="00730DEA" w:rsidTr="00730DEA">
        <w:trPr>
          <w:trHeight w:val="18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ДК «Октябрь»; 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13209,1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7209,1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DC56F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DC56F0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13242,0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7242,0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6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ДК «Восход»;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1.2.3.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1.2.4.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модельной библиотеки в пгт. Никель на базе МБКПУ «Печенгское МБО»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14820,0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13414,7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7414,7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DC56F0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DC56F0">
        <w:trPr>
          <w:trHeight w:val="2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28412,5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22412,5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190735,2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DC56F0">
        <w:trPr>
          <w:trHeight w:val="2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296090,9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100704,7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109135,5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86250,7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DC56F0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14432,9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4832,9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DC56F0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516223,9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DC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184080,9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177513,9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154629,1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30DEA" w:rsidRDefault="00730DEA" w:rsidP="0073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30DEA" w:rsidRDefault="00730DEA" w:rsidP="00730D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5B0" w:rsidRDefault="005345B0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730DEA" w:rsidTr="00730DEA">
        <w:trPr>
          <w:trHeight w:val="7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30DEA" w:rsidTr="00730DEA">
        <w:trPr>
          <w:trHeight w:val="281"/>
        </w:trPr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730DEA" w:rsidTr="00730DEA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30DEA" w:rsidTr="00730DEA">
        <w:trPr>
          <w:trHeight w:val="31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культуры</w:t>
            </w:r>
          </w:p>
        </w:tc>
      </w:tr>
      <w:tr w:rsidR="00730DEA" w:rsidTr="00730DEA">
        <w:trPr>
          <w:trHeight w:val="10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в сфере культуры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муниципального задания учреждениями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ДК «Восход»;      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 организованных учреждениями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(зрителей) культурно-массовых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удовлетворенности населения округа качеством предоставления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не менее 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730DEA" w:rsidTr="00730DEA">
        <w:trPr>
          <w:trHeight w:val="230"/>
        </w:trPr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 основного музейного фонда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ДК «Восход»;      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культуры</w:t>
            </w:r>
          </w:p>
        </w:tc>
      </w:tr>
      <w:tr w:rsidR="00730DEA" w:rsidTr="00730D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ДК «Восход»;       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 современным требованиям, в ДК «Восход»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учреждений культуры, победителей конкурса получателей государственной поддержки.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модельной библиотеки в пгт. Никель на базе МБКПУ «Печенгское МБО»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модельных муниципальных библиотек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</w:tbl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sectPr w:rsidR="00730DEA">
          <w:pgSz w:w="16838" w:h="11905" w:orient="landscape"/>
          <w:pgMar w:top="993" w:right="851" w:bottom="709" w:left="1701" w:header="720" w:footer="720" w:gutter="0"/>
          <w:cols w:space="720"/>
        </w:sectPr>
      </w:pP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30DEA" w:rsidRDefault="00730DEA" w:rsidP="00730DEA">
      <w:pPr>
        <w:pStyle w:val="aff1"/>
        <w:widowControl w:val="0"/>
        <w:ind w:left="1080"/>
        <w:jc w:val="center"/>
        <w:rPr>
          <w:color w:val="000000" w:themeColor="text1"/>
          <w:sz w:val="24"/>
          <w:szCs w:val="24"/>
        </w:rPr>
      </w:pPr>
    </w:p>
    <w:p w:rsidR="00730DEA" w:rsidRDefault="00730DEA" w:rsidP="00730DEA">
      <w:pPr>
        <w:pStyle w:val="aff1"/>
        <w:widowControl w:val="0"/>
        <w:ind w:left="1080"/>
        <w:jc w:val="center"/>
        <w:rPr>
          <w:color w:val="000000" w:themeColor="text1"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730DEA" w:rsidRDefault="00730DEA" w:rsidP="00730DEA">
      <w:pPr>
        <w:pStyle w:val="14"/>
        <w:widowControl w:val="0"/>
        <w:tabs>
          <w:tab w:val="left" w:pos="284"/>
        </w:tabs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730DEA" w:rsidRDefault="00730DEA" w:rsidP="00730DEA">
      <w:pPr>
        <w:pStyle w:val="14"/>
        <w:widowControl w:val="0"/>
        <w:tabs>
          <w:tab w:val="left" w:pos="284"/>
        </w:tabs>
        <w:ind w:left="0"/>
        <w:jc w:val="center"/>
        <w:rPr>
          <w:b/>
        </w:rPr>
      </w:pPr>
      <w:r>
        <w:rPr>
          <w:b/>
        </w:rPr>
        <w:t>Паспорт подпрограммы</w:t>
      </w:r>
    </w:p>
    <w:p w:rsidR="00730DEA" w:rsidRDefault="004675EB" w:rsidP="00730DEA">
      <w:pPr>
        <w:pStyle w:val="14"/>
        <w:widowControl w:val="0"/>
        <w:tabs>
          <w:tab w:val="left" w:pos="284"/>
        </w:tabs>
        <w:ind w:left="0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(в редакции постановления от 29.08.2025 № </w:t>
      </w:r>
      <w:r w:rsidR="00586083">
        <w:rPr>
          <w:color w:val="0070C0"/>
          <w:sz w:val="20"/>
          <w:szCs w:val="20"/>
        </w:rPr>
        <w:t>1402</w:t>
      </w:r>
      <w:r>
        <w:rPr>
          <w:color w:val="0070C0"/>
          <w:sz w:val="20"/>
          <w:szCs w:val="20"/>
        </w:rPr>
        <w:t>)</w:t>
      </w:r>
    </w:p>
    <w:p w:rsidR="004675EB" w:rsidRDefault="004675EB" w:rsidP="00730DEA">
      <w:pPr>
        <w:pStyle w:val="14"/>
        <w:widowControl w:val="0"/>
        <w:tabs>
          <w:tab w:val="left" w:pos="284"/>
        </w:tabs>
        <w:ind w:left="0"/>
        <w:jc w:val="center"/>
        <w:rPr>
          <w:color w:val="0070C0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Печенгского муниципального округа «Культура» на 2025-2027 годы</w:t>
            </w:r>
          </w:p>
        </w:tc>
      </w:tr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Обеспечение предоставления услуг учреждениями дополнительного образования в сфере культуры и искусства.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муниципального задания учреждениями дополнительного образования в сфере культуры и искусства.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 и искусства.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творческих конкурсов, фестивалей, выставок.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EA" w:rsidTr="00730DEA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="004675EB">
              <w:rPr>
                <w:rFonts w:ascii="Times New Roman" w:hAnsi="Times New Roman" w:cs="Times New Roman"/>
                <w:b/>
                <w:sz w:val="24"/>
                <w:szCs w:val="24"/>
              </w:rPr>
              <w:t> 145,9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83456,1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27818,7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27818,7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27818,7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 w:cs="Times New Roman"/>
                <w:sz w:val="24"/>
              </w:rPr>
              <w:t xml:space="preserve"> 228</w:t>
            </w:r>
            <w:r w:rsidR="004675EB">
              <w:rPr>
                <w:rFonts w:ascii="Times New Roman" w:hAnsi="Times New Roman" w:cs="Times New Roman"/>
                <w:sz w:val="24"/>
              </w:rPr>
              <w:t>689,8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75</w:t>
            </w:r>
            <w:r w:rsidR="004675EB"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год: 84318,0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69079,0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Полнота выполнения муниципального задания.</w:t>
            </w:r>
          </w:p>
          <w:p w:rsidR="00730DEA" w:rsidRDefault="00730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Сохранение количества детей, обучающихся в учреждениях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уровня.</w:t>
            </w:r>
          </w:p>
        </w:tc>
      </w:tr>
      <w:tr w:rsidR="00730DEA" w:rsidTr="00730DEA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Cs w:val="20"/>
              </w:rPr>
              <w:t>отдел КСиМП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3, МБДОУ «ДМШ» (далее - ДМШ), ДХШ № 1, ДХШ № 2, МБУДО «ДХШ» (далее – ДХШ)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0DEA" w:rsidRDefault="00730DEA" w:rsidP="00730DEA">
      <w:pPr>
        <w:pStyle w:val="14"/>
        <w:tabs>
          <w:tab w:val="left" w:pos="317"/>
        </w:tabs>
        <w:ind w:left="1080"/>
        <w:rPr>
          <w:rFonts w:ascii="Calibri" w:hAnsi="Calibri" w:cs="Calibri"/>
          <w:spacing w:val="1"/>
          <w:sz w:val="18"/>
          <w:szCs w:val="18"/>
          <w:lang w:eastAsia="en-US"/>
        </w:rPr>
      </w:pPr>
    </w:p>
    <w:p w:rsidR="00730DEA" w:rsidRDefault="00730DEA" w:rsidP="00730DEA">
      <w:pPr>
        <w:pStyle w:val="14"/>
        <w:tabs>
          <w:tab w:val="left" w:pos="317"/>
        </w:tabs>
        <w:ind w:left="1080"/>
        <w:rPr>
          <w:spacing w:val="1"/>
          <w:sz w:val="18"/>
          <w:szCs w:val="18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0DEA">
          <w:pgSz w:w="11905" w:h="16838"/>
          <w:pgMar w:top="851" w:right="1134" w:bottom="1276" w:left="1276" w:header="720" w:footer="720" w:gutter="0"/>
          <w:cols w:space="720"/>
        </w:sect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30DEA" w:rsidRDefault="004675EB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(в редакции постановления от 29.08.2025 № </w:t>
      </w:r>
      <w:r w:rsidR="00586083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1402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4675EB" w:rsidRDefault="004675EB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050"/>
        <w:gridCol w:w="1363"/>
        <w:gridCol w:w="9"/>
        <w:gridCol w:w="1855"/>
        <w:gridCol w:w="1127"/>
        <w:gridCol w:w="1176"/>
        <w:gridCol w:w="1179"/>
        <w:gridCol w:w="1207"/>
        <w:gridCol w:w="1698"/>
      </w:tblGrid>
      <w:tr w:rsidR="00730DEA" w:rsidTr="00730DEA">
        <w:trPr>
          <w:trHeight w:val="78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30DEA" w:rsidTr="00730D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 «Развитие системы дополнительного образования в сфере культуры и искусства»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730DEA" w:rsidTr="00730DEA">
        <w:trPr>
          <w:trHeight w:val="2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дополнительного образования в сфере культуры и  искусства</w:t>
            </w:r>
          </w:p>
        </w:tc>
      </w:tr>
      <w:tr w:rsidR="00730DEA" w:rsidTr="00730DEA">
        <w:trPr>
          <w:trHeight w:val="18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4675EB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46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208831,2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46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69878,6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75095,8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63856,8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4675E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46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208831,2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46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69878,6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75095,8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63856,8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83456,1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14727,6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98183,7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54876,9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9684,3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64561,2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2.1.2.2.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7362,3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2.1.2.3.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26260,2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24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83456,1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A409BB">
        <w:trPr>
          <w:trHeight w:val="24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223558,8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74787,8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80005,0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68766,0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A409BB">
        <w:trPr>
          <w:trHeight w:val="25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307041,9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102606,5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107823,7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96584,7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730DEA" w:rsidTr="00730DEA">
        <w:trPr>
          <w:trHeight w:val="18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дополнительного образования в сфере культуры и искусства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29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730DEA" w:rsidTr="00730DEA">
        <w:trPr>
          <w:trHeight w:val="18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5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83456,1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 w:rsidP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228</w:t>
            </w:r>
            <w:r w:rsidR="00A409BB">
              <w:rPr>
                <w:rFonts w:ascii="Times New Roman" w:eastAsia="Times New Roman" w:hAnsi="Times New Roman" w:cs="Times New Roman"/>
                <w:b/>
                <w:lang w:eastAsia="ru-RU"/>
              </w:rPr>
              <w:t>689,8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 w:rsidP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="00A409BB">
              <w:rPr>
                <w:rFonts w:ascii="Times New Roman" w:eastAsia="Times New Roman" w:hAnsi="Times New Roman" w:cs="Times New Roman"/>
                <w:b/>
                <w:lang w:eastAsia="ru-RU"/>
              </w:rPr>
              <w:t>292,8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84318,0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69079,0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 w:rsidP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312</w:t>
            </w:r>
            <w:r w:rsidR="00A409BB">
              <w:rPr>
                <w:rFonts w:ascii="Times New Roman" w:eastAsia="Times New Roman" w:hAnsi="Times New Roman" w:cs="Times New Roman"/>
                <w:b/>
                <w:lang w:eastAsia="ru-RU"/>
              </w:rPr>
              <w:t>145,9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 w:rsidP="00A4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A409BB">
              <w:rPr>
                <w:rFonts w:ascii="Times New Roman" w:eastAsia="Times New Roman" w:hAnsi="Times New Roman" w:cs="Times New Roman"/>
                <w:b/>
                <w:lang w:eastAsia="ru-RU"/>
              </w:rPr>
              <w:t>3111,5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112136,7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96897,7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92652" w:rsidRDefault="00792652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30DEA" w:rsidRDefault="00730DEA" w:rsidP="00730D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730DEA" w:rsidTr="00730DEA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30DEA" w:rsidTr="00730DEA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 «Развитие системы дополнительного образования в сфере культуры и искусства»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319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дополнительного образования в сфере культуры и  искусства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муниципального задания учреждениями дополнительного образования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Основное мероприятие 2. Создание условий для развития учреждений дополнительного образования в сфере культуры и искусства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Число участников творческих конкурсов, фестивалей, выставок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0DEA">
          <w:pgSz w:w="16838" w:h="11905" w:orient="landscape"/>
          <w:pgMar w:top="992" w:right="851" w:bottom="992" w:left="567" w:header="720" w:footer="720" w:gutter="0"/>
          <w:cols w:space="720"/>
        </w:sectPr>
      </w:pP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730DEA" w:rsidTr="00730DE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Печенгского муниципального округа «Культура» на 2025-2027 годы</w:t>
            </w:r>
          </w:p>
        </w:tc>
      </w:tr>
      <w:tr w:rsidR="00730DEA" w:rsidTr="00730DE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730DEA" w:rsidTr="00730DE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730DEA" w:rsidTr="00730DE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 w:rsidP="00924890">
            <w:pPr>
              <w:pStyle w:val="aff1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730DEA" w:rsidRDefault="00730DEA" w:rsidP="00924890">
            <w:pPr>
              <w:pStyle w:val="aff1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730DEA" w:rsidRDefault="00730DEA" w:rsidP="00924890">
            <w:pPr>
              <w:pStyle w:val="aff1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памятников культурного наследия.</w:t>
            </w:r>
          </w:p>
        </w:tc>
      </w:tr>
      <w:tr w:rsidR="00730DEA" w:rsidTr="00730DE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EA" w:rsidTr="00730DE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16000,0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10000,0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5000,0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1000,0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730DEA" w:rsidTr="00730DE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проведенных культурно-досуговых мероприятий для жителей округа.</w:t>
            </w:r>
          </w:p>
          <w:p w:rsidR="00730DEA" w:rsidRDefault="00730DE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посетителей концертов, спектаклей, представлений, фестивалей и других культурно-досуговых мероприятий.</w:t>
            </w:r>
          </w:p>
          <w:p w:rsidR="00730DEA" w:rsidRDefault="00730DE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количества благоустроенных памятников культурного наследия.</w:t>
            </w:r>
          </w:p>
        </w:tc>
      </w:tr>
      <w:tr w:rsidR="00730DEA" w:rsidTr="00730DE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Cs w:val="20"/>
              </w:rPr>
              <w:t>отдел КСиМП</w:t>
            </w:r>
          </w:p>
        </w:tc>
      </w:tr>
      <w:tr w:rsidR="00730DEA" w:rsidTr="00730DE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ДК «Восход», ДК «Октябрь», КДЦ «Платформа», Музей, ОРН, </w:t>
            </w:r>
            <w:r>
              <w:rPr>
                <w:rFonts w:ascii="Times New Roman" w:hAnsi="Times New Roman"/>
                <w:szCs w:val="18"/>
              </w:rPr>
              <w:t>МБУК «ЦКПМО»</w:t>
            </w:r>
          </w:p>
        </w:tc>
      </w:tr>
      <w:tr w:rsidR="00730DEA" w:rsidTr="00730DE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0DEA" w:rsidRDefault="00730DEA" w:rsidP="00730DE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0DEA">
          <w:pgSz w:w="11905" w:h="16838"/>
          <w:pgMar w:top="1134" w:right="850" w:bottom="1134" w:left="1701" w:header="720" w:footer="720" w:gutter="0"/>
          <w:cols w:space="720"/>
        </w:sect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30DEA" w:rsidRDefault="00730DEA" w:rsidP="00730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23"/>
        <w:gridCol w:w="1372"/>
        <w:gridCol w:w="1855"/>
        <w:gridCol w:w="1167"/>
        <w:gridCol w:w="1158"/>
        <w:gridCol w:w="1158"/>
        <w:gridCol w:w="1189"/>
        <w:gridCol w:w="1829"/>
      </w:tblGrid>
      <w:tr w:rsidR="00730DEA" w:rsidTr="00730DEA">
        <w:trPr>
          <w:trHeight w:val="78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30DEA" w:rsidTr="00730D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730DEA" w:rsidTr="00730DEA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730DEA" w:rsidTr="00730DEA">
        <w:trPr>
          <w:trHeight w:val="18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КСиМП,                ДК «Восход»,                    ДК «Октябрь»,          КДЦ «Платформа», Музей,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15160,0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15160,0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«Восход»,                    ДК «Октябрь»,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МБУК «ЦКПМО»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2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730DEA" w:rsidTr="00730DEA">
        <w:trPr>
          <w:trHeight w:val="183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КСиМП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730DEA" w:rsidTr="00730DEA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30DEA" w:rsidTr="00730DEA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730DEA" w:rsidTr="00730DEA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730DEA" w:rsidTr="00730DEA">
        <w:trPr>
          <w:trHeight w:val="319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культурно-массовых, праздничных  мероприятий, 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КСиМП,                ДК «Восход»,                    ДК «Октябрь»,          КДЦ «Платформа», Музей,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Не менее   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730DEA" w:rsidTr="00730DEA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благоустроенных памятников культурного наследия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КСиМП».</w:t>
            </w:r>
          </w:p>
        </w:tc>
      </w:tr>
    </w:tbl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730DEA">
          <w:pgSz w:w="16838" w:h="11905" w:orient="landscape"/>
          <w:pgMar w:top="993" w:right="709" w:bottom="1134" w:left="567" w:header="720" w:footer="720" w:gutter="0"/>
          <w:cols w:space="720"/>
        </w:sectPr>
      </w:pPr>
    </w:p>
    <w:p w:rsidR="0075574C" w:rsidRDefault="0075574C" w:rsidP="00730D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574C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B7" w:rsidRDefault="00305BB7">
      <w:pPr>
        <w:spacing w:after="0" w:line="240" w:lineRule="auto"/>
      </w:pPr>
      <w:r>
        <w:separator/>
      </w:r>
    </w:p>
  </w:endnote>
  <w:endnote w:type="continuationSeparator" w:id="0">
    <w:p w:rsidR="00305BB7" w:rsidRDefault="0030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A1" w:rsidRDefault="00DB15A1">
    <w:pPr>
      <w:pStyle w:val="af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B7" w:rsidRDefault="00305BB7">
      <w:pPr>
        <w:spacing w:after="0" w:line="240" w:lineRule="auto"/>
      </w:pPr>
      <w:r>
        <w:separator/>
      </w:r>
    </w:p>
  </w:footnote>
  <w:footnote w:type="continuationSeparator" w:id="0">
    <w:p w:rsidR="00305BB7" w:rsidRDefault="0030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58B"/>
    <w:multiLevelType w:val="hybridMultilevel"/>
    <w:tmpl w:val="99B2ADA8"/>
    <w:lvl w:ilvl="0" w:tplc="A23EBD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72CEBFC8">
      <w:start w:val="1"/>
      <w:numFmt w:val="lowerLetter"/>
      <w:lvlText w:val="%2."/>
      <w:lvlJc w:val="left"/>
      <w:pPr>
        <w:ind w:left="1440" w:hanging="360"/>
      </w:pPr>
    </w:lvl>
    <w:lvl w:ilvl="2" w:tplc="115AF18C">
      <w:start w:val="1"/>
      <w:numFmt w:val="lowerRoman"/>
      <w:lvlText w:val="%3."/>
      <w:lvlJc w:val="right"/>
      <w:pPr>
        <w:ind w:left="2160" w:hanging="180"/>
      </w:pPr>
    </w:lvl>
    <w:lvl w:ilvl="3" w:tplc="14E26740">
      <w:start w:val="1"/>
      <w:numFmt w:val="decimal"/>
      <w:lvlText w:val="%4."/>
      <w:lvlJc w:val="left"/>
      <w:pPr>
        <w:ind w:left="2880" w:hanging="360"/>
      </w:pPr>
    </w:lvl>
    <w:lvl w:ilvl="4" w:tplc="5CDE3556">
      <w:start w:val="1"/>
      <w:numFmt w:val="lowerLetter"/>
      <w:lvlText w:val="%5."/>
      <w:lvlJc w:val="left"/>
      <w:pPr>
        <w:ind w:left="3600" w:hanging="360"/>
      </w:pPr>
    </w:lvl>
    <w:lvl w:ilvl="5" w:tplc="8D94E3B2">
      <w:start w:val="1"/>
      <w:numFmt w:val="lowerRoman"/>
      <w:lvlText w:val="%6."/>
      <w:lvlJc w:val="right"/>
      <w:pPr>
        <w:ind w:left="4320" w:hanging="180"/>
      </w:pPr>
    </w:lvl>
    <w:lvl w:ilvl="6" w:tplc="E52A2D5E">
      <w:start w:val="1"/>
      <w:numFmt w:val="decimal"/>
      <w:lvlText w:val="%7."/>
      <w:lvlJc w:val="left"/>
      <w:pPr>
        <w:ind w:left="5040" w:hanging="360"/>
      </w:pPr>
    </w:lvl>
    <w:lvl w:ilvl="7" w:tplc="CE6EF2BA">
      <w:start w:val="1"/>
      <w:numFmt w:val="lowerLetter"/>
      <w:lvlText w:val="%8."/>
      <w:lvlJc w:val="left"/>
      <w:pPr>
        <w:ind w:left="5760" w:hanging="360"/>
      </w:pPr>
    </w:lvl>
    <w:lvl w:ilvl="8" w:tplc="7222EA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C2E"/>
    <w:multiLevelType w:val="hybridMultilevel"/>
    <w:tmpl w:val="E5823348"/>
    <w:lvl w:ilvl="0" w:tplc="AC14E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7CB6A8">
      <w:start w:val="1"/>
      <w:numFmt w:val="lowerLetter"/>
      <w:lvlText w:val="%2."/>
      <w:lvlJc w:val="left"/>
      <w:pPr>
        <w:ind w:left="1440" w:hanging="360"/>
      </w:pPr>
    </w:lvl>
    <w:lvl w:ilvl="2" w:tplc="E97009BA">
      <w:start w:val="1"/>
      <w:numFmt w:val="lowerRoman"/>
      <w:lvlText w:val="%3."/>
      <w:lvlJc w:val="right"/>
      <w:pPr>
        <w:ind w:left="2160" w:hanging="180"/>
      </w:pPr>
    </w:lvl>
    <w:lvl w:ilvl="3" w:tplc="8556DCC8">
      <w:start w:val="1"/>
      <w:numFmt w:val="decimal"/>
      <w:lvlText w:val="%4."/>
      <w:lvlJc w:val="left"/>
      <w:pPr>
        <w:ind w:left="2880" w:hanging="360"/>
      </w:pPr>
    </w:lvl>
    <w:lvl w:ilvl="4" w:tplc="5E1E1BAE">
      <w:start w:val="1"/>
      <w:numFmt w:val="lowerLetter"/>
      <w:lvlText w:val="%5."/>
      <w:lvlJc w:val="left"/>
      <w:pPr>
        <w:ind w:left="3600" w:hanging="360"/>
      </w:pPr>
    </w:lvl>
    <w:lvl w:ilvl="5" w:tplc="5B8CA662">
      <w:start w:val="1"/>
      <w:numFmt w:val="lowerRoman"/>
      <w:lvlText w:val="%6."/>
      <w:lvlJc w:val="right"/>
      <w:pPr>
        <w:ind w:left="4320" w:hanging="180"/>
      </w:pPr>
    </w:lvl>
    <w:lvl w:ilvl="6" w:tplc="6EA07214">
      <w:start w:val="1"/>
      <w:numFmt w:val="decimal"/>
      <w:lvlText w:val="%7."/>
      <w:lvlJc w:val="left"/>
      <w:pPr>
        <w:ind w:left="5040" w:hanging="360"/>
      </w:pPr>
    </w:lvl>
    <w:lvl w:ilvl="7" w:tplc="CB76FEAA">
      <w:start w:val="1"/>
      <w:numFmt w:val="lowerLetter"/>
      <w:lvlText w:val="%8."/>
      <w:lvlJc w:val="left"/>
      <w:pPr>
        <w:ind w:left="5760" w:hanging="360"/>
      </w:pPr>
    </w:lvl>
    <w:lvl w:ilvl="8" w:tplc="89EA68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3CA7"/>
    <w:multiLevelType w:val="hybridMultilevel"/>
    <w:tmpl w:val="326E2CDA"/>
    <w:lvl w:ilvl="0" w:tplc="1D8E1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41442">
      <w:start w:val="1"/>
      <w:numFmt w:val="lowerLetter"/>
      <w:lvlText w:val="%2."/>
      <w:lvlJc w:val="left"/>
      <w:pPr>
        <w:ind w:left="1440" w:hanging="360"/>
      </w:pPr>
    </w:lvl>
    <w:lvl w:ilvl="2" w:tplc="96000C4C">
      <w:start w:val="1"/>
      <w:numFmt w:val="lowerRoman"/>
      <w:lvlText w:val="%3."/>
      <w:lvlJc w:val="right"/>
      <w:pPr>
        <w:ind w:left="2160" w:hanging="180"/>
      </w:pPr>
    </w:lvl>
    <w:lvl w:ilvl="3" w:tplc="0564201E">
      <w:start w:val="1"/>
      <w:numFmt w:val="decimal"/>
      <w:lvlText w:val="%4."/>
      <w:lvlJc w:val="left"/>
      <w:pPr>
        <w:ind w:left="2880" w:hanging="360"/>
      </w:pPr>
    </w:lvl>
    <w:lvl w:ilvl="4" w:tplc="99A6EBBE">
      <w:start w:val="1"/>
      <w:numFmt w:val="lowerLetter"/>
      <w:lvlText w:val="%5."/>
      <w:lvlJc w:val="left"/>
      <w:pPr>
        <w:ind w:left="3600" w:hanging="360"/>
      </w:pPr>
    </w:lvl>
    <w:lvl w:ilvl="5" w:tplc="8F5AFCD0">
      <w:start w:val="1"/>
      <w:numFmt w:val="lowerRoman"/>
      <w:lvlText w:val="%6."/>
      <w:lvlJc w:val="right"/>
      <w:pPr>
        <w:ind w:left="4320" w:hanging="180"/>
      </w:pPr>
    </w:lvl>
    <w:lvl w:ilvl="6" w:tplc="67D277AC">
      <w:start w:val="1"/>
      <w:numFmt w:val="decimal"/>
      <w:lvlText w:val="%7."/>
      <w:lvlJc w:val="left"/>
      <w:pPr>
        <w:ind w:left="5040" w:hanging="360"/>
      </w:pPr>
    </w:lvl>
    <w:lvl w:ilvl="7" w:tplc="80D4AD44">
      <w:start w:val="1"/>
      <w:numFmt w:val="lowerLetter"/>
      <w:lvlText w:val="%8."/>
      <w:lvlJc w:val="left"/>
      <w:pPr>
        <w:ind w:left="5760" w:hanging="360"/>
      </w:pPr>
    </w:lvl>
    <w:lvl w:ilvl="8" w:tplc="852083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095"/>
    <w:multiLevelType w:val="hybridMultilevel"/>
    <w:tmpl w:val="855ED1D6"/>
    <w:lvl w:ilvl="0" w:tplc="A1060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114A852">
      <w:start w:val="1"/>
      <w:numFmt w:val="lowerLetter"/>
      <w:lvlText w:val="%2."/>
      <w:lvlJc w:val="left"/>
      <w:pPr>
        <w:ind w:left="1789" w:hanging="360"/>
      </w:pPr>
    </w:lvl>
    <w:lvl w:ilvl="2" w:tplc="C45A35BE">
      <w:start w:val="1"/>
      <w:numFmt w:val="lowerRoman"/>
      <w:lvlText w:val="%3."/>
      <w:lvlJc w:val="right"/>
      <w:pPr>
        <w:ind w:left="2509" w:hanging="180"/>
      </w:pPr>
    </w:lvl>
    <w:lvl w:ilvl="3" w:tplc="1544489A">
      <w:start w:val="1"/>
      <w:numFmt w:val="decimal"/>
      <w:lvlText w:val="%4."/>
      <w:lvlJc w:val="left"/>
      <w:pPr>
        <w:ind w:left="3229" w:hanging="360"/>
      </w:pPr>
    </w:lvl>
    <w:lvl w:ilvl="4" w:tplc="A3CA0600">
      <w:start w:val="1"/>
      <w:numFmt w:val="lowerLetter"/>
      <w:lvlText w:val="%5."/>
      <w:lvlJc w:val="left"/>
      <w:pPr>
        <w:ind w:left="3949" w:hanging="360"/>
      </w:pPr>
    </w:lvl>
    <w:lvl w:ilvl="5" w:tplc="ACBE6B78">
      <w:start w:val="1"/>
      <w:numFmt w:val="lowerRoman"/>
      <w:lvlText w:val="%6."/>
      <w:lvlJc w:val="right"/>
      <w:pPr>
        <w:ind w:left="4669" w:hanging="180"/>
      </w:pPr>
    </w:lvl>
    <w:lvl w:ilvl="6" w:tplc="6F823F96">
      <w:start w:val="1"/>
      <w:numFmt w:val="decimal"/>
      <w:lvlText w:val="%7."/>
      <w:lvlJc w:val="left"/>
      <w:pPr>
        <w:ind w:left="5389" w:hanging="360"/>
      </w:pPr>
    </w:lvl>
    <w:lvl w:ilvl="7" w:tplc="AE7E8434">
      <w:start w:val="1"/>
      <w:numFmt w:val="lowerLetter"/>
      <w:lvlText w:val="%8."/>
      <w:lvlJc w:val="left"/>
      <w:pPr>
        <w:ind w:left="6109" w:hanging="360"/>
      </w:pPr>
    </w:lvl>
    <w:lvl w:ilvl="8" w:tplc="57DC115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E68F6"/>
    <w:multiLevelType w:val="hybridMultilevel"/>
    <w:tmpl w:val="01F0D4BE"/>
    <w:lvl w:ilvl="0" w:tplc="2F0C3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641C22">
      <w:start w:val="1"/>
      <w:numFmt w:val="lowerLetter"/>
      <w:lvlText w:val="%2."/>
      <w:lvlJc w:val="left"/>
      <w:pPr>
        <w:ind w:left="1440" w:hanging="360"/>
      </w:pPr>
    </w:lvl>
    <w:lvl w:ilvl="2" w:tplc="9C922B06">
      <w:start w:val="1"/>
      <w:numFmt w:val="lowerRoman"/>
      <w:lvlText w:val="%3."/>
      <w:lvlJc w:val="right"/>
      <w:pPr>
        <w:ind w:left="2160" w:hanging="180"/>
      </w:pPr>
    </w:lvl>
    <w:lvl w:ilvl="3" w:tplc="CCE03C42">
      <w:start w:val="1"/>
      <w:numFmt w:val="decimal"/>
      <w:lvlText w:val="%4."/>
      <w:lvlJc w:val="left"/>
      <w:pPr>
        <w:ind w:left="2880" w:hanging="360"/>
      </w:pPr>
    </w:lvl>
    <w:lvl w:ilvl="4" w:tplc="2364FE5A">
      <w:start w:val="1"/>
      <w:numFmt w:val="lowerLetter"/>
      <w:lvlText w:val="%5."/>
      <w:lvlJc w:val="left"/>
      <w:pPr>
        <w:ind w:left="3600" w:hanging="360"/>
      </w:pPr>
    </w:lvl>
    <w:lvl w:ilvl="5" w:tplc="64A6B4E8">
      <w:start w:val="1"/>
      <w:numFmt w:val="lowerRoman"/>
      <w:lvlText w:val="%6."/>
      <w:lvlJc w:val="right"/>
      <w:pPr>
        <w:ind w:left="4320" w:hanging="180"/>
      </w:pPr>
    </w:lvl>
    <w:lvl w:ilvl="6" w:tplc="BA3875C0">
      <w:start w:val="1"/>
      <w:numFmt w:val="decimal"/>
      <w:lvlText w:val="%7."/>
      <w:lvlJc w:val="left"/>
      <w:pPr>
        <w:ind w:left="5040" w:hanging="360"/>
      </w:pPr>
    </w:lvl>
    <w:lvl w:ilvl="7" w:tplc="CAA0E68C">
      <w:start w:val="1"/>
      <w:numFmt w:val="lowerLetter"/>
      <w:lvlText w:val="%8."/>
      <w:lvlJc w:val="left"/>
      <w:pPr>
        <w:ind w:left="5760" w:hanging="360"/>
      </w:pPr>
    </w:lvl>
    <w:lvl w:ilvl="8" w:tplc="23469F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3D0"/>
    <w:multiLevelType w:val="hybridMultilevel"/>
    <w:tmpl w:val="9934E120"/>
    <w:lvl w:ilvl="0" w:tplc="266EBA3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2814DC32">
      <w:start w:val="1"/>
      <w:numFmt w:val="lowerLetter"/>
      <w:lvlText w:val="%2."/>
      <w:lvlJc w:val="left"/>
      <w:pPr>
        <w:ind w:left="1112" w:hanging="360"/>
      </w:pPr>
    </w:lvl>
    <w:lvl w:ilvl="2" w:tplc="09CE6A22">
      <w:start w:val="1"/>
      <w:numFmt w:val="lowerRoman"/>
      <w:lvlText w:val="%3."/>
      <w:lvlJc w:val="right"/>
      <w:pPr>
        <w:ind w:left="1832" w:hanging="180"/>
      </w:pPr>
    </w:lvl>
    <w:lvl w:ilvl="3" w:tplc="28E2F34A">
      <w:start w:val="1"/>
      <w:numFmt w:val="decimal"/>
      <w:lvlText w:val="%4."/>
      <w:lvlJc w:val="left"/>
      <w:pPr>
        <w:ind w:left="2552" w:hanging="360"/>
      </w:pPr>
    </w:lvl>
    <w:lvl w:ilvl="4" w:tplc="F2F06860">
      <w:start w:val="1"/>
      <w:numFmt w:val="lowerLetter"/>
      <w:lvlText w:val="%5."/>
      <w:lvlJc w:val="left"/>
      <w:pPr>
        <w:ind w:left="3272" w:hanging="360"/>
      </w:pPr>
    </w:lvl>
    <w:lvl w:ilvl="5" w:tplc="A74C8BBC">
      <w:start w:val="1"/>
      <w:numFmt w:val="lowerRoman"/>
      <w:lvlText w:val="%6."/>
      <w:lvlJc w:val="right"/>
      <w:pPr>
        <w:ind w:left="3992" w:hanging="180"/>
      </w:pPr>
    </w:lvl>
    <w:lvl w:ilvl="6" w:tplc="212CE08C">
      <w:start w:val="1"/>
      <w:numFmt w:val="decimal"/>
      <w:lvlText w:val="%7."/>
      <w:lvlJc w:val="left"/>
      <w:pPr>
        <w:ind w:left="4712" w:hanging="360"/>
      </w:pPr>
    </w:lvl>
    <w:lvl w:ilvl="7" w:tplc="E3D4D6F4">
      <w:start w:val="1"/>
      <w:numFmt w:val="lowerLetter"/>
      <w:lvlText w:val="%8."/>
      <w:lvlJc w:val="left"/>
      <w:pPr>
        <w:ind w:left="5432" w:hanging="360"/>
      </w:pPr>
    </w:lvl>
    <w:lvl w:ilvl="8" w:tplc="081C88C4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6F6075F8"/>
    <w:multiLevelType w:val="hybridMultilevel"/>
    <w:tmpl w:val="0DFCF278"/>
    <w:lvl w:ilvl="0" w:tplc="76284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C84144">
      <w:start w:val="1"/>
      <w:numFmt w:val="lowerLetter"/>
      <w:lvlText w:val="%2."/>
      <w:lvlJc w:val="left"/>
      <w:pPr>
        <w:ind w:left="1800" w:hanging="360"/>
      </w:pPr>
    </w:lvl>
    <w:lvl w:ilvl="2" w:tplc="3482E6D0">
      <w:start w:val="1"/>
      <w:numFmt w:val="lowerRoman"/>
      <w:lvlText w:val="%3."/>
      <w:lvlJc w:val="right"/>
      <w:pPr>
        <w:ind w:left="2520" w:hanging="180"/>
      </w:pPr>
    </w:lvl>
    <w:lvl w:ilvl="3" w:tplc="79BE0DA6">
      <w:start w:val="1"/>
      <w:numFmt w:val="decimal"/>
      <w:lvlText w:val="%4."/>
      <w:lvlJc w:val="left"/>
      <w:pPr>
        <w:ind w:left="3240" w:hanging="360"/>
      </w:pPr>
    </w:lvl>
    <w:lvl w:ilvl="4" w:tplc="FF3AD84A">
      <w:start w:val="1"/>
      <w:numFmt w:val="lowerLetter"/>
      <w:lvlText w:val="%5."/>
      <w:lvlJc w:val="left"/>
      <w:pPr>
        <w:ind w:left="3960" w:hanging="360"/>
      </w:pPr>
    </w:lvl>
    <w:lvl w:ilvl="5" w:tplc="1E38B0AA">
      <w:start w:val="1"/>
      <w:numFmt w:val="lowerRoman"/>
      <w:lvlText w:val="%6."/>
      <w:lvlJc w:val="right"/>
      <w:pPr>
        <w:ind w:left="4680" w:hanging="180"/>
      </w:pPr>
    </w:lvl>
    <w:lvl w:ilvl="6" w:tplc="E97E2576">
      <w:start w:val="1"/>
      <w:numFmt w:val="decimal"/>
      <w:lvlText w:val="%7."/>
      <w:lvlJc w:val="left"/>
      <w:pPr>
        <w:ind w:left="5400" w:hanging="360"/>
      </w:pPr>
    </w:lvl>
    <w:lvl w:ilvl="7" w:tplc="863E5ECA">
      <w:start w:val="1"/>
      <w:numFmt w:val="lowerLetter"/>
      <w:lvlText w:val="%8."/>
      <w:lvlJc w:val="left"/>
      <w:pPr>
        <w:ind w:left="6120" w:hanging="360"/>
      </w:pPr>
    </w:lvl>
    <w:lvl w:ilvl="8" w:tplc="F632646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3123CB"/>
    <w:multiLevelType w:val="hybridMultilevel"/>
    <w:tmpl w:val="936E7E44"/>
    <w:lvl w:ilvl="0" w:tplc="92684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FE0F0C">
      <w:start w:val="1"/>
      <w:numFmt w:val="lowerLetter"/>
      <w:lvlText w:val="%2."/>
      <w:lvlJc w:val="left"/>
      <w:pPr>
        <w:ind w:left="1440" w:hanging="360"/>
      </w:pPr>
    </w:lvl>
    <w:lvl w:ilvl="2" w:tplc="A70C14E6">
      <w:start w:val="1"/>
      <w:numFmt w:val="lowerRoman"/>
      <w:lvlText w:val="%3."/>
      <w:lvlJc w:val="right"/>
      <w:pPr>
        <w:ind w:left="2160" w:hanging="180"/>
      </w:pPr>
    </w:lvl>
    <w:lvl w:ilvl="3" w:tplc="230A7BFE">
      <w:start w:val="1"/>
      <w:numFmt w:val="decimal"/>
      <w:lvlText w:val="%4."/>
      <w:lvlJc w:val="left"/>
      <w:pPr>
        <w:ind w:left="2880" w:hanging="360"/>
      </w:pPr>
    </w:lvl>
    <w:lvl w:ilvl="4" w:tplc="5582EEDE">
      <w:start w:val="1"/>
      <w:numFmt w:val="lowerLetter"/>
      <w:lvlText w:val="%5."/>
      <w:lvlJc w:val="left"/>
      <w:pPr>
        <w:ind w:left="3600" w:hanging="360"/>
      </w:pPr>
    </w:lvl>
    <w:lvl w:ilvl="5" w:tplc="832CC73C">
      <w:start w:val="1"/>
      <w:numFmt w:val="lowerRoman"/>
      <w:lvlText w:val="%6."/>
      <w:lvlJc w:val="right"/>
      <w:pPr>
        <w:ind w:left="4320" w:hanging="180"/>
      </w:pPr>
    </w:lvl>
    <w:lvl w:ilvl="6" w:tplc="E2B27E4E">
      <w:start w:val="1"/>
      <w:numFmt w:val="decimal"/>
      <w:lvlText w:val="%7."/>
      <w:lvlJc w:val="left"/>
      <w:pPr>
        <w:ind w:left="5040" w:hanging="360"/>
      </w:pPr>
    </w:lvl>
    <w:lvl w:ilvl="7" w:tplc="1C6A4D7E">
      <w:start w:val="1"/>
      <w:numFmt w:val="lowerLetter"/>
      <w:lvlText w:val="%8."/>
      <w:lvlJc w:val="left"/>
      <w:pPr>
        <w:ind w:left="5760" w:hanging="360"/>
      </w:pPr>
    </w:lvl>
    <w:lvl w:ilvl="8" w:tplc="5B72C2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4C"/>
    <w:rsid w:val="00032190"/>
    <w:rsid w:val="00064D21"/>
    <w:rsid w:val="000818AD"/>
    <w:rsid w:val="00125F8A"/>
    <w:rsid w:val="0014033B"/>
    <w:rsid w:val="002211CA"/>
    <w:rsid w:val="002E0012"/>
    <w:rsid w:val="002F4535"/>
    <w:rsid w:val="00305BB7"/>
    <w:rsid w:val="00374BAF"/>
    <w:rsid w:val="00386DA9"/>
    <w:rsid w:val="00396D6F"/>
    <w:rsid w:val="00411B3D"/>
    <w:rsid w:val="004675EB"/>
    <w:rsid w:val="004A1777"/>
    <w:rsid w:val="004F64F4"/>
    <w:rsid w:val="005068CF"/>
    <w:rsid w:val="00527E4B"/>
    <w:rsid w:val="005345B0"/>
    <w:rsid w:val="00586083"/>
    <w:rsid w:val="00730DEA"/>
    <w:rsid w:val="0074078B"/>
    <w:rsid w:val="0075574C"/>
    <w:rsid w:val="007701DE"/>
    <w:rsid w:val="00777EB5"/>
    <w:rsid w:val="00792652"/>
    <w:rsid w:val="007D489A"/>
    <w:rsid w:val="00820D5B"/>
    <w:rsid w:val="00855802"/>
    <w:rsid w:val="00862FF9"/>
    <w:rsid w:val="0087448F"/>
    <w:rsid w:val="008D2881"/>
    <w:rsid w:val="00924890"/>
    <w:rsid w:val="009C7DE3"/>
    <w:rsid w:val="009F5F8E"/>
    <w:rsid w:val="009F64E3"/>
    <w:rsid w:val="00A409BB"/>
    <w:rsid w:val="00AC6E4C"/>
    <w:rsid w:val="00B03E49"/>
    <w:rsid w:val="00BB3352"/>
    <w:rsid w:val="00C72591"/>
    <w:rsid w:val="00C902F9"/>
    <w:rsid w:val="00CA5C47"/>
    <w:rsid w:val="00DB15A1"/>
    <w:rsid w:val="00DC56F0"/>
    <w:rsid w:val="00E1642E"/>
    <w:rsid w:val="00E32C5C"/>
    <w:rsid w:val="00E534CB"/>
    <w:rsid w:val="00E83D08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A42B"/>
  <w15:docId w15:val="{F3A9A59F-F67C-4CC6-B393-59BB3F77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f3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link w:val="af5"/>
    <w:rPr>
      <w:rFonts w:ascii="Arial" w:hAnsi="Arial" w:cs="Arial"/>
      <w:sz w:val="20"/>
      <w:szCs w:val="20"/>
      <w:lang w:eastAsia="ru-RU"/>
    </w:rPr>
  </w:style>
  <w:style w:type="character" w:styleId="af7">
    <w:name w:val="page number"/>
    <w:basedOn w:val="a0"/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</w:style>
  <w:style w:type="paragraph" w:styleId="afb">
    <w:name w:val="Balloon Text"/>
    <w:basedOn w:val="a"/>
    <w:link w:val="afc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  <w:style w:type="character" w:customStyle="1" w:styleId="afd">
    <w:name w:val="МОН Знак"/>
    <w:link w:val="afe"/>
    <w:rPr>
      <w:sz w:val="24"/>
      <w:szCs w:val="24"/>
    </w:rPr>
  </w:style>
  <w:style w:type="paragraph" w:customStyle="1" w:styleId="afe">
    <w:name w:val="МОН"/>
    <w:basedOn w:val="a"/>
    <w:link w:val="afd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f">
    <w:name w:val="Strong"/>
    <w:qFormat/>
    <w:rPr>
      <w:b/>
      <w:bCs/>
    </w:rPr>
  </w:style>
  <w:style w:type="character" w:styleId="aff0">
    <w:name w:val="Hyperlink"/>
    <w:semiHidden/>
    <w:rPr>
      <w:color w:val="0000FF"/>
      <w:u w:val="single"/>
    </w:rPr>
  </w:style>
  <w:style w:type="paragraph" w:styleId="aff1">
    <w:name w:val="List Paragraph"/>
    <w:basedOn w:val="a"/>
    <w:link w:val="aff2"/>
    <w:uiPriority w:val="99"/>
    <w:qFormat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2">
    <w:name w:val="Абзац списка Знак"/>
    <w:link w:val="aff1"/>
    <w:uiPriority w:val="99"/>
    <w:rPr>
      <w:rFonts w:ascii="Times New Roman" w:hAnsi="Times New Roman"/>
    </w:rPr>
  </w:style>
  <w:style w:type="character" w:styleId="aff3">
    <w:name w:val="FollowedHyperlink"/>
    <w:basedOn w:val="a0"/>
    <w:uiPriority w:val="99"/>
    <w:semiHidden/>
    <w:unhideWhenUsed/>
    <w:rsid w:val="00730DEA"/>
    <w:rPr>
      <w:color w:val="800080" w:themeColor="followedHyperlink"/>
      <w:u w:val="single"/>
    </w:rPr>
  </w:style>
  <w:style w:type="character" w:customStyle="1" w:styleId="15">
    <w:name w:val="Текст сноски Знак1"/>
    <w:basedOn w:val="a0"/>
    <w:uiPriority w:val="99"/>
    <w:semiHidden/>
    <w:rsid w:val="00730DEA"/>
    <w:rPr>
      <w:rFonts w:ascii="Calibri" w:hAnsi="Calibri" w:cs="Calibri" w:hint="default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30DEA"/>
    <w:rPr>
      <w:rFonts w:ascii="Calibri" w:hAnsi="Calibri" w:cs="Calibri" w:hint="defaul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3AA8-3F1F-4145-A176-C6AEC4FA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30</Pages>
  <Words>8045</Words>
  <Characters>45863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46</cp:revision>
  <dcterms:created xsi:type="dcterms:W3CDTF">2024-11-05T08:06:00Z</dcterms:created>
  <dcterms:modified xsi:type="dcterms:W3CDTF">2025-09-11T08:45:00Z</dcterms:modified>
</cp:coreProperties>
</file>