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08" w:rsidRDefault="00937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908" w:rsidRDefault="007C57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3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908" w:rsidRDefault="00937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908" w:rsidRDefault="00937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908" w:rsidRDefault="00937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908" w:rsidRDefault="00937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908" w:rsidRDefault="007C57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937908" w:rsidRDefault="007C57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937908" w:rsidRDefault="007C57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937908" w:rsidRDefault="00937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937908" w:rsidRDefault="007C57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937908" w:rsidRDefault="00937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7908" w:rsidRDefault="00937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7908" w:rsidRDefault="007C57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от 01.11.2024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  <w:t xml:space="preserve"> № 1713</w:t>
      </w:r>
    </w:p>
    <w:p w:rsidR="00937908" w:rsidRDefault="007C57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 Никель</w:t>
      </w:r>
    </w:p>
    <w:p w:rsidR="00937908" w:rsidRDefault="00937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7908" w:rsidRDefault="00937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 утверждении муниципальной программы Печенгского муниципального округа</w:t>
      </w:r>
    </w:p>
    <w:p w:rsidR="00937908" w:rsidRDefault="007C5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«Э</w:t>
      </w:r>
      <w:r>
        <w:rPr>
          <w:rFonts w:ascii="Times New Roman" w:eastAsia="TimesNewRomanPSMT" w:hAnsi="Times New Roman" w:cs="Times New Roman"/>
          <w:b/>
          <w:bCs/>
          <w:sz w:val="20"/>
          <w:szCs w:val="20"/>
        </w:rPr>
        <w:t>кономический потенциал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» на 2025-2027 годы</w:t>
      </w:r>
    </w:p>
    <w:p w:rsidR="00937908" w:rsidRPr="00C653CD" w:rsidRDefault="00C653CD" w:rsidP="00C653C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  <w:r w:rsidRPr="00C653C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</w:t>
      </w:r>
      <w:r w:rsidR="000B65D4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й</w:t>
      </w:r>
      <w:r w:rsidRPr="00C653C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администрации Печенгского муниципального округа от 14.11.2024 № 1787</w:t>
      </w:r>
      <w:r w:rsidR="00490152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,</w:t>
      </w:r>
      <w:r w:rsidR="00303965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от 28</w:t>
      </w:r>
      <w:r w:rsidR="000B65D4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.02.2025 № </w:t>
      </w:r>
      <w:r w:rsidR="00303965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314</w:t>
      </w:r>
      <w:r w:rsidR="00C928A3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, </w:t>
      </w:r>
      <w:r w:rsidR="00490152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от 28.05.2025 № 915</w:t>
      </w:r>
      <w:r w:rsidR="00D6595C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и от 29.08.2025 № 1404</w:t>
      </w:r>
      <w:r w:rsidRPr="00C653C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937908" w:rsidRDefault="009379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br/>
        <w:t xml:space="preserve">от 24.07.2007 № 209-ФЗ «О развитии малого и среднего предпринимательства в Российской Федерации», Законом Мурманской области от 27.05.2008 № 977-01-ЗМО «О содействии развитию и государственной поддержке малого и среднего предпринимательства в Мурманской области»,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разработки, реализации и оценки эффективности муниципальных программ Печенгского муниципального округа, утвержденным постановлением администрации Печенгского муниципального округа от 16.08.2021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838, </w:t>
      </w:r>
      <w:r>
        <w:rPr>
          <w:rFonts w:ascii="Times New Roman" w:hAnsi="Times New Roman" w:cs="Times New Roman"/>
          <w:sz w:val="24"/>
          <w:szCs w:val="24"/>
        </w:rPr>
        <w:t xml:space="preserve">в целях улучшения инвестиционного и предпринимательского климата, развития туризма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908" w:rsidRDefault="00937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937908" w:rsidRDefault="00937908">
      <w:pPr>
        <w:widowControl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Утвердить муниципальную программу Печенгского муниципального округа «Экономический потенциал» на 2025-2027 годы (далее - программа) согласно приложению.</w:t>
      </w:r>
    </w:p>
    <w:p w:rsidR="00937908" w:rsidRDefault="007C579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01 января 2025 года.</w:t>
      </w:r>
    </w:p>
    <w:p w:rsidR="00937908" w:rsidRDefault="007C5790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937908" w:rsidRDefault="007C5790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Печенгского муниципального округа по экономике и финансам Ахметову М.Ю.</w:t>
      </w:r>
    </w:p>
    <w:p w:rsidR="00937908" w:rsidRDefault="00937908">
      <w:pPr>
        <w:widowControl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widowControl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Печенгского муниципального округа                                                        А.В. Кузнецов</w:t>
      </w:r>
    </w:p>
    <w:p w:rsidR="00937908" w:rsidRDefault="009379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908" w:rsidRDefault="0093790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908" w:rsidRDefault="0093790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908" w:rsidRDefault="007C579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Чупина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Н.В., 62041</w:t>
      </w:r>
    </w:p>
    <w:p w:rsidR="00937908" w:rsidRDefault="007C5790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37908" w:rsidRDefault="007C5790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Печенгского муниципального округа </w:t>
      </w:r>
    </w:p>
    <w:p w:rsidR="00937908" w:rsidRDefault="007C5790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01.11.2024 № 1713</w:t>
      </w:r>
    </w:p>
    <w:p w:rsidR="00937908" w:rsidRDefault="00937908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</w:pPr>
    </w:p>
    <w:p w:rsidR="00937908" w:rsidRDefault="0093790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937908" w:rsidRDefault="007C579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937908" w:rsidRDefault="007C579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ПЕЧЕНГСКОГО МУНИЦИПАЛЬНОГО ОКРУГА</w:t>
      </w:r>
    </w:p>
    <w:p w:rsidR="00937908" w:rsidRDefault="007C579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«Экономический потенциал» на 2025-2027 годы</w:t>
      </w:r>
    </w:p>
    <w:p w:rsidR="00937908" w:rsidRDefault="00937908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937908" w:rsidRDefault="007C5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37908" w:rsidRDefault="007C5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Печенгского муниципального округа </w:t>
      </w:r>
    </w:p>
    <w:p w:rsidR="00937908" w:rsidRDefault="007C5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«Экономический потенциал» на 2025-2027 годы</w:t>
      </w:r>
    </w:p>
    <w:p w:rsidR="00D6595C" w:rsidRDefault="000B65D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постановлений</w:t>
      </w:r>
      <w:r w:rsidR="00C653CD">
        <w:rPr>
          <w:rFonts w:ascii="Times New Roman" w:hAnsi="Times New Roman" w:cs="Times New Roman"/>
          <w:color w:val="0070C0"/>
          <w:sz w:val="20"/>
          <w:szCs w:val="20"/>
        </w:rPr>
        <w:t xml:space="preserve"> от 14.11.2024 № 1787</w:t>
      </w:r>
      <w:r w:rsidR="00490152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 w:rsidR="00303965">
        <w:rPr>
          <w:rFonts w:ascii="Times New Roman" w:hAnsi="Times New Roman" w:cs="Times New Roman"/>
          <w:color w:val="0070C0"/>
          <w:sz w:val="20"/>
          <w:szCs w:val="20"/>
        </w:rPr>
        <w:t>от 28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.02.2025 № </w:t>
      </w:r>
      <w:r w:rsidR="00490152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314</w:t>
      </w:r>
      <w:r w:rsidR="00C928A3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,</w:t>
      </w:r>
      <w:r w:rsidR="00490152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от 28.05.2025 № 915</w:t>
      </w:r>
      <w:r w:rsidR="00D6595C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и от 29.08.2025 </w:t>
      </w:r>
    </w:p>
    <w:p w:rsidR="00937908" w:rsidRDefault="00D6595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№ 1404</w:t>
      </w:r>
      <w:r w:rsidR="00490152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)</w:t>
      </w:r>
      <w:r w:rsidR="00490152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:rsidR="00C653CD" w:rsidRDefault="00C653C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1"/>
        <w:gridCol w:w="7370"/>
      </w:tblGrid>
      <w:tr w:rsidR="00937908">
        <w:trPr>
          <w:trHeight w:val="505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предпринимательской и инвестиционной активности, в том числе в сфере туризма,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</w:tr>
      <w:tr w:rsidR="00937908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pStyle w:val="aff9"/>
              <w:widowControl w:val="0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оздание условий для повышения инвестиционной привлекательности Печенгского муниципального округа.</w:t>
            </w:r>
          </w:p>
          <w:p w:rsidR="00937908" w:rsidRDefault="007C5790">
            <w:pPr>
              <w:pStyle w:val="aff9"/>
              <w:widowControl w:val="0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туристской привлекательности Печенгского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на территории Печенгского муниципального округа благоприятных условий, способствующих развитию потенциала социально ориентированных некоммерческих организаций (далее - СО НКО) и его эффективному использованию в решении задач социально-экономического развития Печенгского муниципального округа.</w:t>
            </w:r>
          </w:p>
        </w:tc>
      </w:tr>
      <w:tr w:rsidR="00937908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46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недвижимости нежилого фонда, находящегося в собственности Печенгского муниципального округа, подлежащих к сдаче в аренду субъектам малого и среднего предпринимательства (далее – СМСП).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46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актуализированного перечня договоров аренды объектов недвижимости нежилого фонда.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46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объектов, включенных в перечни муниципального имущества и предоставляемого СМСП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рамках оказания имущественной поддержки.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банка данных СМСП, осуществляющих деятельность на территории Печенгского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общедоступной информации, необходимой для развития СМСП, на официальном сайте Печенгского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методологической помощи СМСП в целях получения финансовой поддержки и по другим актуальным вопросам.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полномочий по сбору сведений для формирования и ведения торгового реестра.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вопросам СМСП, в том числе семинаров, тренингов, мастер-классов, конкурсов, направленных на повышение компетенции и конкурентоспособности СМСП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реализации мер, направленных на развитие СМСП.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388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заседаний Совета по улучшению инвестиционного климата и развитию предпринимательства.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  <w:tab w:val="left" w:pos="388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налоговых льгот юридическим лицам и индивидуальным предпринимателям, получившим статус резидента Арктической зоны РФ, а так 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  <w:tab w:val="left" w:pos="388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регулирующих коэффициентов при расчете арендной платы за земельные участки, предоставленные в аренду без проведения торгов,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округа, а также юридическим лицам и индивидуальным предпринимателям, получившим статус резидента Арктической зоны РФ. 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  <w:tab w:val="left" w:pos="388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актуализированного инвестиционного профиля Печенгского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актуализированного инвестиционного профиля Печенгского муниципального округа, согласованного Главой Печенгского муниципального округа, на официальном сайте Печенгского муниципального округа в сети Интернет.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единого реестра туристской инфраструктуры Печенгского муниципального округа.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информационных сообщений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 в СМИ, социальных сетях, официальном сайте Печенгского муниципального округа.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разработанной проектной документации по проекту «Туристический кластер Печенгского муниципального округа – «Кольская сверхглубокая», «Плавильный цех», «Шахта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Каула-Котсельваара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функционирующих коллективных средств размещения (далее – КСР).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реестра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производителей сувенирной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проведенных конкурсов.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публикаций на информационных и тематических площадках (сайты, мессенджеры, социальные сети), официальном сайте Печенгского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направленных предложений о включении мероприятий в региональный реестр «51 событие».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в организации и проведении которых оказано содействие.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общеобразовательных организаций, участвующих в развитии школьного туризма.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СО НКО.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информационной, консультативной и организационной поддержки деятельности СО НКО.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реестра СО НКО - получателей поддержки.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оценки эффективности мер муниципальной поддержки СО НКО.</w:t>
            </w:r>
          </w:p>
        </w:tc>
      </w:tr>
      <w:tr w:rsidR="00937908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2025 - 2027 годы </w:t>
            </w:r>
          </w:p>
        </w:tc>
      </w:tr>
      <w:tr w:rsidR="00937908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«Повышение инвестиционной привлекательности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«Развитие туризма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округе»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«Взаимодействие с СО НКО»</w:t>
            </w:r>
          </w:p>
        </w:tc>
      </w:tr>
      <w:tr w:rsidR="00937908">
        <w:trPr>
          <w:trHeight w:val="331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937908" w:rsidRDefault="007C579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937908" w:rsidRDefault="0093790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08" w:rsidRDefault="0093790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программе: </w:t>
            </w:r>
            <w:r w:rsidR="00C65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28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="00C92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0B65D4">
              <w:rPr>
                <w:rFonts w:ascii="Times New Roman" w:hAnsi="Times New Roman" w:cs="Times New Roman"/>
                <w:b/>
                <w:sz w:val="24"/>
                <w:szCs w:val="24"/>
              </w:rPr>
              <w:t>43,1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 тыс. рублей, из них: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0B6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53CD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0B6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53CD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C653CD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год: </w:t>
            </w:r>
            <w:r w:rsidR="00C653CD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C928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653CD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C928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53C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537,0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537,0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1590,0 тыс. рублей, из них: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530,0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530,0 тыс. рублей,</w:t>
            </w:r>
          </w:p>
          <w:p w:rsidR="00937908" w:rsidRDefault="007C5790">
            <w:pP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год: 530,0 тыс. рублей.</w:t>
            </w:r>
          </w:p>
        </w:tc>
      </w:tr>
      <w:tr w:rsidR="00937908">
        <w:trPr>
          <w:trHeight w:val="180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0,0 тыс. рублей, 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год: 0,0 тыс. рублей;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рублей;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год: 0,0 тыс. рублей.</w:t>
            </w:r>
          </w:p>
        </w:tc>
      </w:tr>
      <w:tr w:rsidR="00937908">
        <w:trPr>
          <w:trHeight w:val="189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инвестиционного и предпринимательского климата, повышение инвестиционной привлекательности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Печенгского муниципального округа – рост количества малых,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 концу 2027 года до 873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объема инвестиций в основной капитал (за исключением бюджетных средств) в расчете на 1 жителя в 2027 году до 400,2 тыс. рублей; </w:t>
            </w:r>
          </w:p>
          <w:p w:rsidR="00937908" w:rsidRDefault="007C5790">
            <w:pPr>
              <w:pStyle w:val="aff9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функционирующих КСР к 2027 году до 15 единиц;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 туристического потока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лиц, размещенных в КСР)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ежегодно на 5% к уровню предыдущего года; 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СО НКО, осуществляющих деятельность на территории Печенгского муниципального округа, к 2027 году до  27 единиц.</w:t>
            </w:r>
          </w:p>
        </w:tc>
      </w:tr>
      <w:tr w:rsidR="00937908">
        <w:trPr>
          <w:trHeight w:val="55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 муниципального округа (Отдел экономического развития администрации Печенгского муниципального округа) (далее – ОЭР)</w:t>
            </w:r>
          </w:p>
        </w:tc>
      </w:tr>
      <w:tr w:rsidR="00937908">
        <w:trPr>
          <w:trHeight w:val="3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Комитет по управлению имуществом администрации Печенгского муниципального округа Мурманской области (далее – КУИ), Администрация Печенгского муниципального округа (Консультант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по приграничному сотрудничеству администрации Печенгского муниципального округа) (далее – Консультант по приграничному сотрудничеству), Администрация Печенгского муниципального округа (Сектор инвестиционной деятельности администрации Печенгского муниципального округа) (далее – Сектор инвестиционной деятельности), Отдел образования администрации Печенгского муниципального округа (далее – Отдел образования),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общеобразовательные учреждения средние общеобразовательные школы №№ 1, 3, 5, 7, 9, 11, 19, 23 </w:t>
            </w:r>
          </w:p>
          <w:p w:rsidR="00937908" w:rsidRDefault="007C5790" w:rsidP="00490152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МБОУ СОШ №№ 1, 3, 5, 7, 9, 11, 19, 23), Муниципальные бюджетные общеобразовательные учреждения основные общеобразовательные школы №№ 20, 22 (далее – МБОУ ООШ №№ 20, 22)</w:t>
            </w:r>
            <w:r w:rsidR="00490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908">
        <w:trPr>
          <w:trHeight w:val="3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Автономная некоммерческая организация «Центр социальных проектов Печенгского района «Вторая школа» (далее – АНО «Центр социальных проектов Печенгского района «Вторая школа»)</w:t>
            </w:r>
          </w:p>
        </w:tc>
      </w:tr>
    </w:tbl>
    <w:p w:rsidR="00937908" w:rsidRDefault="009379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7C5790">
      <w:pPr>
        <w:pStyle w:val="aff9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проблемы, на решение которой направлена программа</w:t>
      </w:r>
    </w:p>
    <w:p w:rsidR="00937908" w:rsidRDefault="00937908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Главная стратегическая цель деятельности 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дминистрации Печенгского муниципального округа (далее - Администрация) </w:t>
      </w:r>
      <w:r>
        <w:rPr>
          <w:rFonts w:ascii="Times New Roman" w:hAnsi="Times New Roman" w:cs="Times New Roman"/>
          <w:sz w:val="24"/>
          <w:szCs w:val="24"/>
          <w:lang w:eastAsia="ru-RU"/>
        </w:rPr>
        <w:t>- повышение качества жизни населения путем обеспечения жителей Печенгского муниципального округа качественной социальной и инженерной инфраструктурой, повышения доступности товаров, услуг и культурно-досуговой инфраструктуры, создания комфортных условий проживания в районе Крайнего Севера.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важнейшим приоритетом развития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является создание сильной экономики, ориентированной на человека, на его нужды, запросы и развитие.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Территория Печенгского муниципального округа обладает значительным экономическим потенциалом, обусловленным географическим положением и ресурсно-сырьевыми запасами.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округ расположен в северо-западной части Кольского полуострова. На севере омывается водами Баренцева моря, на северо-западе граничит с Норвегией (губернией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Финнмарк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), а на западе - с Финляндией (губернией Лапландия). Расстояние от административного центра Печенгского муниципального округа до международного автомобильного пункта пропуска «Борисоглебск» на российско-норвежской границе - 40 км.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округ богат полезными ископаемыми. Основу экономики составляет горно-металлургический комплекс АО «Кольская горно-металлургическая компания» - самого крупного предприятия цветной металлургии Мурманской области. На территории Печенгского муниципального округа имеются разведанные месторождения сульфидной медно-никелевой руды, песчано-гравийных смесей, щебня, строительного и облицовочного камня. Шлаковые отходы плавильного производства могут быть использованы как сырьевая база для производства абразивных материалов.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Кроме того, способствует развитию экономики наличие автотрассы федерального значения Р-21 «Кола», грузового железнодорожного сообщения, наличие земельных и водных ресурсов для развития промышленности, сельского хозяйства, наличие резерва мощностей для подключения к системам электро-, тепло- и водоснабжения, водоотведения.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туризм - наиболее динамично развивающаяся отрасль экономики как Мурманской области и в целом в Российской Федерации. Повышенное внимание развитию туриндустрии уделяется на государственном уровне.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экономики Печенгского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 внутренний туризм также является одним из перспективных направлений развития, чему способствуют имеющиеся природные и рекреационные ресурсы. Туристская отрасль представляет значительный интерес благодаря мультипликационному эффекту, проявляющемуся в том, что в приеме и обслуживании туристов задействованы смежные отрасли экономики, напрямую с туризмом не связанные.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точки зрения развития туризма для Печенгского муниципального округа характерны следующие черты: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значительный туристический потенциал в сочетании с низкой степенью узнаваемости, продвинутости на туристических рынках;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транспортная удаленность (аэропорт, ж/д вокзал) и связанная с ней   изолированность от основного турпотока, пребывающего в Мурманскую область;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неравномерность турпотока (большое количество туристов на полуостровах Средний, Рыбачий, Немецкий и малое – в районе городов Заполярный и Никель), высокая степень сезонности;</w:t>
      </w:r>
    </w:p>
    <w:p w:rsidR="00937908" w:rsidRDefault="007C5790">
      <w:pPr>
        <w:pStyle w:val="aff9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малый турпоток является сдерживающим фактором для инвесторов в туристскую инфраструктуру. В свою очередь недостаточность средств размещения тормозят приток туристов и возможность развития событийного туризма;</w:t>
      </w:r>
    </w:p>
    <w:p w:rsidR="00937908" w:rsidRDefault="007C5790">
      <w:pPr>
        <w:pStyle w:val="aff9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недоработанность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» туристских объектов. Такие потенциально привлекательные для туристов объекты, как Кольская сверхглубокая, шахта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Каула-Котсельваара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плавильный цех невозможно в настоящее время  включить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турмаршруты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учитывая их статус и физическое состояние;</w:t>
      </w:r>
    </w:p>
    <w:p w:rsidR="00937908" w:rsidRDefault="007C5790">
      <w:pPr>
        <w:pStyle w:val="aff9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наличие пограничной зоны и зоны с регламентированным посещением иностранных граждан;</w:t>
      </w:r>
    </w:p>
    <w:p w:rsidR="00937908" w:rsidRDefault="007C5790">
      <w:pPr>
        <w:pStyle w:val="aff9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недостаток квалифицированных кадров в сфере туризма;</w:t>
      </w:r>
    </w:p>
    <w:p w:rsidR="00937908" w:rsidRDefault="007C5790">
      <w:pPr>
        <w:pStyle w:val="aff9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несовершенства городской среды - отсутствие туристкой навигации и общественных пространств с туалетами.</w:t>
      </w:r>
    </w:p>
    <w:p w:rsidR="00937908" w:rsidRDefault="00937908">
      <w:pPr>
        <w:pStyle w:val="aff9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Сильными сторонами и преимуществами Печенгского муниципального округа для развития туризма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сравнению с другими регионами России и Мурманской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уникальных объектов туристского интереса для развития природного, индустриального и исторического туризма;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организаций, занимающихся активной проектной и информационной деятельностью в сфере туризма (АНО «Центр социальных проектов Печенгского района «Вторая школа», ФГБУ «Государственный заповедник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Пасвик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МБУ «Историко-краеведческий музей Печенгского муниципального округа», фронт-офис АНО «Туристский центр Мурманской области»);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сертифицированных туристских маршрутов;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программы социально-экономического развития Печенгского муниципального округа на 2021-2025, в которой развитие туристкой инфраструктуры занимает ведущее место;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реализация мероприятий в сфере туризма, предусмотренных дополнительным соглашением № НН/1425-2019-4DS от 07.09.2023 к Соглашению о сотрудничестве между Правительством Мурманской области и ПАО «ГМК «Норильский Никель» </w:t>
      </w:r>
      <w:r>
        <w:rPr>
          <w:rFonts w:ascii="Times New Roman" w:eastAsia="Times New Roman" w:hAnsi="Times New Roman" w:cs="Times New Roman"/>
          <w:sz w:val="24"/>
          <w:szCs w:val="24"/>
        </w:rPr>
        <w:t>№ НН/1425-2019 от 17.10.2019;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ряд реализованных проектов в сфере туризма.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Вместе с тем имеется ряд проблем, сдерживающих темпы развития территории: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негативное воздействие деятельности градообразующего предприятия на окружающую среду;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высокая степень физического износа систем тепло- и водоснабжения, канализации;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наличие ветхого и аварийного жилья; 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низкий уровень предпринимательской активности;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наличие территорий с регламентированным посещением из-за близости госграницы;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низкий уровень развития туристкой инфраструктуры;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хроническая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дотационность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бюджета.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Недостаточный уровень развития инвестиционной деятельности на территории Печенгского муниципального округа обусловлен наличием административных барьеров - сложностью и затянутостью административных процедур, связанных с получением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разрешений на строительство, подключением к системам энергоснабжения, а также обилием запрещающих и ограничивающих законодательных</w:t>
      </w:r>
      <w:r>
        <w:rPr>
          <w:rFonts w:ascii="Times New Roman" w:hAnsi="Times New Roman" w:cs="Times New Roman"/>
          <w:sz w:val="24"/>
          <w:szCs w:val="24"/>
        </w:rPr>
        <w:t xml:space="preserve"> норм и правил.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округ является приграничным регионом, значительная часть земель которого находятся в ведении Министерства обороны Российской Федерации, что создает определенные трудности по переводу данных земель в хозяйственные и снижает привлекательность данных территорий для инвесторов.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части проблем на территории Печенгского муниципального округа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внедряется механизм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-частного партнерства как инструмента привлечения инвестиций в экономику муниципалитета, принимаются меры по содействию развитию конкуренции.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Недостаточный уровень предпринимательской активности малого и среднего бизнеса обусловлен </w:t>
      </w:r>
      <w:r>
        <w:rPr>
          <w:rFonts w:ascii="Times New Roman" w:hAnsi="Times New Roman" w:cs="Times New Roman"/>
          <w:sz w:val="24"/>
          <w:szCs w:val="24"/>
        </w:rPr>
        <w:t>снижением потребительского спроса в связи с</w:t>
      </w: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оттоком населения и вхождением в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Печенгский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муниципальный округ федеральных и региональных розничных сетей, а также </w:t>
      </w:r>
      <w:r>
        <w:rPr>
          <w:rFonts w:ascii="Times New Roman" w:hAnsi="Times New Roman" w:cs="Times New Roman"/>
          <w:sz w:val="24"/>
          <w:szCs w:val="24"/>
        </w:rPr>
        <w:t>низкой доступностью финансовых ресурсов, нехваткой квалифицированных кадров.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Администрация Печенгского муниципального округа оказывает имущественную поддержку начинающим и действующим СМСП</w:t>
      </w: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. Перечень муниципального имущества Печенгского муниципального округа, предназначенного для передачи во владение и (или) пользование СМСП, приведен в приложении к подпрограмме 1 «Повышение инвестиционной привлекательности Печенгского муниципального округа».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муниципальном округе создан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деятельность Совет по улучшению инвестиционного климата и развитию предпринимательства при Главе Печенгского муниципального округа, как диалоговая площадка по обсуждению проблем местного предпринимательства, выработке совместных действий по улучшению инвестиционного и предпринимательского климата.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Осуществляется работа по постепенному внедрению Регионального инвестиционного стандарта с учетом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утвержденный приказом Минэкономразвития России от 26.06.2023 № 672.</w:t>
      </w:r>
    </w:p>
    <w:p w:rsidR="00937908" w:rsidRDefault="009379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37908" w:rsidRDefault="007C5790">
      <w:pPr>
        <w:pStyle w:val="aff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937908" w:rsidRDefault="0093790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Целью настоящей программы является </w:t>
      </w:r>
      <w:r>
        <w:rPr>
          <w:rFonts w:ascii="Times New Roman" w:hAnsi="Times New Roman" w:cs="Times New Roman"/>
          <w:sz w:val="24"/>
          <w:szCs w:val="24"/>
        </w:rPr>
        <w:t xml:space="preserve">повышение предпринимательской и инвестиционной активности, в том числе в сфере туризма,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округе.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поставленной цели будет осуществляться решением следующих задач:</w:t>
      </w:r>
    </w:p>
    <w:p w:rsidR="00937908" w:rsidRDefault="007C5790">
      <w:pPr>
        <w:pStyle w:val="aff9"/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937908" w:rsidRDefault="007C5790">
      <w:pPr>
        <w:pStyle w:val="aff9"/>
        <w:widowControl w:val="0"/>
        <w:numPr>
          <w:ilvl w:val="0"/>
          <w:numId w:val="22"/>
        </w:numPr>
        <w:tabs>
          <w:tab w:val="left" w:pos="25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Повышение туристской привлекательности Печенгского муниципального округа.</w:t>
      </w:r>
    </w:p>
    <w:p w:rsidR="00937908" w:rsidRDefault="007C5790">
      <w:pPr>
        <w:pStyle w:val="aff9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на территории Печенгского муниципального округа благоприятных условий, способствующих развитию потенциала СО НКО и его эффективному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использованию в решении задач социально-экономического развития Печенгского муниципального округа.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Успешная реализация комплекса программных мероприятий обеспечит </w:t>
      </w:r>
      <w:r>
        <w:rPr>
          <w:rFonts w:ascii="Times New Roman" w:hAnsi="Times New Roman" w:cs="Times New Roman"/>
          <w:sz w:val="24"/>
          <w:szCs w:val="24"/>
        </w:rPr>
        <w:t>к концу 2027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достижение следующих результатов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улучшение инвестиционного и предпринимательского климата, повышение инвестиционной привлекательности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– рост количества малых, в том числе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к концу 2027 года до 873 единиц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объема инвестиций в основной капитал (за исключением бюджетных средств) в расчете на 1 жителя в 2027 году до 400,2 тыс. рублей; </w:t>
      </w:r>
    </w:p>
    <w:p w:rsidR="00937908" w:rsidRDefault="007C5790">
      <w:pPr>
        <w:pStyle w:val="aff9"/>
        <w:tabs>
          <w:tab w:val="left" w:pos="317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увеличение количества функционирующих коллективных средств размещения к 2027 году до 15 единиц;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</w:t>
      </w:r>
      <w:r>
        <w:rPr>
          <w:rFonts w:ascii="Times New Roman" w:hAnsi="Times New Roman" w:cs="Times New Roman"/>
          <w:sz w:val="24"/>
          <w:szCs w:val="24"/>
        </w:rPr>
        <w:t>ост туристического потока (</w:t>
      </w:r>
      <w:r>
        <w:rPr>
          <w:rFonts w:ascii="Times New Roman" w:hAnsi="Times New Roman" w:cs="Times New Roman"/>
          <w:sz w:val="24"/>
          <w:szCs w:val="24"/>
          <w:lang w:eastAsia="ru-RU"/>
        </w:rPr>
        <w:t>количество лиц, размещенных в коллективных средствах размещения)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 ежегодно на 5% к уровню предыдущего года;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увеличение количества СО НКО, осуществляющих деятельность на территории Печенгского муниципального округа, к 2027 году до 27 единиц.</w:t>
      </w:r>
    </w:p>
    <w:p w:rsidR="00937908" w:rsidRDefault="009379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937908" w:rsidRPr="00490152" w:rsidRDefault="00490152" w:rsidP="00490152">
      <w:pPr>
        <w:jc w:val="center"/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</w:pPr>
      <w:r w:rsidRPr="00490152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(в редакции постановлений </w:t>
      </w:r>
      <w:r w:rsidRPr="00490152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от 28.05.2025 № 915)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2111"/>
        <w:gridCol w:w="13"/>
        <w:gridCol w:w="698"/>
        <w:gridCol w:w="11"/>
        <w:gridCol w:w="979"/>
        <w:gridCol w:w="12"/>
        <w:gridCol w:w="960"/>
        <w:gridCol w:w="33"/>
        <w:gridCol w:w="851"/>
        <w:gridCol w:w="850"/>
        <w:gridCol w:w="10"/>
        <w:gridCol w:w="842"/>
        <w:gridCol w:w="1421"/>
      </w:tblGrid>
      <w:tr w:rsidR="00937908">
        <w:trPr>
          <w:trHeight w:val="227"/>
          <w:tblHeader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Цели, задачи, </w:t>
            </w:r>
            <w:r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(показатели)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 данных </w:t>
            </w:r>
          </w:p>
        </w:tc>
      </w:tr>
      <w:tr w:rsidR="00937908">
        <w:trPr>
          <w:trHeight w:val="245"/>
          <w:tblHeader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9379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93790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93790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Отчетный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Текущий год (оценка)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93790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908">
        <w:trPr>
          <w:trHeight w:val="235"/>
          <w:tblHeader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9379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93790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93790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21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</w:tcPr>
          <w:p w:rsidR="00937908" w:rsidRDefault="00937908">
            <w:pPr>
              <w:spacing w:after="0" w:line="240" w:lineRule="auto"/>
            </w:pPr>
          </w:p>
        </w:tc>
      </w:tr>
      <w:tr w:rsidR="00937908">
        <w:trPr>
          <w:trHeight w:val="2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7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цели муниципальной программы</w:t>
            </w:r>
          </w:p>
        </w:tc>
      </w:tr>
      <w:tr w:rsidR="00937908">
        <w:trPr>
          <w:trHeight w:val="2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малых, в том числе микро-предприятий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Единого реестра СМСП</w:t>
            </w:r>
          </w:p>
        </w:tc>
      </w:tr>
      <w:tr w:rsidR="00937908">
        <w:trPr>
          <w:trHeight w:val="2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244,5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ОЭР, Сектора инвестиционной деятельности</w:t>
            </w:r>
          </w:p>
        </w:tc>
      </w:tr>
      <w:tr w:rsidR="00937908">
        <w:trPr>
          <w:trHeight w:val="2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функционирующих КСР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Статистическая информация № 041941119</w:t>
            </w:r>
          </w:p>
        </w:tc>
      </w:tr>
      <w:tr w:rsidR="00937908">
        <w:trPr>
          <w:trHeight w:val="2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 туристического потока (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лиц, размещенных в КСР)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округе, ежегодно к уровню предыдущего года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Статистическая информация № 041941119</w:t>
            </w:r>
          </w:p>
        </w:tc>
      </w:tr>
      <w:tr w:rsidR="00937908">
        <w:trPr>
          <w:trHeight w:val="2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СО НКО, осуществляющих деятельность на территории Печенгского муниципального округа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Статистическая информация № 020241272, № 020241273</w:t>
            </w:r>
          </w:p>
        </w:tc>
      </w:tr>
      <w:tr w:rsidR="00937908">
        <w:trPr>
          <w:trHeight w:val="2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7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задач муниципальной программы (целей подпрограммы)</w:t>
            </w:r>
          </w:p>
        </w:tc>
      </w:tr>
      <w:tr w:rsidR="00937908">
        <w:trPr>
          <w:trHeight w:val="2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87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1 «Повышение инвестиционной привлекательности Печенгского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муниципального округа»</w:t>
            </w:r>
          </w:p>
        </w:tc>
      </w:tr>
      <w:tr w:rsidR="00937908">
        <w:trPr>
          <w:trHeight w:val="15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объектов недвижимости нежилого фонда, находящегося в собственности Печенгского муниципального округа, подлежащих к сдаче в аренду СМСП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116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КУИ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актуализированного перечня договоров аренды объектов недвижимости нежилого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КУИ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объектов, включенных в перечни муниципального имущества и предоставляемого СМСП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 в рамках оказания имущественной поддержки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КУИ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банка данных СМСП, осуществляющих деятельность на территории Печенгского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общедоступной информации, необходимой для развития СМСП на официальном сайте Печенгского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Сектора инвестиционной деятельности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методологической помощи СМСП по актуальным вопросам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деятельности, КУИ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2.1.7.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мероприятий по вопросам СМСП, в том числе семинаров, тренингов, мастер-классов, конкурсов, направленных на повышение компетенции и конкурентоспособности СМСП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деятельности, информация АНО «Центр социальных проектов Печенгского района «Вторая школа»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анализа эффективности реализации мер, направленных на развитие СМСП на территории Печенгского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2.1.10.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заседаний Совета по улучшению инвестиционного климата и развитию предпринимательства при Главе Печенгского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2.1.11.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налоговых льгот юридическим лицам и индивидуальным предпринимателям, получившим статус резидента Арктической зоны РФ, а также юридическим лицам и индивидуальным предпринимателям, реализующим приоритетные инвестиционные проекты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Печенгского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ОЭР, Сектора инвестиционной деятельности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2.1.12.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регулирующих коэффициентов при расчете арендной платы за земельные участки, предоставленные в аренду без проведения торгов,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округа, а также юридическим лицам и индивидуальным предпринимателям, получившим статус резидента Арктической зоны РФ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93790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КУИ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2.1.13.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актуализированного профиля Печенгского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исполнителей программы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2.1.14.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актуализированного инвестиционного профиля Печенгского муниципального округа, согласованного Главой Печенгского муниципального округа, на официальном сайте Печенгского муниципального округа в сети Интернет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87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2 «Развитие туризма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округе»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единого реестра туристской инфраструктуры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Печенгского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 Консультанта по приграничному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сотрудничеству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2.2.2.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информационных сообщений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 в СМИ, социальных сетях, официальном сайте Печенгского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Консультанта по приграничному сотрудничеству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разработанной проектной документации по проекту «Туристический кластер Печенгского муниципального округа – «Кольская сверхглубокая», «Плавильный цех», «Шахта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Каула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Котсельваара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Консультанта по приграничному сотрудничеству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функционирующих КСР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Статистическая информация № 041941119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реестра местных производителей сувенирной продукции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Консультанта по приграничному сотрудничеству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конкурсов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Консультанта по приграничному сотрудничеству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публикаций на информационных и тематических площадках (сайты, мессенджеры, социальные сети), официальном сайте Печенгского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 в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 в квартал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 в квартал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Консультанта по приграничному сотрудничеству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направленных предложений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включении мероприятий в региональный реестр «51 событие»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 Консультанта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приграничному сотрудничеству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2.2.9.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в организации и проведении которых оказано содействие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Консультанта по приграничному сотрудничеству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2.2.10.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общеобразовательных организаций, участвующих в развитии школьного туризма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 w:rsidP="004901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Отдела образования; МБОУ СОШ №№ 1, 3, 5, 7, 9, 11, 19, 23; МБОУ ООШ №№ 20, 22</w:t>
            </w:r>
          </w:p>
        </w:tc>
      </w:tr>
      <w:tr w:rsidR="00937908">
        <w:trPr>
          <w:trHeight w:val="1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87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«Взаимодействие с СО НКО»</w:t>
            </w:r>
          </w:p>
        </w:tc>
      </w:tr>
      <w:tr w:rsidR="00937908">
        <w:trPr>
          <w:trHeight w:val="17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2.3.1.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имущественной поддержки СО НКО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КУИ</w:t>
            </w:r>
          </w:p>
        </w:tc>
      </w:tr>
      <w:tr w:rsidR="00937908">
        <w:trPr>
          <w:trHeight w:val="17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информационной, консультативной и организационной поддержки деятельности СО НКО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ОЭР, КУИ</w:t>
            </w:r>
          </w:p>
        </w:tc>
      </w:tr>
      <w:tr w:rsidR="00937908">
        <w:trPr>
          <w:trHeight w:val="17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реестра СО НКО – получателей поддержки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ОЭР</w:t>
            </w:r>
          </w:p>
        </w:tc>
      </w:tr>
      <w:tr w:rsidR="00937908">
        <w:trPr>
          <w:trHeight w:val="17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2.3.4.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ОЭР</w:t>
            </w:r>
          </w:p>
        </w:tc>
      </w:tr>
    </w:tbl>
    <w:p w:rsidR="00937908" w:rsidRDefault="00937908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37908" w:rsidRDefault="007C5790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Перечень и краткое описание подпрограмм</w:t>
      </w:r>
    </w:p>
    <w:p w:rsidR="00937908" w:rsidRDefault="00937908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структуру программы входят три подпрограммы: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Подпрограмма 1 «Повышение инвестиционной привлекательности Печенгского муниципального округа» (приложение № 1):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 - с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подпрограммы предусматривается реализация следующих основных мероприятий: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Создание условий для развития малого и среднего предпринимательства;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Создание благоприятных условий для привлечения инвестиций в экономику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Успешная реализация мероприятий подпрограммы будет способствовать привлечению инвестиций в экономику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, развитию малого и среднего предпринимательства.</w:t>
      </w:r>
    </w:p>
    <w:p w:rsidR="00937908" w:rsidRDefault="0093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2 «Развитие туризма в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муниципальном округе» (приложение № 2):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подпрограммы является повышение туристской привлекательности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подпрограммы предусматривается реализация основного мероприятия – «Создание условий для развития туризма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округе».</w:t>
      </w:r>
    </w:p>
    <w:p w:rsidR="00937908" w:rsidRDefault="007C579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будет способствовать увеличению количества функционирующих КСР, а также росту туристического потока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округе.</w:t>
      </w:r>
    </w:p>
    <w:p w:rsidR="00937908" w:rsidRDefault="0093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Подпрограмма 3 «Взаимодействие с СО НКО» (приложение № 3):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 с</w:t>
      </w:r>
      <w:r>
        <w:rPr>
          <w:rFonts w:ascii="Times New Roman" w:hAnsi="Times New Roman" w:cs="Times New Roman"/>
          <w:sz w:val="24"/>
          <w:szCs w:val="24"/>
          <w:lang w:eastAsia="ru-RU"/>
        </w:rPr>
        <w:t>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Печенгского муниципального округа.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подпрограммы предусматривается реализация основного мероприятия – «Создание благоприятных условий развития СО НКО».</w:t>
      </w:r>
    </w:p>
    <w:p w:rsidR="00937908" w:rsidRDefault="007C579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подпрограммы будет способствовать увеличению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количества СО НКО, осуществляющих деятельность на территории Печенгского муниципального округа.</w:t>
      </w:r>
    </w:p>
    <w:p w:rsidR="00937908" w:rsidRDefault="0093790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7C5790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Механизм реализации программы</w:t>
      </w:r>
    </w:p>
    <w:p w:rsidR="00937908" w:rsidRDefault="0093790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7908" w:rsidRDefault="007C5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Печенгского муниципального округа (Отдел экономического развития администрации Печенгского муниципального округа)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ответственный исполнитель программы:</w:t>
      </w:r>
    </w:p>
    <w:p w:rsidR="00937908" w:rsidRDefault="007C5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937908" w:rsidRDefault="007C5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937908" w:rsidRDefault="007C5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937908" w:rsidRDefault="007C579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937908" w:rsidRDefault="00937908">
      <w:pPr>
        <w:pStyle w:val="aff9"/>
        <w:widowControl w:val="0"/>
        <w:tabs>
          <w:tab w:val="left" w:pos="426"/>
        </w:tabs>
        <w:spacing w:after="0" w:line="240" w:lineRule="auto"/>
        <w:ind w:left="0" w:firstLine="709"/>
        <w:contextualSpacing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7908" w:rsidRDefault="007C5790">
      <w:pPr>
        <w:widowControl w:val="0"/>
        <w:tabs>
          <w:tab w:val="left" w:pos="426"/>
        </w:tabs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Оценка эффективности программы и рисков ее реализации</w:t>
      </w: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 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Значительным риском является сокращение запланированных объемов </w:t>
      </w:r>
      <w:r>
        <w:rPr>
          <w:rFonts w:ascii="Times New Roman" w:hAnsi="Times New Roman" w:cs="Times New Roman"/>
          <w:sz w:val="24"/>
          <w:szCs w:val="24"/>
        </w:rPr>
        <w:lastRenderedPageBreak/>
        <w:t>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утрате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Печенгского муниципального округа, с целью приведения нормативно-методической базы программы в соответствие с государственной политикой на федеральном и региональном уровнях.</w:t>
      </w:r>
    </w:p>
    <w:p w:rsidR="00937908" w:rsidRDefault="007C5790">
      <w:pPr>
        <w:pStyle w:val="13"/>
        <w:widowControl w:val="0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задачам и основным мероприятиям программы для обеспечения достижения ожидаемых конечных результатов.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Несоблюдение договорных обязательств исполнителей по муниципальным контрактам, договорам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Минимизация данного риска возможна путем дальнейшего развития системы мониторинга и прогнозирования чрезвычайных ситуаций природного и техногенного характера в целях предотвращения чрезвычайных ситуаций, а также минимизации отрицательных последствий.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937908" w:rsidRDefault="007C579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 w:clear="all"/>
      </w:r>
    </w:p>
    <w:p w:rsidR="00937908" w:rsidRDefault="007C5790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37908" w:rsidRDefault="007C5790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937908" w:rsidRDefault="007C5790">
      <w:pPr>
        <w:widowControl w:val="0"/>
        <w:tabs>
          <w:tab w:val="left" w:pos="7938"/>
        </w:tabs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</w:p>
    <w:p w:rsidR="00937908" w:rsidRDefault="007C579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 1</w:t>
      </w:r>
    </w:p>
    <w:p w:rsidR="00937908" w:rsidRDefault="007C5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«Повышение инвестиционной привлекательности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округа»</w:t>
      </w:r>
    </w:p>
    <w:p w:rsidR="00937908" w:rsidRDefault="009379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937908" w:rsidRPr="00AB6276" w:rsidRDefault="0006045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постановлений</w:t>
      </w:r>
      <w:r w:rsidR="00AB6276" w:rsidRPr="00AB6276">
        <w:rPr>
          <w:rFonts w:ascii="Times New Roman" w:hAnsi="Times New Roman" w:cs="Times New Roman"/>
          <w:color w:val="0070C0"/>
          <w:sz w:val="20"/>
          <w:szCs w:val="20"/>
        </w:rPr>
        <w:t xml:space="preserve"> от 14.11.2024 № 1787</w:t>
      </w:r>
      <w:r w:rsidR="00303965">
        <w:rPr>
          <w:rFonts w:ascii="Times New Roman" w:hAnsi="Times New Roman" w:cs="Times New Roman"/>
          <w:color w:val="0070C0"/>
          <w:sz w:val="20"/>
          <w:szCs w:val="20"/>
        </w:rPr>
        <w:t xml:space="preserve"> и от 28.02.2025 № 314</w:t>
      </w:r>
      <w:r w:rsidR="00AB6276" w:rsidRPr="00AB6276">
        <w:rPr>
          <w:rFonts w:ascii="Times New Roman" w:hAnsi="Times New Roman" w:cs="Times New Roman"/>
          <w:color w:val="0070C0"/>
          <w:sz w:val="20"/>
          <w:szCs w:val="20"/>
        </w:rPr>
        <w:t>)</w:t>
      </w:r>
    </w:p>
    <w:p w:rsidR="00AB6276" w:rsidRDefault="00AB62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7517"/>
      </w:tblGrid>
      <w:tr w:rsidR="00937908">
        <w:trPr>
          <w:trHeight w:val="505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Печенгского муниципального округа «Экономический потенциал» на 2025-2027 годы</w:t>
            </w:r>
          </w:p>
        </w:tc>
      </w:tr>
      <w:tr w:rsidR="00937908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повышения инвестиционной привлекательности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</w:p>
        </w:tc>
      </w:tr>
      <w:tr w:rsidR="00937908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20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привлечения инвестиций в экономику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908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pStyle w:val="aff9"/>
              <w:numPr>
                <w:ilvl w:val="0"/>
                <w:numId w:val="9"/>
              </w:numPr>
              <w:tabs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недвижимости нежилого фонда, находящегося в собственности Печенгского муниципального округа, подлежащих к сдаче в аренду СМСП.</w:t>
            </w:r>
          </w:p>
          <w:p w:rsidR="00937908" w:rsidRDefault="007C5790">
            <w:pPr>
              <w:pStyle w:val="aff9"/>
              <w:numPr>
                <w:ilvl w:val="0"/>
                <w:numId w:val="9"/>
              </w:numPr>
              <w:tabs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актуализированного перечня договоров аренды объектов недвижимости нежилого фонда.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объектов, включенных в перечни муниципального имущества и предоставляемого СМСП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рамках оказания имущественной поддержки.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банка данных СМСП, осуществляющих деятельность на территории Печенгского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общедоступной информации, необходимой для развития СМСП, на официальном сайте Печенгского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методологической помощи СМСП в целях получения финансовой поддержки и по другим актуальным вопросам.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полномочий по сбору сведений для формирования и ведения торгового реестра.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вопросам СМСП, в том числе семинаров, тренингов, мастер-классов, конкурсов, направленных на повышение компетенции и конкурентоспособности СМСП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реализации мер, направленных на развитие СМСП.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3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Совета по улучшению инвестиционного климата и развитию предпринимательства.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  <w:tab w:val="left" w:pos="3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налоговых льгот юридическим лицам и индивидуальным предпринимателям, получившим статус резидента Арктической зоны РФ, а так 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  <w:tab w:val="left" w:pos="3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регулирующих коэффициентов при расчете арендной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платы за земельные участки, предоставленные в аренду без проведения торгов,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округа, а также юридическим лицам и индивидуальным предпринимателям, получившим статус Арктической зоны РФ. 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  <w:tab w:val="left" w:pos="3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актуализированного инвестиционного профиля Печенгского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  <w:tab w:val="left" w:pos="3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актуализированного инвестиционного профиля Печенгского муниципального округа, согласованного Главой Печенгского муниципального округа, на официальном сайте Печенгского муниципального округа в сети Интернет.</w:t>
            </w:r>
          </w:p>
        </w:tc>
      </w:tr>
      <w:tr w:rsidR="00937908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2025 - 2027 годы </w:t>
            </w:r>
          </w:p>
        </w:tc>
      </w:tr>
      <w:tr w:rsidR="00937908">
        <w:trPr>
          <w:trHeight w:val="331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937908" w:rsidRDefault="007C579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937908" w:rsidRDefault="0093790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08" w:rsidRDefault="0093790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по подпрограмме: </w:t>
            </w:r>
            <w:r w:rsidR="00AB6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2 009,1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</w:t>
            </w:r>
          </w:p>
          <w:p w:rsidR="00937908" w:rsidRDefault="00AB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ОБ:  119,1</w:t>
            </w:r>
            <w:r w:rsidR="007C57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AB6276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AB6276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год: </w:t>
            </w:r>
            <w:r w:rsidR="00AB6276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300,0 тыс. рублей, из них: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100,0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100,0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100,0 тыс. рублей;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1590,0 тыс. рублей, из них: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530,0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530,0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530,0 тыс. рублей.</w:t>
            </w:r>
          </w:p>
        </w:tc>
      </w:tr>
      <w:tr w:rsidR="00937908">
        <w:trPr>
          <w:trHeight w:val="189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инвестиционного и предпринимательского климата, повышение инвестиционной привлекательности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Печенгского муниципального округа – рост количества малых,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 концу 2027 года до 873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объема инвестиций в основной капитал (за исключением бюджетных средств) в расчете на 1 жителя в 2027 году до 400,2 тыс. рублей; </w:t>
            </w:r>
          </w:p>
        </w:tc>
      </w:tr>
      <w:tr w:rsidR="00937908">
        <w:trPr>
          <w:trHeight w:val="553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48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C">
              <w:rPr>
                <w:rFonts w:ascii="Times New Roman" w:eastAsia="TimesNewRomanPSMT" w:hAnsi="Times New Roman" w:cs="Times New Roman"/>
                <w:sz w:val="24"/>
                <w:szCs w:val="24"/>
              </w:rPr>
              <w:t>Сектор инвестиционной деятельности</w:t>
            </w:r>
          </w:p>
        </w:tc>
      </w:tr>
      <w:tr w:rsidR="00937908">
        <w:trPr>
          <w:trHeight w:val="342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 w:rsidP="00487D2C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КУИ, </w:t>
            </w:r>
            <w:r w:rsidR="00487D2C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</w:p>
        </w:tc>
      </w:tr>
      <w:tr w:rsidR="00937908">
        <w:trPr>
          <w:trHeight w:val="342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АНО «Центр социальных проектов Печенгского района «Вторая школа»</w:t>
            </w:r>
          </w:p>
        </w:tc>
      </w:tr>
    </w:tbl>
    <w:p w:rsidR="00937908" w:rsidRDefault="00937908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937908" w:rsidRDefault="007C5790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37908" w:rsidRDefault="007C5790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937908" w:rsidRDefault="009379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908" w:rsidRDefault="007C579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937908" w:rsidRDefault="007C5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 Печенгского муниципального округа,</w:t>
      </w:r>
    </w:p>
    <w:p w:rsidR="00937908" w:rsidRDefault="007C5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предназначенного для передачи во владение и (или) пользование СМСП</w:t>
      </w:r>
    </w:p>
    <w:p w:rsidR="00937908" w:rsidRDefault="0093790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1403"/>
        <w:gridCol w:w="1843"/>
        <w:gridCol w:w="1417"/>
        <w:gridCol w:w="1134"/>
        <w:gridCol w:w="992"/>
        <w:gridCol w:w="836"/>
        <w:gridCol w:w="708"/>
        <w:gridCol w:w="851"/>
      </w:tblGrid>
      <w:tr w:rsidR="00937908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реестре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обладатель</w:t>
            </w:r>
          </w:p>
        </w:tc>
      </w:tr>
      <w:tr w:rsidR="00937908">
        <w:trPr>
          <w:trHeight w:val="2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37908">
        <w:trPr>
          <w:trHeight w:val="1527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01.000010851110851000003042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подвал, 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/1,2,2а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 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КУИ </w:t>
            </w:r>
          </w:p>
        </w:tc>
      </w:tr>
      <w:tr w:rsidR="00937908">
        <w:trPr>
          <w:trHeight w:val="169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часть 1-го этажа № II/ч. 1, ч. 2, 2а,13,14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 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40,05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721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часть 1-го этажа 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60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этаж № II/ч. 1,ч.2, 3-12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631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первый этаж 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643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01.000010851НЗ0021010600621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 этаж, № I/1,1а-5,8-10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01.0001108510000000235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подвал, цоколь № II/8,15, ч.1(0,9), 2(2,92),6(0,62),7(0,62)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46,46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01.0001108510000000226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подвал, цоколь, № I/ч.1, ч2, ч.7, ч.8, ч.9, 3-6, 10,12,13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613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01.0001108510000000227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II/ч.1,ч.2,ч.6,ч.7,ч.10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01.0001108510000000229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II/4,5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01.0001108510000000234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II/14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01.000010851110851000003044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(19) 1-20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подвал, № II/1-8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1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01.000010851000020010106272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четвертый, № 3а/1-34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09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01.000010851НЗ0010010110138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III/1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01.000010851НЗ0010010110138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II, IV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1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01.000010851110851000003055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II/12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09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(21) 1-6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II/1-8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0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01.000010851100851000003052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IV/1-6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0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III/1-5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1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01.000010851110851000003049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I/1-6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697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II/1-14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0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01.000010851110851000002977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26а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II/1(4,15), 2,3,4(7,8),5,9-20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123,15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0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01.0001108510000001496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цоколь, № V/1-11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8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01.000010851НП1085100000009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III/19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8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01.000010851НП1085100000009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III/1-10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09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01.0001108510000000230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28а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II/1-9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2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01.000010851110851000002980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33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VII/1-5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08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01.000010851110851000002971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проспект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Гвардейский, д. 37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этаж первый, № II/1-4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273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01.000010851НЗ0010010110136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39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4а/1-10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412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01.000010851НЗ0010010110228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II/1-9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I/20,25,27,28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344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01.000010851110851000002998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II/1-4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II/13-15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09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01.000010851НЗ0010010110162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Октябрьская, д. 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II/1-5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01.000010851110851000003038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Мира, д. 24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I/1-10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7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Мира, д. 32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I/1-11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улица Мира, д. 32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этаж подвал, 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/1-12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119,10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01.000010851110851000002992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5/11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II/1-4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2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01.000010851110851000002986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Спортивная, д. 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(24) 1-7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8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01.000010851НЗ002010600203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Советская, д. 22а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01.000010851НЗ0010010110227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Раякоски</w:t>
            </w:r>
            <w:proofErr w:type="spell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353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0512085.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Лиинахамари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Северная, д. 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7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0512028.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Печенга, военный городок № 13,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4а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09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Юбилейная, д. 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8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Юбилейная, д. 13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I/1-3, III/1-9, IV/1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276,10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2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01.0001108510000001496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Юбилейная, д. 17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цоколь, № I/11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8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Юбилейная, д. 18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III/1-35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487,90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1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1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I/8,8а (57,9), ч. I/1,2,4 (10,4)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8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9,9а,ч. 1,2,4 (I)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8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ч. V/1 (3)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V/2 (2,6), ч. V/1 (1)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7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первый, № V/27,27а,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/26 (3,7)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V/28,29 и ч. 26,30,31,32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233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V/26а,40,41,42,44,45,46 (122,7), ч. 1(1,8), 2 (2), 26 (2), 30 (0,7), 31 (0,6), 43 (37,2)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89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V/47 (8,6), ч. V/1 (0,5), V/2 (1,5), V/43 (14,4)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V/4 (8,3), ч. V/2 (1,6)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VI/24, 24а,25 (51,1), ч. VI/2 (5,5)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38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VI/26 (12,3), ч. VI/2 (1,8)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0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второй, № VI/12 (9,7), ч. VI/11 (1,5), ч.VI/2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124,10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4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VI/18,22,27 (66,5), ч. VI/2 (2,5)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1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VI/8 (29,1), ч. VI/11 (4,3)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второй, № VI/ч. 2Б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Космонавтов, д. 14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III/1-6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Крупской, д. 10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I/2-4,12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358,90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II/37-41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д.17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2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д.18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подвал, № III/1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09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д.20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д.22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108,10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Ленина, д.33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этаж подвал, № II/1-11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II/24а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273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II/89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II/45,86,88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второй № V/4-23, II/11-18,24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II/99,100, этаж третий VIII/13,14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I/1,2,4-12,14-16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II/48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274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II/53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Мира, д. 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IV/1-3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Мира, д. 10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II/12-15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89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Мира, д. 13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54/1-6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пер. Советский, д. 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III/1-4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пер. Советский, д. 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I/1-2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пер. Советский, д. 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58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Терешковой, д. 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IV/1-2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Терешковой, д. 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IV/3-8 (56,8), ч. 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848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район пропускного пункта КПП АО "Кольская ГМК"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сооружение - автостоянка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3 855,0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Ленинградская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4 250,0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272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этаж первый, № II/50-52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99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II/67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41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 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II/90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349,10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24а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цоколь№ III/3,8,11,15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2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5/11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I/1-3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06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10 206,00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712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33 554,00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669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618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I/19,20,32,37-42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487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I/33-36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39,90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проспект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Гвардейский, д. 23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этаж первый, № I/1-16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г. Заполярный, ул. Ленина, д. 33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150,50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г. Заполярный, ул. Ленина, д. 37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г. Заполярный, ул. Ленина, д. 33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г. Заполярный, ул. Ленина, д. 33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г. Заполярный, ул. Ленина, д. 33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г. Заполярный, ул. Ленина, д. 33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</w:tbl>
    <w:p w:rsidR="00937908" w:rsidRDefault="0093790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  <w:sectPr w:rsidR="00937908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Таблица 1 </w:t>
      </w: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1</w:t>
      </w:r>
    </w:p>
    <w:p w:rsidR="00937908" w:rsidRDefault="007C57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937908" w:rsidRDefault="007C57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подпрограммы с объёмом финансирования</w:t>
      </w:r>
    </w:p>
    <w:p w:rsidR="00937908" w:rsidRPr="008F6A4A" w:rsidRDefault="008F6A4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8F6A4A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постановления от 14.11.2024 № 1787)</w:t>
      </w: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4535"/>
        <w:gridCol w:w="1275"/>
        <w:gridCol w:w="1133"/>
        <w:gridCol w:w="9"/>
        <w:gridCol w:w="1124"/>
        <w:gridCol w:w="9"/>
        <w:gridCol w:w="1266"/>
        <w:gridCol w:w="9"/>
        <w:gridCol w:w="1127"/>
        <w:gridCol w:w="9"/>
        <w:gridCol w:w="1197"/>
        <w:gridCol w:w="2562"/>
      </w:tblGrid>
      <w:tr w:rsidR="00937908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501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572" w:type="pct"/>
            <w:gridSpan w:val="8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848" w:type="pct"/>
            <w:vMerge w:val="restart"/>
            <w:shd w:val="clear" w:color="auto" w:fill="auto"/>
            <w:vAlign w:val="center"/>
          </w:tcPr>
          <w:p w:rsidR="00937908" w:rsidRDefault="007C579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937908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937908">
        <w:tc>
          <w:tcPr>
            <w:tcW w:w="28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937908">
        <w:trPr>
          <w:trHeight w:val="241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«Повышение инвестиционной привлекательности Печенгского муниципального округа»</w:t>
            </w:r>
          </w:p>
        </w:tc>
      </w:tr>
      <w:tr w:rsidR="00937908">
        <w:trPr>
          <w:trHeight w:val="288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повышения инвестиционной привлекательности Печенгского муниципального округа</w:t>
            </w:r>
          </w:p>
        </w:tc>
      </w:tr>
      <w:tr w:rsidR="00937908">
        <w:trPr>
          <w:trHeight w:val="281"/>
        </w:trPr>
        <w:tc>
          <w:tcPr>
            <w:tcW w:w="5000" w:type="pct"/>
            <w:gridSpan w:val="13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Создание условий для развития малого и среднего предпринимательства</w:t>
            </w:r>
          </w:p>
        </w:tc>
      </w:tr>
      <w:tr w:rsidR="00937908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Имущественная поддержка СМСП</w:t>
            </w:r>
          </w:p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требует финансирования</w:t>
            </w: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 актуализация банка данных СМСП, осуществляющих деятельность на территории Печенгского муниципального округа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общедоступной информации, необходимой для развития СМСП 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деятельности, КУИ.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 w:val="restart"/>
            <w:tcBorders>
              <w:bottom w:val="none" w:sz="4" w:space="0" w:color="000000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1.1.4.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tabs>
                <w:tab w:val="left" w:pos="2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Методологическая помощь СМСП в целях получения финансовой поддержки и по другим актуальным вопросам</w:t>
            </w:r>
          </w:p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деятельности, КУИ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937908">
        <w:trPr>
          <w:trHeight w:val="212"/>
        </w:trPr>
        <w:tc>
          <w:tcPr>
            <w:tcW w:w="282" w:type="pct"/>
            <w:vMerge/>
            <w:tcBorders>
              <w:bottom w:val="none" w:sz="4" w:space="0" w:color="000000"/>
            </w:tcBorders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tcBorders>
              <w:bottom w:val="none" w:sz="4" w:space="0" w:color="000000"/>
            </w:tcBorders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tcBorders>
              <w:bottom w:val="none" w:sz="4" w:space="0" w:color="000000"/>
            </w:tcBorders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53"/>
        </w:trPr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1.1.5.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Сбор сведений для формирования и ведения торгового реестра   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119,1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39,9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119,1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39,9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39,6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39,6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1.1.6.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tabs>
                <w:tab w:val="left" w:pos="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t xml:space="preserve">мероприятий по вопросам СМСП, в том числе семинаров, тренингов, мастер-классов, конкурсов, направленных на повышение компетенции и конкурентоспособности СМСП и </w:t>
            </w:r>
            <w:proofErr w:type="spellStart"/>
            <w:r>
              <w:rPr>
                <w:rFonts w:ascii="Times New Roman" w:hAnsi="Times New Roman" w:cs="Times New Roman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деятельности, АНО «Центр социальных проектов Печенгского района «Вторая школа»</w:t>
            </w: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96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1.1.7.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эффективности реализации мер, направленных на развитие СМСП, прогнозирование развития СМСП на территории Печенгского муниципального округа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8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10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65"/>
        </w:trPr>
        <w:tc>
          <w:tcPr>
            <w:tcW w:w="2205" w:type="pct"/>
            <w:gridSpan w:val="3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 по основному мероприятию 1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65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119,1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39,9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65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65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65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419,1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139,9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139,6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 w:rsidP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8F6A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70"/>
        </w:trPr>
        <w:tc>
          <w:tcPr>
            <w:tcW w:w="5000" w:type="pct"/>
            <w:gridSpan w:val="13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2. Создание благоприятных условий для привлечения инвестиций в экономику Печенгского муниципального округа</w:t>
            </w:r>
          </w:p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</w:pPr>
          </w:p>
        </w:tc>
      </w:tr>
      <w:tr w:rsidR="00937908">
        <w:trPr>
          <w:trHeight w:val="50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заседаний Совета по улучшению инвестиционного климата и развитию предпринимательства при Главе Печенгского муниципального округа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101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50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Стимулирование и активизация инвестиционной и предпринимательской деятельности на территории Печенгского муниципального округа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23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19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5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1.2.3.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Актуализация инвестиционного профиля Печенгского муниципального округа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деятельности; АНО «Центр социальных проектов Печенгского района «Вторая школа»</w:t>
            </w:r>
          </w:p>
        </w:tc>
      </w:tr>
      <w:tr w:rsidR="00937908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19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1590,0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30"/>
        </w:trPr>
        <w:tc>
          <w:tcPr>
            <w:tcW w:w="2205" w:type="pct"/>
            <w:gridSpan w:val="3"/>
            <w:vMerge w:val="restart"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 по основному мероприятию 2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30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19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30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1590,0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79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1590,0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205" w:type="pct"/>
            <w:gridSpan w:val="3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lang w:eastAsia="ru-RU"/>
              </w:rPr>
            </w:pPr>
          </w:p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Всего по подпрограмме 1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119,1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39,9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39,6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39,6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1590,0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2009,1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669,9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669,6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669,6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37908" w:rsidRDefault="009379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937908" w:rsidRDefault="007C57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937908" w:rsidRDefault="009379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подпрограмме 1</w:t>
      </w:r>
    </w:p>
    <w:p w:rsidR="00937908" w:rsidRDefault="007C5790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908" w:rsidRDefault="007C5790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подпрограммы с показателями результативности выполнения мероприятий</w:t>
      </w:r>
    </w:p>
    <w:p w:rsidR="00937908" w:rsidRDefault="00937908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417"/>
        <w:gridCol w:w="3828"/>
        <w:gridCol w:w="992"/>
        <w:gridCol w:w="992"/>
        <w:gridCol w:w="992"/>
        <w:gridCol w:w="993"/>
        <w:gridCol w:w="1701"/>
      </w:tblGrid>
      <w:tr w:rsidR="00937908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Ед. </w:t>
            </w: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937908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170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937908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«Повышение инвестиционной привлекательности Печенгского муниципального округа»</w:t>
            </w:r>
          </w:p>
        </w:tc>
      </w:tr>
      <w:tr w:rsidR="00937908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повышения инвестиционной привлекательности Печенгского муниципального округа</w:t>
            </w:r>
          </w:p>
        </w:tc>
      </w:tr>
      <w:tr w:rsidR="00937908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Создание условий для развития малого и среднего предпринимательства</w:t>
            </w:r>
          </w:p>
        </w:tc>
      </w:tr>
      <w:tr w:rsidR="00937908">
        <w:trPr>
          <w:trHeight w:val="1304"/>
        </w:trPr>
        <w:tc>
          <w:tcPr>
            <w:tcW w:w="851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Имущественная поддержка СМСП</w:t>
            </w:r>
          </w:p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объектов недвижимости нежилого фонда, находящегося в собственности Печенгского муниципального округа, подлежащих к сдаче в аренду СМСП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115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116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117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c>
          <w:tcPr>
            <w:tcW w:w="85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актуализированного перечня договоров аренды объектов недвижимости нежилого фонда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c>
          <w:tcPr>
            <w:tcW w:w="85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Увеличение доли объектов, включенных  в перечни муниципального имущества и предоставляемого СМСП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гражданам в рамках оказания имущественной поддержки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170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3544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 актуализация банка данных СМСП, осуществляющих деятельность на территории Печенгского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банка данных СМСП, осуществляющих деятельность на территории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93790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 актуализация общедоступной информации, необходимой для развития СМСП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Размещение общедоступной информации, необходимой для развития СМСП на официальном сайте Печенгского муниципального округа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1.1.4.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tabs>
                <w:tab w:val="left" w:pos="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Методологическая помощь СМСП </w:t>
            </w:r>
            <w:r>
              <w:rPr>
                <w:rFonts w:ascii="Times New Roman" w:hAnsi="Times New Roman" w:cs="Times New Roman"/>
              </w:rPr>
              <w:lastRenderedPageBreak/>
              <w:t>в целях получения финансовой поддержки и по другим актуальным вопросам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2025-2027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методологической помощи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СМСП по актуальным вопросам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да/нет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инвестиционной деятельности,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1.1.5.</w:t>
            </w:r>
          </w:p>
        </w:tc>
        <w:tc>
          <w:tcPr>
            <w:tcW w:w="3544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сведений для формирования и ведения торгового реестра</w:t>
            </w:r>
          </w:p>
        </w:tc>
        <w:tc>
          <w:tcPr>
            <w:tcW w:w="1417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1.1.6.</w:t>
            </w:r>
          </w:p>
        </w:tc>
        <w:tc>
          <w:tcPr>
            <w:tcW w:w="3544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t xml:space="preserve">мероприятий по вопросам СМСП, в том числе семинаров, тренингов, мастер-классов, конкурсов, направленных на повышение компетенции и конкурентоспособности СМСП и </w:t>
            </w:r>
            <w:proofErr w:type="spellStart"/>
            <w:r>
              <w:rPr>
                <w:rFonts w:ascii="Times New Roman" w:hAnsi="Times New Roman" w:cs="Times New Roman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1417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проведенных мероприятий по вопросам СМСП, </w:t>
            </w:r>
            <w:r>
              <w:rPr>
                <w:rFonts w:ascii="Times New Roman" w:hAnsi="Times New Roman" w:cs="Times New Roman"/>
              </w:rPr>
              <w:t xml:space="preserve">в том числе семинаров, тренингов, мастер-классов, конкурсов, направленных на повышение компетенции и конкурентоспособности СМСП и </w:t>
            </w:r>
            <w:proofErr w:type="spellStart"/>
            <w:r>
              <w:rPr>
                <w:rFonts w:ascii="Times New Roman" w:hAnsi="Times New Roman" w:cs="Times New Roman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деятельности, АНО «Центр социальных проектов Печенгского района «Вторая школа»</w:t>
            </w: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1.1.7.</w:t>
            </w:r>
          </w:p>
        </w:tc>
        <w:tc>
          <w:tcPr>
            <w:tcW w:w="3544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эффективности реализации мер, направленных на развитие СМСП, прогнозирование развития СМСП на территории Печенгского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анализа эффективности реализации мер, направленных на развитие СМСП на территории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937908">
        <w:tc>
          <w:tcPr>
            <w:tcW w:w="15310" w:type="dxa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Основное мероприятие 2. Создание благоприятных условий для привлечения инвестиций в экономику Печенгского муниципального округа  </w:t>
            </w: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3544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заседаний Совета по улучшению инвестиционного климата и развитию предпринимательства при Главе Печенгского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заседаний Совета по улучшению инвестиционного климата и развитию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937908">
        <w:tc>
          <w:tcPr>
            <w:tcW w:w="851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Стимулирование и активизация инвестиционной и предпринимательской деятельности на территории Печенгского муниципального округа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налоговых льгот юридическим лицам и индивидуальным предпринимателям, получившим статус резидента Арктической зоны РФ, а также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ОЭР, 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937908">
        <w:tc>
          <w:tcPr>
            <w:tcW w:w="85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Применение регулирующих коэффициентов при расчете арендной платы за земельные участки, предоставленные в аренду без проведения торгов,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округа, а также юридическим лицам и индивидуальным предпринимателям, получившим статус резидента Арктической зоны РФ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c>
          <w:tcPr>
            <w:tcW w:w="851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1.2.3.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Актуализация инвестиционного профиля Печенгского муниципального округа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актуализированного  инвестиционного профиля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деятельности; соисполнитель АНО «Центр социальных проектов Печенгского района «Вторая школа»</w:t>
            </w:r>
          </w:p>
        </w:tc>
      </w:tr>
      <w:tr w:rsidR="00937908">
        <w:tc>
          <w:tcPr>
            <w:tcW w:w="85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Размещение актуализированного  инвестиционного профиля Печенгского муниципального округа, согласованного Главой Печенгского муниципального округа, на официальном сайте Печенгского муниципального округа в сети Интернет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</w:tbl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937908">
          <w:pgSz w:w="16838" w:h="11906" w:orient="landscape"/>
          <w:pgMar w:top="993" w:right="1134" w:bottom="709" w:left="1134" w:header="709" w:footer="709" w:gutter="0"/>
          <w:cols w:space="708"/>
          <w:docGrid w:linePitch="360"/>
        </w:sectPr>
      </w:pPr>
    </w:p>
    <w:p w:rsidR="00937908" w:rsidRDefault="007C57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37908" w:rsidRDefault="007C57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937908" w:rsidRDefault="007C5790">
      <w:pPr>
        <w:widowControl w:val="0"/>
        <w:tabs>
          <w:tab w:val="left" w:pos="7938"/>
        </w:tabs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</w:p>
    <w:p w:rsidR="00937908" w:rsidRDefault="007C579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 2</w:t>
      </w:r>
    </w:p>
    <w:p w:rsidR="00937908" w:rsidRDefault="007C5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туризма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937908" w:rsidRDefault="00937908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937908" w:rsidRDefault="007C5790">
      <w:pPr>
        <w:pStyle w:val="aff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937908" w:rsidRDefault="007C579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07199D"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</w:t>
      </w:r>
      <w:r w:rsidR="00487D2C">
        <w:rPr>
          <w:rFonts w:ascii="Times New Roman" w:hAnsi="Times New Roman" w:cs="Times New Roman"/>
          <w:color w:val="0070C0"/>
          <w:sz w:val="20"/>
          <w:szCs w:val="20"/>
        </w:rPr>
        <w:t>й</w:t>
      </w:r>
      <w:r w:rsidRPr="0007199D">
        <w:rPr>
          <w:rFonts w:ascii="Times New Roman" w:hAnsi="Times New Roman" w:cs="Times New Roman"/>
          <w:color w:val="0070C0"/>
          <w:sz w:val="20"/>
          <w:szCs w:val="20"/>
        </w:rPr>
        <w:t xml:space="preserve"> от 14.11.2024 № 1787</w:t>
      </w:r>
      <w:r w:rsidR="00490152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 w:rsidR="00303965">
        <w:rPr>
          <w:rFonts w:ascii="Times New Roman" w:hAnsi="Times New Roman" w:cs="Times New Roman"/>
          <w:color w:val="0070C0"/>
          <w:sz w:val="20"/>
          <w:szCs w:val="20"/>
        </w:rPr>
        <w:t>от 28</w:t>
      </w:r>
      <w:r w:rsidR="00487D2C">
        <w:rPr>
          <w:rFonts w:ascii="Times New Roman" w:hAnsi="Times New Roman" w:cs="Times New Roman"/>
          <w:color w:val="0070C0"/>
          <w:sz w:val="20"/>
          <w:szCs w:val="20"/>
        </w:rPr>
        <w:t xml:space="preserve">.02.2025 № </w:t>
      </w:r>
      <w:r w:rsidR="00303965">
        <w:rPr>
          <w:rFonts w:ascii="Times New Roman" w:hAnsi="Times New Roman" w:cs="Times New Roman"/>
          <w:color w:val="0070C0"/>
          <w:sz w:val="20"/>
          <w:szCs w:val="20"/>
        </w:rPr>
        <w:t>314</w:t>
      </w:r>
      <w:r w:rsidR="0006045D">
        <w:rPr>
          <w:rFonts w:ascii="Times New Roman" w:hAnsi="Times New Roman" w:cs="Times New Roman"/>
          <w:color w:val="0070C0"/>
          <w:sz w:val="20"/>
          <w:szCs w:val="20"/>
        </w:rPr>
        <w:t>,</w:t>
      </w:r>
      <w:r w:rsidR="00490152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490152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от 28.05.2025 № 915</w:t>
      </w:r>
      <w:r w:rsidR="00D6595C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и от 29.08.2025 № 1404</w:t>
      </w:r>
      <w:r w:rsidR="00490152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07199D" w:rsidRPr="0007199D" w:rsidRDefault="0007199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93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0"/>
        <w:gridCol w:w="6953"/>
      </w:tblGrid>
      <w:tr w:rsidR="00937908">
        <w:trPr>
          <w:trHeight w:val="505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Печенгского муниципального округа «Экономический потенциал» на 2025-2027 годы</w:t>
            </w:r>
          </w:p>
        </w:tc>
      </w:tr>
      <w:tr w:rsidR="00937908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Повышение туристской привлекательности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</w:p>
        </w:tc>
      </w:tr>
      <w:tr w:rsidR="00937908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туризма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</w:tr>
      <w:tr w:rsidR="00937908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единого реестра туристской инфраструктуры Печенгского муниципального округа.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информационных сообщений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 в СМИ, социальных сетях, официальном сайте Печенгского муниципального округа.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разработанной проектной документации по проекту «Туристический кластер Печенгского муниципального округа – «Кольская сверхглубокая», «Плавильный цех», «Шахта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Каула-Котсельваара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функционирующих КСР.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реестра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производителей сувенирной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конкурсов.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на информационных и тематических площадках (сайты, мессенджеры, социальные сети), официальном сайте Печенгского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направленных предложений о включении мероприятий в региональный реестр «51 событие».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в организации и проведении которых оказано содействие.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общеобразовательных организаций, участвующих в развитии школьного туризма</w:t>
            </w:r>
          </w:p>
        </w:tc>
      </w:tr>
      <w:tr w:rsidR="00937908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2025 - 2027 годы </w:t>
            </w:r>
          </w:p>
        </w:tc>
      </w:tr>
      <w:tr w:rsidR="00937908">
        <w:trPr>
          <w:trHeight w:val="331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937908" w:rsidRDefault="007C579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937908" w:rsidRDefault="0093790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08" w:rsidRDefault="0093790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подпрограмме:  </w:t>
            </w:r>
            <w:r w:rsidR="00060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060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07199D">
              <w:rPr>
                <w:rFonts w:ascii="Times New Roman" w:hAnsi="Times New Roman" w:cs="Times New Roman"/>
                <w:b/>
                <w:sz w:val="24"/>
                <w:szCs w:val="24"/>
              </w:rPr>
              <w:t>34,0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рублей,</w:t>
            </w:r>
          </w:p>
          <w:p w:rsidR="0007199D" w:rsidRDefault="00487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ОБ: 7</w:t>
            </w:r>
            <w:r w:rsidR="0007199D">
              <w:rPr>
                <w:rFonts w:ascii="Times New Roman" w:hAnsi="Times New Roman" w:cs="Times New Roman"/>
                <w:sz w:val="24"/>
                <w:szCs w:val="24"/>
              </w:rPr>
              <w:t>00,0 тыс. рублей, из них:</w:t>
            </w:r>
          </w:p>
          <w:p w:rsidR="0007199D" w:rsidRDefault="00487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год: 7</w:t>
            </w:r>
            <w:r w:rsidR="0007199D">
              <w:rPr>
                <w:rFonts w:ascii="Times New Roman" w:hAnsi="Times New Roman" w:cs="Times New Roman"/>
                <w:sz w:val="24"/>
                <w:szCs w:val="24"/>
              </w:rPr>
              <w:t>00,0 тыс. рублей,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рублей,</w:t>
            </w:r>
          </w:p>
          <w:p w:rsidR="00937908" w:rsidRDefault="00060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16</w:t>
            </w:r>
            <w:r w:rsidR="0007199D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  <w:r w:rsidR="007C57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0604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19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437,0 тыс. рублей,</w:t>
            </w:r>
          </w:p>
          <w:p w:rsidR="00937908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437,0 тыс. рублей,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937908">
        <w:trPr>
          <w:trHeight w:val="189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pStyle w:val="aff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функционирующих КСР к 2027 году до 15 единиц.</w:t>
            </w:r>
          </w:p>
          <w:p w:rsidR="00937908" w:rsidRDefault="007C5790">
            <w:pPr>
              <w:pStyle w:val="aff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 туристического потока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лиц, размещенных в КСР)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ежегодно на 5% к уровню предыдущего года.</w:t>
            </w:r>
          </w:p>
        </w:tc>
      </w:tr>
      <w:tr w:rsidR="00937908">
        <w:trPr>
          <w:trHeight w:val="553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Консультант по приграничному сотрудничеству</w:t>
            </w:r>
          </w:p>
        </w:tc>
      </w:tr>
      <w:tr w:rsidR="00937908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 w:rsidP="0049015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КУИ, Отдел образования; МБОУ СОШ № 1, 3, 5, 7, 9, 11, 19, 23; МБОУ ООШ № 20, 22</w:t>
            </w:r>
          </w:p>
        </w:tc>
      </w:tr>
      <w:tr w:rsidR="00937908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«Центр социальных проектов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 района «Вторая школа»</w:t>
            </w:r>
          </w:p>
        </w:tc>
      </w:tr>
    </w:tbl>
    <w:p w:rsidR="00937908" w:rsidRDefault="009379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937908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Таблица 1</w:t>
      </w: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подпрограмме 2</w:t>
      </w:r>
    </w:p>
    <w:p w:rsidR="00937908" w:rsidRDefault="0093790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908" w:rsidRDefault="007C57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подпрограммы с объёмом финансирования</w:t>
      </w:r>
    </w:p>
    <w:p w:rsidR="00937908" w:rsidRPr="00F77312" w:rsidRDefault="00F7731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77312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</w:t>
      </w:r>
      <w:r w:rsidR="00487D2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й</w:t>
      </w:r>
      <w:r w:rsidRPr="00F77312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от 14.11.2024 № 1787</w:t>
      </w:r>
      <w:r w:rsidR="00490152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,</w:t>
      </w:r>
      <w:r w:rsidR="0030396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от 28</w:t>
      </w:r>
      <w:r w:rsidR="00487D2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.02.2025 № </w:t>
      </w:r>
      <w:r w:rsidR="0030396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314</w:t>
      </w:r>
      <w:r w:rsidR="0006045D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,</w:t>
      </w:r>
      <w:r w:rsidR="00490152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</w:t>
      </w:r>
      <w:r w:rsidR="00490152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от 28.05.2025 № 915</w:t>
      </w:r>
      <w:r w:rsidR="0006045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и от 29.08.2025 № </w:t>
      </w:r>
      <w:r w:rsidR="00D6595C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1404</w:t>
      </w:r>
      <w:bookmarkStart w:id="0" w:name="_GoBack"/>
      <w:bookmarkEnd w:id="0"/>
      <w:r w:rsidR="00490152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F77312" w:rsidRDefault="00F7731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4825"/>
        <w:gridCol w:w="1417"/>
        <w:gridCol w:w="1275"/>
        <w:gridCol w:w="1133"/>
        <w:gridCol w:w="1275"/>
        <w:gridCol w:w="1139"/>
        <w:gridCol w:w="1278"/>
        <w:gridCol w:w="1913"/>
      </w:tblGrid>
      <w:tr w:rsidR="00937908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597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97" w:type="pct"/>
            <w:gridSpan w:val="4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937908" w:rsidRDefault="007C579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937908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37908">
        <w:tc>
          <w:tcPr>
            <w:tcW w:w="28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937908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937908" w:rsidRDefault="007C5790" w:rsidP="00F77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2. «Развитие туризма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муниципальном округе»</w:t>
            </w:r>
          </w:p>
        </w:tc>
      </w:tr>
      <w:tr w:rsidR="00937908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Цель: Повышение туристской привлекательности Печенгского муниципального округа</w:t>
            </w:r>
          </w:p>
        </w:tc>
      </w:tr>
      <w:tr w:rsidR="00937908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</w:t>
            </w:r>
            <w:r>
              <w:rPr>
                <w:rFonts w:ascii="Times New Roman" w:hAnsi="Times New Roman" w:cs="Times New Roman"/>
                <w:b/>
              </w:rPr>
              <w:t xml:space="preserve">оздание условий для развития туризма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муниципальном округе</w:t>
            </w:r>
          </w:p>
        </w:tc>
      </w:tr>
      <w:tr w:rsidR="00937908">
        <w:trPr>
          <w:trHeight w:val="18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единого реестра туристской инфраструктуры Печенгского муниципального округа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12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17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бизнеса к участию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конкурсах с целью развития инфраструктуры туризма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округе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2.1.3.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проекта «Туристический кластер Печенгского муниципального округа – «Кольская сверхглубокая», «Плавильный цех», «Шахта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Каула-Котсельваара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по приграничному сотрудничеству, КУИ, АНО «Центр социальных проектов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Печенгского района «Вторая школа»</w:t>
            </w: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2.1.4.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в реализации создания туристской инфраструктуры на территории Печенгского муниципального округа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требует финансирования</w:t>
            </w:r>
          </w:p>
        </w:tc>
      </w:tr>
      <w:tr w:rsidR="00937908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59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реестра местных производителей сувенирной продукции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конкурса цифрового контента (фото, видео) в целях продвижения туристского потенциала Печенгского муниципального округа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Продвижение туристского потенциала Печенгского муниципального округа на бесплатных информационных ресурсах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 предложений о включении мероприятий в региональный реестр «51 событие»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в организации и проведении событийных мероприятий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округе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2.1.10.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школьного образовательного туризма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образования; МБОУ СОШ №№ 1, 3, 5, 7, 9, </w:t>
            </w:r>
            <w:r w:rsidR="00490152">
              <w:rPr>
                <w:rFonts w:ascii="Times New Roman" w:hAnsi="Times New Roman" w:cs="Times New Roman"/>
                <w:sz w:val="18"/>
                <w:szCs w:val="18"/>
              </w:rPr>
              <w:t>11, 19, 23; МБОУ ООШ №№ 20, 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9015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48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48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7C579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06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F77312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06045D" w:rsidP="0006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77312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377,0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377,0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06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  <w:r w:rsidR="00F77312">
              <w:rPr>
                <w:rFonts w:ascii="Times New Roman" w:eastAsia="Times New Roman" w:hAnsi="Times New Roman" w:cs="Times New Roman"/>
                <w:b/>
                <w:lang w:eastAsia="ru-RU"/>
              </w:rPr>
              <w:t>54,0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06045D" w:rsidP="0048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="00F77312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377,0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377,0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55"/>
        </w:trPr>
        <w:tc>
          <w:tcPr>
            <w:tcW w:w="2348" w:type="pct"/>
            <w:gridSpan w:val="3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 по основному мероприятию 1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5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48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773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C579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48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773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C579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5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06045D" w:rsidP="0006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  <w:r w:rsidR="00F77312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06045D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77312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5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32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06045D" w:rsidP="0048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  <w:r w:rsidR="00F77312">
              <w:rPr>
                <w:rFonts w:ascii="Times New Roman" w:eastAsia="Times New Roman" w:hAnsi="Times New Roman" w:cs="Times New Roman"/>
                <w:b/>
                <w:lang w:eastAsia="ru-RU"/>
              </w:rPr>
              <w:t>34,0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06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="00F77312">
              <w:rPr>
                <w:rFonts w:ascii="Times New Roman" w:eastAsia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348" w:type="pct"/>
            <w:gridSpan w:val="3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lastRenderedPageBreak/>
              <w:t>Всего по подпрограмме 2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48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F7731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7C579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48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F7731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7C579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91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06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="00F77312">
              <w:rPr>
                <w:rFonts w:ascii="Times New Roman" w:eastAsia="Times New Roman" w:hAnsi="Times New Roman" w:cs="Times New Roman"/>
                <w:b/>
                <w:lang w:eastAsia="ru-RU"/>
              </w:rPr>
              <w:t>34,0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06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F77312">
              <w:rPr>
                <w:rFonts w:ascii="Times New Roman" w:eastAsia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06045D" w:rsidP="0048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  <w:r w:rsidR="00F77312">
              <w:rPr>
                <w:rFonts w:ascii="Times New Roman" w:eastAsia="Times New Roman" w:hAnsi="Times New Roman" w:cs="Times New Roman"/>
                <w:b/>
                <w:lang w:eastAsia="ru-RU"/>
              </w:rPr>
              <w:t>34,0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06045D" w:rsidP="0048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="00F77312">
              <w:rPr>
                <w:rFonts w:ascii="Times New Roman" w:eastAsia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37908" w:rsidRDefault="009379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937908" w:rsidRDefault="007C57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2 </w:t>
      </w: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908" w:rsidRDefault="007C5790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подпрограммы с показателями результативности выполнения мероприятий</w:t>
      </w:r>
    </w:p>
    <w:p w:rsidR="00490152" w:rsidRPr="00F77312" w:rsidRDefault="00490152" w:rsidP="0049015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77312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 постановлен</w:t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ия</w:t>
      </w:r>
      <w:r w:rsidRPr="00F77312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от 28.05.2025 № 915)</w:t>
      </w:r>
    </w:p>
    <w:p w:rsidR="00937908" w:rsidRDefault="009379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559"/>
        <w:gridCol w:w="3402"/>
        <w:gridCol w:w="993"/>
        <w:gridCol w:w="141"/>
        <w:gridCol w:w="851"/>
        <w:gridCol w:w="142"/>
        <w:gridCol w:w="850"/>
        <w:gridCol w:w="142"/>
        <w:gridCol w:w="992"/>
        <w:gridCol w:w="1559"/>
      </w:tblGrid>
      <w:tr w:rsidR="00937908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937908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937908">
        <w:trPr>
          <w:trHeight w:val="235"/>
        </w:trPr>
        <w:tc>
          <w:tcPr>
            <w:tcW w:w="15451" w:type="dxa"/>
            <w:gridSpan w:val="1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2. «Развитие туризма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муниципальном округе»</w:t>
            </w:r>
          </w:p>
        </w:tc>
      </w:tr>
      <w:tr w:rsidR="00937908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Цель: Повышение туристской привлекательности Печенгского муниципального округа</w:t>
            </w:r>
          </w:p>
        </w:tc>
      </w:tr>
      <w:tr w:rsidR="00937908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</w:t>
            </w:r>
            <w:r>
              <w:rPr>
                <w:rFonts w:ascii="Times New Roman" w:hAnsi="Times New Roman" w:cs="Times New Roman"/>
                <w:b/>
              </w:rPr>
              <w:t xml:space="preserve">оздание условий для развития туризма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муниципальном округе</w:t>
            </w:r>
          </w:p>
        </w:tc>
      </w:tr>
      <w:tr w:rsidR="00937908">
        <w:trPr>
          <w:trHeight w:val="778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2.1.1.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единого реестра туристской инфраструктуры Печенгского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единого реестра туристской инфраструктуры Печенгского муниципального округа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2.1.2.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бизнеса к участию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конкурсах с целью развития инфраструктуры туризма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округе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информационных сообщений 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конкурсах в СМИ, социальных сетях, официальном сайте Печенгского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2.1.3.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проекта «Туристический кластер Печенгского муниципального округа – «Кольская сверхглубокая», «Плавильный цех», «Шахта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Каула-Котсельваара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разработанной проектной документации по проекту «Туристический кластер Печенгского муниципального округа – «Кольская сверхглубокая», «Плавильный цех», «Шахта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Каула-Котсельваара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по приграничному сотрудничеству, КУИ, АНО «Центр социальных проектов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Печенгского района «Вторая школа»</w:t>
            </w:r>
          </w:p>
        </w:tc>
      </w:tr>
      <w:tr w:rsidR="00937908">
        <w:trPr>
          <w:trHeight w:val="689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2.1.4.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в реализации создания туристской инфраструктуры на территории Печенгского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функционирующих КСР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37908">
        <w:trPr>
          <w:trHeight w:val="689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2.1.5.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реестра местных производителей сувенирной продукции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реестра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местных производителей сувенирной продукции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37908">
        <w:trPr>
          <w:trHeight w:val="689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2.1.6.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конкурса цифрового контента (фото, видео) в целях продвижения туристского потенциала Печенгского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проведенных конкурсов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37908">
        <w:trPr>
          <w:trHeight w:val="689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2.1.7.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Продвижение туристского потенциала Печенгского муниципального округа на бесплатных информационных ресурсах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публикаций на информационных и тематических площадках (сайты, мессенджеры, социальные сети), официальном сайте Печенгского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 в 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 в квартал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 в квартал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37908">
        <w:trPr>
          <w:trHeight w:val="689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2.1.8.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 предложений о включении мероприятий в региональный реестр «51 событие»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направленных предложений о включении мероприятий в региональный реестр «51 событие»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37908">
        <w:trPr>
          <w:trHeight w:val="689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2.1.9.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в организации и проведении событийных мероприятий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округе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мероприятий, в организации и проведении которых оказано содействие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37908">
        <w:trPr>
          <w:trHeight w:val="689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2.1.10.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школьного образовательного туризма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общеобразовательных организаций, участвующих в развитии школьного туризма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 w:rsidP="0049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образования; МБОУ СОШ №№ 1, 3, 5, 7, 9, 11, 19, 23; МБОУ ООШ №№ 20, 22</w:t>
            </w:r>
          </w:p>
        </w:tc>
      </w:tr>
    </w:tbl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37908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937908" w:rsidRDefault="007C57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37908" w:rsidRDefault="007C57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937908" w:rsidRDefault="007C5790">
      <w:pPr>
        <w:widowControl w:val="0"/>
        <w:tabs>
          <w:tab w:val="left" w:pos="7938"/>
        </w:tabs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</w:p>
    <w:p w:rsidR="00937908" w:rsidRDefault="007C579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 3</w:t>
      </w:r>
    </w:p>
    <w:p w:rsidR="00937908" w:rsidRDefault="007C5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«Взаимодействие с СО НКО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937908" w:rsidRDefault="00937908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937908" w:rsidRDefault="007C5790">
      <w:pPr>
        <w:pStyle w:val="aff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937908" w:rsidRDefault="0093790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0"/>
        <w:gridCol w:w="6953"/>
      </w:tblGrid>
      <w:tr w:rsidR="00937908">
        <w:trPr>
          <w:trHeight w:val="505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Печенгского муниципального округа «Экономический потенциал» на 2025-2027 годы</w:t>
            </w:r>
          </w:p>
        </w:tc>
      </w:tr>
      <w:tr w:rsidR="00937908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Печенгского муниципального округа.</w:t>
            </w:r>
          </w:p>
        </w:tc>
      </w:tr>
      <w:tr w:rsidR="00937908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развития СО НКО</w:t>
            </w:r>
          </w:p>
        </w:tc>
      </w:tr>
      <w:tr w:rsidR="00937908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pStyle w:val="aff9"/>
              <w:numPr>
                <w:ilvl w:val="0"/>
                <w:numId w:val="19"/>
              </w:numPr>
              <w:tabs>
                <w:tab w:val="left" w:pos="176"/>
                <w:tab w:val="left" w:pos="213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 НКО имущественной поддержки.</w:t>
            </w:r>
          </w:p>
          <w:p w:rsidR="00937908" w:rsidRDefault="007C5790">
            <w:pPr>
              <w:pStyle w:val="aff9"/>
              <w:numPr>
                <w:ilvl w:val="0"/>
                <w:numId w:val="19"/>
              </w:numPr>
              <w:tabs>
                <w:tab w:val="left" w:pos="176"/>
                <w:tab w:val="left" w:pos="317"/>
                <w:tab w:val="left" w:pos="403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информационной, консультативной и организационной поддержки деятельности СО НКО.</w:t>
            </w:r>
          </w:p>
          <w:p w:rsidR="00937908" w:rsidRDefault="007C5790">
            <w:pPr>
              <w:pStyle w:val="aff9"/>
              <w:numPr>
                <w:ilvl w:val="0"/>
                <w:numId w:val="19"/>
              </w:numPr>
              <w:tabs>
                <w:tab w:val="left" w:pos="176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реестра СО НКО - получателей поддержки.</w:t>
            </w:r>
          </w:p>
          <w:p w:rsidR="00937908" w:rsidRDefault="007C5790">
            <w:pPr>
              <w:pStyle w:val="aff9"/>
              <w:numPr>
                <w:ilvl w:val="0"/>
                <w:numId w:val="19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мониторинга и оценки эффективности мер муниципальной поддержки СО НКО.</w:t>
            </w:r>
          </w:p>
        </w:tc>
      </w:tr>
      <w:tr w:rsidR="00937908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2025 - 2027 годы </w:t>
            </w:r>
          </w:p>
        </w:tc>
      </w:tr>
      <w:tr w:rsidR="00937908">
        <w:trPr>
          <w:trHeight w:val="331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937908" w:rsidRDefault="007C579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937908" w:rsidRDefault="0093790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08" w:rsidRDefault="0093790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по подпрограмме: 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0,0 тыс. рублей, из них: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937908">
        <w:trPr>
          <w:trHeight w:val="189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СО НКО, осуществляющих деятельность на территории Печенгского муниципального округа, к 2027 году до 27 единиц.</w:t>
            </w:r>
          </w:p>
        </w:tc>
      </w:tr>
      <w:tr w:rsidR="00937908">
        <w:trPr>
          <w:trHeight w:val="553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</w:p>
        </w:tc>
      </w:tr>
      <w:tr w:rsidR="00937908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КУИ</w:t>
            </w:r>
          </w:p>
        </w:tc>
      </w:tr>
      <w:tr w:rsidR="00937908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937908" w:rsidRDefault="009379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937908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Таблица 1</w:t>
      </w: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подпрограмме 3</w:t>
      </w:r>
    </w:p>
    <w:p w:rsidR="00937908" w:rsidRDefault="0093790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908" w:rsidRDefault="007C57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подпрограммы с объёмом финансирования</w:t>
      </w:r>
    </w:p>
    <w:p w:rsidR="00937908" w:rsidRDefault="0093790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4825"/>
        <w:gridCol w:w="1417"/>
        <w:gridCol w:w="1275"/>
        <w:gridCol w:w="1133"/>
        <w:gridCol w:w="1275"/>
        <w:gridCol w:w="1139"/>
        <w:gridCol w:w="1278"/>
        <w:gridCol w:w="1913"/>
      </w:tblGrid>
      <w:tr w:rsidR="00937908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597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97" w:type="pct"/>
            <w:gridSpan w:val="4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937908" w:rsidRDefault="007C579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937908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37908">
        <w:tc>
          <w:tcPr>
            <w:tcW w:w="28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937908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«Взаимодействие с СО НКО»</w:t>
            </w:r>
          </w:p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937908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Цель: Создание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Печенгского муниципального округа</w:t>
            </w:r>
          </w:p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937908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Создание благоприятных условий развития СО НКО</w:t>
            </w:r>
          </w:p>
        </w:tc>
      </w:tr>
      <w:tr w:rsidR="00937908">
        <w:trPr>
          <w:trHeight w:val="18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имущественной поддержки 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 НКО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12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17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Взаимодействие с СО НКО, осуществляющим свою деятельность на территории Печенгского муниципального округа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ОЭР, КУИ.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3.1.3.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реестра СО НКО  - получателей поддержки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3.1.4.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и оценка эффективности мер муниципальной поддержки СО НКО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59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55"/>
        </w:trPr>
        <w:tc>
          <w:tcPr>
            <w:tcW w:w="2348" w:type="pct"/>
            <w:gridSpan w:val="3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 по основному мероприятию 1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5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5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5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32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348" w:type="pct"/>
            <w:gridSpan w:val="3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Всего по подпрограмме 3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91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37908" w:rsidRDefault="009379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937908" w:rsidRDefault="007C57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</w:t>
      </w: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908" w:rsidRDefault="007C5790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подпрограммы с показателями результативности выполнения мероприятий</w:t>
      </w:r>
    </w:p>
    <w:p w:rsidR="00937908" w:rsidRDefault="009379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559"/>
        <w:gridCol w:w="3402"/>
        <w:gridCol w:w="993"/>
        <w:gridCol w:w="141"/>
        <w:gridCol w:w="851"/>
        <w:gridCol w:w="142"/>
        <w:gridCol w:w="850"/>
        <w:gridCol w:w="142"/>
        <w:gridCol w:w="992"/>
        <w:gridCol w:w="1559"/>
      </w:tblGrid>
      <w:tr w:rsidR="00937908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937908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937908">
        <w:trPr>
          <w:trHeight w:val="235"/>
        </w:trPr>
        <w:tc>
          <w:tcPr>
            <w:tcW w:w="15451" w:type="dxa"/>
            <w:gridSpan w:val="1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«Взаимодействие с СО НКО»</w:t>
            </w:r>
          </w:p>
        </w:tc>
      </w:tr>
      <w:tr w:rsidR="00937908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Цель: Создание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Печенгского муниципального округа</w:t>
            </w:r>
          </w:p>
        </w:tc>
      </w:tr>
      <w:tr w:rsidR="00937908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Создание благоприятных условий развития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</w:t>
            </w:r>
          </w:p>
        </w:tc>
      </w:tr>
      <w:tr w:rsidR="00937908">
        <w:trPr>
          <w:trHeight w:val="778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3.1.1.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имущественной поддержки СО НКО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Оказание имущественной  поддержки СО НКО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3.1.2.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Взаимодействие с СО НКО, осуществляющими свою деятельность на территории Печенгского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Оказание информационной, консультативной и организационной поддержки деятельности СО НКО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ОЭР, КУИ </w:t>
            </w: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3.1.3.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реестра СО НКО – получателей поддержки</w:t>
            </w:r>
          </w:p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реестра СО НКО – получателей поддержки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937908">
        <w:trPr>
          <w:trHeight w:val="689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3.1.4.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и оценка эффективности мер муниципальной поддержки СО НКО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</w:tbl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37908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937908" w:rsidRDefault="0093790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93790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303" w:rsidRDefault="008F5303">
      <w:pPr>
        <w:spacing w:after="0" w:line="240" w:lineRule="auto"/>
      </w:pPr>
      <w:r>
        <w:separator/>
      </w:r>
    </w:p>
  </w:endnote>
  <w:endnote w:type="continuationSeparator" w:id="0">
    <w:p w:rsidR="008F5303" w:rsidRDefault="008F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303" w:rsidRDefault="008F5303">
      <w:pPr>
        <w:spacing w:after="0" w:line="240" w:lineRule="auto"/>
      </w:pPr>
      <w:r>
        <w:separator/>
      </w:r>
    </w:p>
  </w:footnote>
  <w:footnote w:type="continuationSeparator" w:id="0">
    <w:p w:rsidR="008F5303" w:rsidRDefault="008F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90" w:rsidRDefault="007C5790">
    <w:pPr>
      <w:pStyle w:val="aff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90" w:rsidRDefault="007C5790">
    <w:pPr>
      <w:pStyle w:val="af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90" w:rsidRDefault="007C5790">
    <w:pPr>
      <w:pStyle w:val="aff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90" w:rsidRDefault="007C5790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88C"/>
    <w:multiLevelType w:val="hybridMultilevel"/>
    <w:tmpl w:val="C568D664"/>
    <w:lvl w:ilvl="0" w:tplc="3CDC0C50">
      <w:start w:val="1"/>
      <w:numFmt w:val="decimal"/>
      <w:lvlText w:val="%1."/>
      <w:lvlJc w:val="left"/>
      <w:pPr>
        <w:ind w:left="720" w:hanging="360"/>
      </w:pPr>
    </w:lvl>
    <w:lvl w:ilvl="1" w:tplc="9BC2F958">
      <w:start w:val="1"/>
      <w:numFmt w:val="lowerLetter"/>
      <w:lvlText w:val="%2."/>
      <w:lvlJc w:val="left"/>
      <w:pPr>
        <w:ind w:left="1440" w:hanging="360"/>
      </w:pPr>
    </w:lvl>
    <w:lvl w:ilvl="2" w:tplc="39BE9448">
      <w:start w:val="1"/>
      <w:numFmt w:val="lowerRoman"/>
      <w:lvlText w:val="%3."/>
      <w:lvlJc w:val="right"/>
      <w:pPr>
        <w:ind w:left="2160" w:hanging="180"/>
      </w:pPr>
    </w:lvl>
    <w:lvl w:ilvl="3" w:tplc="011E2202">
      <w:start w:val="1"/>
      <w:numFmt w:val="decimal"/>
      <w:lvlText w:val="%4."/>
      <w:lvlJc w:val="left"/>
      <w:pPr>
        <w:ind w:left="2880" w:hanging="360"/>
      </w:pPr>
    </w:lvl>
    <w:lvl w:ilvl="4" w:tplc="F98864F0">
      <w:start w:val="1"/>
      <w:numFmt w:val="lowerLetter"/>
      <w:lvlText w:val="%5."/>
      <w:lvlJc w:val="left"/>
      <w:pPr>
        <w:ind w:left="3600" w:hanging="360"/>
      </w:pPr>
    </w:lvl>
    <w:lvl w:ilvl="5" w:tplc="B9CC78FE">
      <w:start w:val="1"/>
      <w:numFmt w:val="lowerRoman"/>
      <w:lvlText w:val="%6."/>
      <w:lvlJc w:val="right"/>
      <w:pPr>
        <w:ind w:left="4320" w:hanging="180"/>
      </w:pPr>
    </w:lvl>
    <w:lvl w:ilvl="6" w:tplc="3AC059CC">
      <w:start w:val="1"/>
      <w:numFmt w:val="decimal"/>
      <w:lvlText w:val="%7."/>
      <w:lvlJc w:val="left"/>
      <w:pPr>
        <w:ind w:left="5040" w:hanging="360"/>
      </w:pPr>
    </w:lvl>
    <w:lvl w:ilvl="7" w:tplc="68D42D78">
      <w:start w:val="1"/>
      <w:numFmt w:val="lowerLetter"/>
      <w:lvlText w:val="%8."/>
      <w:lvlJc w:val="left"/>
      <w:pPr>
        <w:ind w:left="5760" w:hanging="360"/>
      </w:pPr>
    </w:lvl>
    <w:lvl w:ilvl="8" w:tplc="A29CA8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783C"/>
    <w:multiLevelType w:val="hybridMultilevel"/>
    <w:tmpl w:val="AC8AC220"/>
    <w:lvl w:ilvl="0" w:tplc="BEEAB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2F4E8">
      <w:start w:val="1"/>
      <w:numFmt w:val="lowerLetter"/>
      <w:lvlText w:val="%2."/>
      <w:lvlJc w:val="left"/>
      <w:pPr>
        <w:ind w:left="1440" w:hanging="360"/>
      </w:pPr>
    </w:lvl>
    <w:lvl w:ilvl="2" w:tplc="04C8C10A">
      <w:start w:val="1"/>
      <w:numFmt w:val="lowerRoman"/>
      <w:lvlText w:val="%3."/>
      <w:lvlJc w:val="right"/>
      <w:pPr>
        <w:ind w:left="2160" w:hanging="180"/>
      </w:pPr>
    </w:lvl>
    <w:lvl w:ilvl="3" w:tplc="40F0C77E">
      <w:start w:val="1"/>
      <w:numFmt w:val="decimal"/>
      <w:lvlText w:val="%4."/>
      <w:lvlJc w:val="left"/>
      <w:pPr>
        <w:ind w:left="2880" w:hanging="360"/>
      </w:pPr>
    </w:lvl>
    <w:lvl w:ilvl="4" w:tplc="CEEE13C8">
      <w:start w:val="1"/>
      <w:numFmt w:val="lowerLetter"/>
      <w:lvlText w:val="%5."/>
      <w:lvlJc w:val="left"/>
      <w:pPr>
        <w:ind w:left="3600" w:hanging="360"/>
      </w:pPr>
    </w:lvl>
    <w:lvl w:ilvl="5" w:tplc="512EC718">
      <w:start w:val="1"/>
      <w:numFmt w:val="lowerRoman"/>
      <w:lvlText w:val="%6."/>
      <w:lvlJc w:val="right"/>
      <w:pPr>
        <w:ind w:left="4320" w:hanging="180"/>
      </w:pPr>
    </w:lvl>
    <w:lvl w:ilvl="6" w:tplc="8E56136E">
      <w:start w:val="1"/>
      <w:numFmt w:val="decimal"/>
      <w:lvlText w:val="%7."/>
      <w:lvlJc w:val="left"/>
      <w:pPr>
        <w:ind w:left="5040" w:hanging="360"/>
      </w:pPr>
    </w:lvl>
    <w:lvl w:ilvl="7" w:tplc="DB968D7C">
      <w:start w:val="1"/>
      <w:numFmt w:val="lowerLetter"/>
      <w:lvlText w:val="%8."/>
      <w:lvlJc w:val="left"/>
      <w:pPr>
        <w:ind w:left="5760" w:hanging="360"/>
      </w:pPr>
    </w:lvl>
    <w:lvl w:ilvl="8" w:tplc="3E7EC4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08B4"/>
    <w:multiLevelType w:val="hybridMultilevel"/>
    <w:tmpl w:val="09B83A38"/>
    <w:lvl w:ilvl="0" w:tplc="0A3032D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72246400">
      <w:start w:val="1"/>
      <w:numFmt w:val="lowerLetter"/>
      <w:lvlText w:val="%2."/>
      <w:lvlJc w:val="left"/>
      <w:pPr>
        <w:ind w:left="1440" w:hanging="360"/>
      </w:pPr>
    </w:lvl>
    <w:lvl w:ilvl="2" w:tplc="DEACF388">
      <w:start w:val="1"/>
      <w:numFmt w:val="lowerRoman"/>
      <w:lvlText w:val="%3."/>
      <w:lvlJc w:val="right"/>
      <w:pPr>
        <w:ind w:left="2160" w:hanging="180"/>
      </w:pPr>
    </w:lvl>
    <w:lvl w:ilvl="3" w:tplc="3FC022FC">
      <w:start w:val="1"/>
      <w:numFmt w:val="decimal"/>
      <w:lvlText w:val="%4."/>
      <w:lvlJc w:val="left"/>
      <w:pPr>
        <w:ind w:left="2880" w:hanging="360"/>
      </w:pPr>
    </w:lvl>
    <w:lvl w:ilvl="4" w:tplc="82F67ED2">
      <w:start w:val="1"/>
      <w:numFmt w:val="lowerLetter"/>
      <w:lvlText w:val="%5."/>
      <w:lvlJc w:val="left"/>
      <w:pPr>
        <w:ind w:left="3600" w:hanging="360"/>
      </w:pPr>
    </w:lvl>
    <w:lvl w:ilvl="5" w:tplc="C11A8728">
      <w:start w:val="1"/>
      <w:numFmt w:val="lowerRoman"/>
      <w:lvlText w:val="%6."/>
      <w:lvlJc w:val="right"/>
      <w:pPr>
        <w:ind w:left="4320" w:hanging="180"/>
      </w:pPr>
    </w:lvl>
    <w:lvl w:ilvl="6" w:tplc="998029A6">
      <w:start w:val="1"/>
      <w:numFmt w:val="decimal"/>
      <w:lvlText w:val="%7."/>
      <w:lvlJc w:val="left"/>
      <w:pPr>
        <w:ind w:left="5040" w:hanging="360"/>
      </w:pPr>
    </w:lvl>
    <w:lvl w:ilvl="7" w:tplc="4AA4E214">
      <w:start w:val="1"/>
      <w:numFmt w:val="lowerLetter"/>
      <w:lvlText w:val="%8."/>
      <w:lvlJc w:val="left"/>
      <w:pPr>
        <w:ind w:left="5760" w:hanging="360"/>
      </w:pPr>
    </w:lvl>
    <w:lvl w:ilvl="8" w:tplc="D348F7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70AF"/>
    <w:multiLevelType w:val="hybridMultilevel"/>
    <w:tmpl w:val="516AD456"/>
    <w:lvl w:ilvl="0" w:tplc="9F9C9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70C3ECE">
      <w:start w:val="1"/>
      <w:numFmt w:val="lowerLetter"/>
      <w:lvlText w:val="%2."/>
      <w:lvlJc w:val="left"/>
      <w:pPr>
        <w:ind w:left="1440" w:hanging="360"/>
      </w:pPr>
    </w:lvl>
    <w:lvl w:ilvl="2" w:tplc="F808E56C">
      <w:start w:val="1"/>
      <w:numFmt w:val="lowerRoman"/>
      <w:lvlText w:val="%3."/>
      <w:lvlJc w:val="right"/>
      <w:pPr>
        <w:ind w:left="2160" w:hanging="180"/>
      </w:pPr>
    </w:lvl>
    <w:lvl w:ilvl="3" w:tplc="0AD88528">
      <w:start w:val="1"/>
      <w:numFmt w:val="decimal"/>
      <w:lvlText w:val="%4."/>
      <w:lvlJc w:val="left"/>
      <w:pPr>
        <w:ind w:left="2880" w:hanging="360"/>
      </w:pPr>
    </w:lvl>
    <w:lvl w:ilvl="4" w:tplc="C51444D8">
      <w:start w:val="1"/>
      <w:numFmt w:val="lowerLetter"/>
      <w:lvlText w:val="%5."/>
      <w:lvlJc w:val="left"/>
      <w:pPr>
        <w:ind w:left="3600" w:hanging="360"/>
      </w:pPr>
    </w:lvl>
    <w:lvl w:ilvl="5" w:tplc="889A0164">
      <w:start w:val="1"/>
      <w:numFmt w:val="lowerRoman"/>
      <w:lvlText w:val="%6."/>
      <w:lvlJc w:val="right"/>
      <w:pPr>
        <w:ind w:left="4320" w:hanging="180"/>
      </w:pPr>
    </w:lvl>
    <w:lvl w:ilvl="6" w:tplc="9E6ABD4E">
      <w:start w:val="1"/>
      <w:numFmt w:val="decimal"/>
      <w:lvlText w:val="%7."/>
      <w:lvlJc w:val="left"/>
      <w:pPr>
        <w:ind w:left="5040" w:hanging="360"/>
      </w:pPr>
    </w:lvl>
    <w:lvl w:ilvl="7" w:tplc="E53CBA72">
      <w:start w:val="1"/>
      <w:numFmt w:val="lowerLetter"/>
      <w:lvlText w:val="%8."/>
      <w:lvlJc w:val="left"/>
      <w:pPr>
        <w:ind w:left="5760" w:hanging="360"/>
      </w:pPr>
    </w:lvl>
    <w:lvl w:ilvl="8" w:tplc="1B7EF5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F3674"/>
    <w:multiLevelType w:val="hybridMultilevel"/>
    <w:tmpl w:val="6B04F96A"/>
    <w:lvl w:ilvl="0" w:tplc="1F3EE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163596">
      <w:start w:val="1"/>
      <w:numFmt w:val="lowerLetter"/>
      <w:lvlText w:val="%2."/>
      <w:lvlJc w:val="left"/>
      <w:pPr>
        <w:ind w:left="1440" w:hanging="360"/>
      </w:pPr>
    </w:lvl>
    <w:lvl w:ilvl="2" w:tplc="0B6C791A">
      <w:start w:val="1"/>
      <w:numFmt w:val="lowerRoman"/>
      <w:lvlText w:val="%3."/>
      <w:lvlJc w:val="right"/>
      <w:pPr>
        <w:ind w:left="2160" w:hanging="180"/>
      </w:pPr>
    </w:lvl>
    <w:lvl w:ilvl="3" w:tplc="40E4CD66">
      <w:start w:val="1"/>
      <w:numFmt w:val="decimal"/>
      <w:lvlText w:val="%4."/>
      <w:lvlJc w:val="left"/>
      <w:pPr>
        <w:ind w:left="2880" w:hanging="360"/>
      </w:pPr>
    </w:lvl>
    <w:lvl w:ilvl="4" w:tplc="6D68BA06">
      <w:start w:val="1"/>
      <w:numFmt w:val="lowerLetter"/>
      <w:lvlText w:val="%5."/>
      <w:lvlJc w:val="left"/>
      <w:pPr>
        <w:ind w:left="3600" w:hanging="360"/>
      </w:pPr>
    </w:lvl>
    <w:lvl w:ilvl="5" w:tplc="01821584">
      <w:start w:val="1"/>
      <w:numFmt w:val="lowerRoman"/>
      <w:lvlText w:val="%6."/>
      <w:lvlJc w:val="right"/>
      <w:pPr>
        <w:ind w:left="4320" w:hanging="180"/>
      </w:pPr>
    </w:lvl>
    <w:lvl w:ilvl="6" w:tplc="B5EA62DA">
      <w:start w:val="1"/>
      <w:numFmt w:val="decimal"/>
      <w:lvlText w:val="%7."/>
      <w:lvlJc w:val="left"/>
      <w:pPr>
        <w:ind w:left="5040" w:hanging="360"/>
      </w:pPr>
    </w:lvl>
    <w:lvl w:ilvl="7" w:tplc="C66830CE">
      <w:start w:val="1"/>
      <w:numFmt w:val="lowerLetter"/>
      <w:lvlText w:val="%8."/>
      <w:lvlJc w:val="left"/>
      <w:pPr>
        <w:ind w:left="5760" w:hanging="360"/>
      </w:pPr>
    </w:lvl>
    <w:lvl w:ilvl="8" w:tplc="D8D4EF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92E90"/>
    <w:multiLevelType w:val="hybridMultilevel"/>
    <w:tmpl w:val="FB88478C"/>
    <w:lvl w:ilvl="0" w:tplc="2F264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F09FAC">
      <w:start w:val="1"/>
      <w:numFmt w:val="lowerLetter"/>
      <w:lvlText w:val="%2."/>
      <w:lvlJc w:val="left"/>
      <w:pPr>
        <w:ind w:left="1440" w:hanging="360"/>
      </w:pPr>
    </w:lvl>
    <w:lvl w:ilvl="2" w:tplc="03BA6C24">
      <w:start w:val="1"/>
      <w:numFmt w:val="lowerRoman"/>
      <w:lvlText w:val="%3."/>
      <w:lvlJc w:val="right"/>
      <w:pPr>
        <w:ind w:left="2160" w:hanging="180"/>
      </w:pPr>
    </w:lvl>
    <w:lvl w:ilvl="3" w:tplc="01AC96A6">
      <w:start w:val="1"/>
      <w:numFmt w:val="decimal"/>
      <w:lvlText w:val="%4."/>
      <w:lvlJc w:val="left"/>
      <w:pPr>
        <w:ind w:left="2880" w:hanging="360"/>
      </w:pPr>
    </w:lvl>
    <w:lvl w:ilvl="4" w:tplc="D8B89CC0">
      <w:start w:val="1"/>
      <w:numFmt w:val="lowerLetter"/>
      <w:lvlText w:val="%5."/>
      <w:lvlJc w:val="left"/>
      <w:pPr>
        <w:ind w:left="3600" w:hanging="360"/>
      </w:pPr>
    </w:lvl>
    <w:lvl w:ilvl="5" w:tplc="D6FADE8C">
      <w:start w:val="1"/>
      <w:numFmt w:val="lowerRoman"/>
      <w:lvlText w:val="%6."/>
      <w:lvlJc w:val="right"/>
      <w:pPr>
        <w:ind w:left="4320" w:hanging="180"/>
      </w:pPr>
    </w:lvl>
    <w:lvl w:ilvl="6" w:tplc="61AA0A98">
      <w:start w:val="1"/>
      <w:numFmt w:val="decimal"/>
      <w:lvlText w:val="%7."/>
      <w:lvlJc w:val="left"/>
      <w:pPr>
        <w:ind w:left="5040" w:hanging="360"/>
      </w:pPr>
    </w:lvl>
    <w:lvl w:ilvl="7" w:tplc="A8C8978E">
      <w:start w:val="1"/>
      <w:numFmt w:val="lowerLetter"/>
      <w:lvlText w:val="%8."/>
      <w:lvlJc w:val="left"/>
      <w:pPr>
        <w:ind w:left="5760" w:hanging="360"/>
      </w:pPr>
    </w:lvl>
    <w:lvl w:ilvl="8" w:tplc="9C329A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67CE6"/>
    <w:multiLevelType w:val="hybridMultilevel"/>
    <w:tmpl w:val="A45248AA"/>
    <w:lvl w:ilvl="0" w:tplc="1A385AD2">
      <w:start w:val="1"/>
      <w:numFmt w:val="decimal"/>
      <w:lvlText w:val="%1."/>
      <w:lvlJc w:val="left"/>
      <w:pPr>
        <w:ind w:left="720" w:hanging="360"/>
      </w:pPr>
    </w:lvl>
    <w:lvl w:ilvl="1" w:tplc="A32C38E8">
      <w:start w:val="1"/>
      <w:numFmt w:val="lowerLetter"/>
      <w:lvlText w:val="%2."/>
      <w:lvlJc w:val="left"/>
      <w:pPr>
        <w:ind w:left="1440" w:hanging="360"/>
      </w:pPr>
    </w:lvl>
    <w:lvl w:ilvl="2" w:tplc="A02E7AEE">
      <w:start w:val="1"/>
      <w:numFmt w:val="lowerRoman"/>
      <w:lvlText w:val="%3."/>
      <w:lvlJc w:val="right"/>
      <w:pPr>
        <w:ind w:left="2160" w:hanging="180"/>
      </w:pPr>
    </w:lvl>
    <w:lvl w:ilvl="3" w:tplc="728CF578">
      <w:start w:val="1"/>
      <w:numFmt w:val="decimal"/>
      <w:lvlText w:val="%4."/>
      <w:lvlJc w:val="left"/>
      <w:pPr>
        <w:ind w:left="2880" w:hanging="360"/>
      </w:pPr>
    </w:lvl>
    <w:lvl w:ilvl="4" w:tplc="A99C5E20">
      <w:start w:val="1"/>
      <w:numFmt w:val="lowerLetter"/>
      <w:lvlText w:val="%5."/>
      <w:lvlJc w:val="left"/>
      <w:pPr>
        <w:ind w:left="3600" w:hanging="360"/>
      </w:pPr>
    </w:lvl>
    <w:lvl w:ilvl="5" w:tplc="59B00C54">
      <w:start w:val="1"/>
      <w:numFmt w:val="lowerRoman"/>
      <w:lvlText w:val="%6."/>
      <w:lvlJc w:val="right"/>
      <w:pPr>
        <w:ind w:left="4320" w:hanging="180"/>
      </w:pPr>
    </w:lvl>
    <w:lvl w:ilvl="6" w:tplc="3BB6356C">
      <w:start w:val="1"/>
      <w:numFmt w:val="decimal"/>
      <w:lvlText w:val="%7."/>
      <w:lvlJc w:val="left"/>
      <w:pPr>
        <w:ind w:left="5040" w:hanging="360"/>
      </w:pPr>
    </w:lvl>
    <w:lvl w:ilvl="7" w:tplc="CB9E03FA">
      <w:start w:val="1"/>
      <w:numFmt w:val="lowerLetter"/>
      <w:lvlText w:val="%8."/>
      <w:lvlJc w:val="left"/>
      <w:pPr>
        <w:ind w:left="5760" w:hanging="360"/>
      </w:pPr>
    </w:lvl>
    <w:lvl w:ilvl="8" w:tplc="F198DE1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2176D"/>
    <w:multiLevelType w:val="hybridMultilevel"/>
    <w:tmpl w:val="D2349D38"/>
    <w:lvl w:ilvl="0" w:tplc="172AF2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FB6FBFA">
      <w:start w:val="1"/>
      <w:numFmt w:val="lowerLetter"/>
      <w:lvlText w:val="%2."/>
      <w:lvlJc w:val="left"/>
      <w:pPr>
        <w:ind w:left="1440" w:hanging="360"/>
      </w:pPr>
    </w:lvl>
    <w:lvl w:ilvl="2" w:tplc="39BC5758">
      <w:start w:val="1"/>
      <w:numFmt w:val="lowerRoman"/>
      <w:lvlText w:val="%3."/>
      <w:lvlJc w:val="right"/>
      <w:pPr>
        <w:ind w:left="2160" w:hanging="180"/>
      </w:pPr>
    </w:lvl>
    <w:lvl w:ilvl="3" w:tplc="34B0C160">
      <w:start w:val="1"/>
      <w:numFmt w:val="decimal"/>
      <w:lvlText w:val="%4."/>
      <w:lvlJc w:val="left"/>
      <w:pPr>
        <w:ind w:left="2880" w:hanging="360"/>
      </w:pPr>
    </w:lvl>
    <w:lvl w:ilvl="4" w:tplc="3AD8F7EE">
      <w:start w:val="1"/>
      <w:numFmt w:val="lowerLetter"/>
      <w:lvlText w:val="%5."/>
      <w:lvlJc w:val="left"/>
      <w:pPr>
        <w:ind w:left="3600" w:hanging="360"/>
      </w:pPr>
    </w:lvl>
    <w:lvl w:ilvl="5" w:tplc="2DB8733E">
      <w:start w:val="1"/>
      <w:numFmt w:val="lowerRoman"/>
      <w:lvlText w:val="%6."/>
      <w:lvlJc w:val="right"/>
      <w:pPr>
        <w:ind w:left="4320" w:hanging="180"/>
      </w:pPr>
    </w:lvl>
    <w:lvl w:ilvl="6" w:tplc="804AFD60">
      <w:start w:val="1"/>
      <w:numFmt w:val="decimal"/>
      <w:lvlText w:val="%7."/>
      <w:lvlJc w:val="left"/>
      <w:pPr>
        <w:ind w:left="5040" w:hanging="360"/>
      </w:pPr>
    </w:lvl>
    <w:lvl w:ilvl="7" w:tplc="F570956A">
      <w:start w:val="1"/>
      <w:numFmt w:val="lowerLetter"/>
      <w:lvlText w:val="%8."/>
      <w:lvlJc w:val="left"/>
      <w:pPr>
        <w:ind w:left="5760" w:hanging="360"/>
      </w:pPr>
    </w:lvl>
    <w:lvl w:ilvl="8" w:tplc="90D828B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4138"/>
    <w:multiLevelType w:val="hybridMultilevel"/>
    <w:tmpl w:val="986ABF46"/>
    <w:lvl w:ilvl="0" w:tplc="983A8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6D8F8">
      <w:start w:val="1"/>
      <w:numFmt w:val="lowerLetter"/>
      <w:lvlText w:val="%2."/>
      <w:lvlJc w:val="left"/>
      <w:pPr>
        <w:ind w:left="1440" w:hanging="360"/>
      </w:pPr>
    </w:lvl>
    <w:lvl w:ilvl="2" w:tplc="1BDC13E8">
      <w:start w:val="1"/>
      <w:numFmt w:val="lowerRoman"/>
      <w:lvlText w:val="%3."/>
      <w:lvlJc w:val="right"/>
      <w:pPr>
        <w:ind w:left="2160" w:hanging="180"/>
      </w:pPr>
    </w:lvl>
    <w:lvl w:ilvl="3" w:tplc="F4C83196">
      <w:start w:val="1"/>
      <w:numFmt w:val="decimal"/>
      <w:lvlText w:val="%4."/>
      <w:lvlJc w:val="left"/>
      <w:pPr>
        <w:ind w:left="2880" w:hanging="360"/>
      </w:pPr>
    </w:lvl>
    <w:lvl w:ilvl="4" w:tplc="C71AB944">
      <w:start w:val="1"/>
      <w:numFmt w:val="lowerLetter"/>
      <w:lvlText w:val="%5."/>
      <w:lvlJc w:val="left"/>
      <w:pPr>
        <w:ind w:left="3600" w:hanging="360"/>
      </w:pPr>
    </w:lvl>
    <w:lvl w:ilvl="5" w:tplc="177AF59A">
      <w:start w:val="1"/>
      <w:numFmt w:val="lowerRoman"/>
      <w:lvlText w:val="%6."/>
      <w:lvlJc w:val="right"/>
      <w:pPr>
        <w:ind w:left="4320" w:hanging="180"/>
      </w:pPr>
    </w:lvl>
    <w:lvl w:ilvl="6" w:tplc="95B021F4">
      <w:start w:val="1"/>
      <w:numFmt w:val="decimal"/>
      <w:lvlText w:val="%7."/>
      <w:lvlJc w:val="left"/>
      <w:pPr>
        <w:ind w:left="5040" w:hanging="360"/>
      </w:pPr>
    </w:lvl>
    <w:lvl w:ilvl="7" w:tplc="DAA80FFC">
      <w:start w:val="1"/>
      <w:numFmt w:val="lowerLetter"/>
      <w:lvlText w:val="%8."/>
      <w:lvlJc w:val="left"/>
      <w:pPr>
        <w:ind w:left="5760" w:hanging="360"/>
      </w:pPr>
    </w:lvl>
    <w:lvl w:ilvl="8" w:tplc="B0263D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50A51"/>
    <w:multiLevelType w:val="hybridMultilevel"/>
    <w:tmpl w:val="CE0E8BFC"/>
    <w:lvl w:ilvl="0" w:tplc="C9AC4F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CDEC39E">
      <w:start w:val="1"/>
      <w:numFmt w:val="lowerLetter"/>
      <w:lvlText w:val="%2."/>
      <w:lvlJc w:val="left"/>
      <w:pPr>
        <w:ind w:left="1440" w:hanging="360"/>
      </w:pPr>
    </w:lvl>
    <w:lvl w:ilvl="2" w:tplc="06B6D2C6">
      <w:start w:val="1"/>
      <w:numFmt w:val="lowerRoman"/>
      <w:lvlText w:val="%3."/>
      <w:lvlJc w:val="right"/>
      <w:pPr>
        <w:ind w:left="2160" w:hanging="180"/>
      </w:pPr>
    </w:lvl>
    <w:lvl w:ilvl="3" w:tplc="81A899E2">
      <w:start w:val="1"/>
      <w:numFmt w:val="decimal"/>
      <w:lvlText w:val="%4."/>
      <w:lvlJc w:val="left"/>
      <w:pPr>
        <w:ind w:left="2880" w:hanging="360"/>
      </w:pPr>
    </w:lvl>
    <w:lvl w:ilvl="4" w:tplc="F0F0DB16">
      <w:start w:val="1"/>
      <w:numFmt w:val="lowerLetter"/>
      <w:lvlText w:val="%5."/>
      <w:lvlJc w:val="left"/>
      <w:pPr>
        <w:ind w:left="3600" w:hanging="360"/>
      </w:pPr>
    </w:lvl>
    <w:lvl w:ilvl="5" w:tplc="930A836C">
      <w:start w:val="1"/>
      <w:numFmt w:val="lowerRoman"/>
      <w:lvlText w:val="%6."/>
      <w:lvlJc w:val="right"/>
      <w:pPr>
        <w:ind w:left="4320" w:hanging="180"/>
      </w:pPr>
    </w:lvl>
    <w:lvl w:ilvl="6" w:tplc="61D4791C">
      <w:start w:val="1"/>
      <w:numFmt w:val="decimal"/>
      <w:lvlText w:val="%7."/>
      <w:lvlJc w:val="left"/>
      <w:pPr>
        <w:ind w:left="5040" w:hanging="360"/>
      </w:pPr>
    </w:lvl>
    <w:lvl w:ilvl="7" w:tplc="C66A7546">
      <w:start w:val="1"/>
      <w:numFmt w:val="lowerLetter"/>
      <w:lvlText w:val="%8."/>
      <w:lvlJc w:val="left"/>
      <w:pPr>
        <w:ind w:left="5760" w:hanging="360"/>
      </w:pPr>
    </w:lvl>
    <w:lvl w:ilvl="8" w:tplc="8558E2E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0714"/>
    <w:multiLevelType w:val="hybridMultilevel"/>
    <w:tmpl w:val="55062158"/>
    <w:lvl w:ilvl="0" w:tplc="AE14C0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1409F7E">
      <w:start w:val="1"/>
      <w:numFmt w:val="lowerLetter"/>
      <w:lvlText w:val="%2."/>
      <w:lvlJc w:val="left"/>
      <w:pPr>
        <w:ind w:left="1440" w:hanging="360"/>
      </w:pPr>
    </w:lvl>
    <w:lvl w:ilvl="2" w:tplc="3AECC6D6">
      <w:start w:val="1"/>
      <w:numFmt w:val="lowerRoman"/>
      <w:lvlText w:val="%3."/>
      <w:lvlJc w:val="right"/>
      <w:pPr>
        <w:ind w:left="2160" w:hanging="180"/>
      </w:pPr>
    </w:lvl>
    <w:lvl w:ilvl="3" w:tplc="A7B09352">
      <w:start w:val="1"/>
      <w:numFmt w:val="decimal"/>
      <w:lvlText w:val="%4."/>
      <w:lvlJc w:val="left"/>
      <w:pPr>
        <w:ind w:left="2880" w:hanging="360"/>
      </w:pPr>
    </w:lvl>
    <w:lvl w:ilvl="4" w:tplc="4B3EE9A2">
      <w:start w:val="1"/>
      <w:numFmt w:val="lowerLetter"/>
      <w:lvlText w:val="%5."/>
      <w:lvlJc w:val="left"/>
      <w:pPr>
        <w:ind w:left="3600" w:hanging="360"/>
      </w:pPr>
    </w:lvl>
    <w:lvl w:ilvl="5" w:tplc="A8D0B878">
      <w:start w:val="1"/>
      <w:numFmt w:val="lowerRoman"/>
      <w:lvlText w:val="%6."/>
      <w:lvlJc w:val="right"/>
      <w:pPr>
        <w:ind w:left="4320" w:hanging="180"/>
      </w:pPr>
    </w:lvl>
    <w:lvl w:ilvl="6" w:tplc="534854BA">
      <w:start w:val="1"/>
      <w:numFmt w:val="decimal"/>
      <w:lvlText w:val="%7."/>
      <w:lvlJc w:val="left"/>
      <w:pPr>
        <w:ind w:left="5040" w:hanging="360"/>
      </w:pPr>
    </w:lvl>
    <w:lvl w:ilvl="7" w:tplc="D83298B4">
      <w:start w:val="1"/>
      <w:numFmt w:val="lowerLetter"/>
      <w:lvlText w:val="%8."/>
      <w:lvlJc w:val="left"/>
      <w:pPr>
        <w:ind w:left="5760" w:hanging="360"/>
      </w:pPr>
    </w:lvl>
    <w:lvl w:ilvl="8" w:tplc="C052906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E2A41"/>
    <w:multiLevelType w:val="hybridMultilevel"/>
    <w:tmpl w:val="50B24F24"/>
    <w:lvl w:ilvl="0" w:tplc="7DFCC2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A62A1C2">
      <w:start w:val="1"/>
      <w:numFmt w:val="lowerLetter"/>
      <w:lvlText w:val="%2."/>
      <w:lvlJc w:val="left"/>
      <w:pPr>
        <w:ind w:left="1440" w:hanging="360"/>
      </w:pPr>
    </w:lvl>
    <w:lvl w:ilvl="2" w:tplc="3FFAABC8">
      <w:start w:val="1"/>
      <w:numFmt w:val="lowerRoman"/>
      <w:lvlText w:val="%3."/>
      <w:lvlJc w:val="right"/>
      <w:pPr>
        <w:ind w:left="2160" w:hanging="180"/>
      </w:pPr>
    </w:lvl>
    <w:lvl w:ilvl="3" w:tplc="B2D2D072">
      <w:start w:val="1"/>
      <w:numFmt w:val="decimal"/>
      <w:lvlText w:val="%4."/>
      <w:lvlJc w:val="left"/>
      <w:pPr>
        <w:ind w:left="2880" w:hanging="360"/>
      </w:pPr>
    </w:lvl>
    <w:lvl w:ilvl="4" w:tplc="5CE8C2FA">
      <w:start w:val="1"/>
      <w:numFmt w:val="lowerLetter"/>
      <w:lvlText w:val="%5."/>
      <w:lvlJc w:val="left"/>
      <w:pPr>
        <w:ind w:left="3600" w:hanging="360"/>
      </w:pPr>
    </w:lvl>
    <w:lvl w:ilvl="5" w:tplc="A150FBF6">
      <w:start w:val="1"/>
      <w:numFmt w:val="lowerRoman"/>
      <w:lvlText w:val="%6."/>
      <w:lvlJc w:val="right"/>
      <w:pPr>
        <w:ind w:left="4320" w:hanging="180"/>
      </w:pPr>
    </w:lvl>
    <w:lvl w:ilvl="6" w:tplc="9FAE6ED8">
      <w:start w:val="1"/>
      <w:numFmt w:val="decimal"/>
      <w:lvlText w:val="%7."/>
      <w:lvlJc w:val="left"/>
      <w:pPr>
        <w:ind w:left="5040" w:hanging="360"/>
      </w:pPr>
    </w:lvl>
    <w:lvl w:ilvl="7" w:tplc="DAD83DCA">
      <w:start w:val="1"/>
      <w:numFmt w:val="lowerLetter"/>
      <w:lvlText w:val="%8."/>
      <w:lvlJc w:val="left"/>
      <w:pPr>
        <w:ind w:left="5760" w:hanging="360"/>
      </w:pPr>
    </w:lvl>
    <w:lvl w:ilvl="8" w:tplc="EDAC647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867FD"/>
    <w:multiLevelType w:val="hybridMultilevel"/>
    <w:tmpl w:val="2696B4C4"/>
    <w:lvl w:ilvl="0" w:tplc="341C8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86A2FA">
      <w:start w:val="1"/>
      <w:numFmt w:val="lowerLetter"/>
      <w:lvlText w:val="%2."/>
      <w:lvlJc w:val="left"/>
      <w:pPr>
        <w:ind w:left="1440" w:hanging="360"/>
      </w:pPr>
    </w:lvl>
    <w:lvl w:ilvl="2" w:tplc="CEBEDA50">
      <w:start w:val="1"/>
      <w:numFmt w:val="lowerRoman"/>
      <w:lvlText w:val="%3."/>
      <w:lvlJc w:val="right"/>
      <w:pPr>
        <w:ind w:left="2160" w:hanging="180"/>
      </w:pPr>
    </w:lvl>
    <w:lvl w:ilvl="3" w:tplc="A8065C58">
      <w:start w:val="1"/>
      <w:numFmt w:val="decimal"/>
      <w:lvlText w:val="%4."/>
      <w:lvlJc w:val="left"/>
      <w:pPr>
        <w:ind w:left="2880" w:hanging="360"/>
      </w:pPr>
    </w:lvl>
    <w:lvl w:ilvl="4" w:tplc="349253B8">
      <w:start w:val="1"/>
      <w:numFmt w:val="lowerLetter"/>
      <w:lvlText w:val="%5."/>
      <w:lvlJc w:val="left"/>
      <w:pPr>
        <w:ind w:left="3600" w:hanging="360"/>
      </w:pPr>
    </w:lvl>
    <w:lvl w:ilvl="5" w:tplc="0E58BCD2">
      <w:start w:val="1"/>
      <w:numFmt w:val="lowerRoman"/>
      <w:lvlText w:val="%6."/>
      <w:lvlJc w:val="right"/>
      <w:pPr>
        <w:ind w:left="4320" w:hanging="180"/>
      </w:pPr>
    </w:lvl>
    <w:lvl w:ilvl="6" w:tplc="552E23CE">
      <w:start w:val="1"/>
      <w:numFmt w:val="decimal"/>
      <w:lvlText w:val="%7."/>
      <w:lvlJc w:val="left"/>
      <w:pPr>
        <w:ind w:left="5040" w:hanging="360"/>
      </w:pPr>
    </w:lvl>
    <w:lvl w:ilvl="7" w:tplc="F5DECC42">
      <w:start w:val="1"/>
      <w:numFmt w:val="lowerLetter"/>
      <w:lvlText w:val="%8."/>
      <w:lvlJc w:val="left"/>
      <w:pPr>
        <w:ind w:left="5760" w:hanging="360"/>
      </w:pPr>
    </w:lvl>
    <w:lvl w:ilvl="8" w:tplc="BD1460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B506F"/>
    <w:multiLevelType w:val="hybridMultilevel"/>
    <w:tmpl w:val="F416B280"/>
    <w:lvl w:ilvl="0" w:tplc="7416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35EAACE">
      <w:start w:val="1"/>
      <w:numFmt w:val="lowerLetter"/>
      <w:lvlText w:val="%2."/>
      <w:lvlJc w:val="left"/>
      <w:pPr>
        <w:ind w:left="1789" w:hanging="360"/>
      </w:pPr>
    </w:lvl>
    <w:lvl w:ilvl="2" w:tplc="163079A8">
      <w:start w:val="1"/>
      <w:numFmt w:val="lowerRoman"/>
      <w:lvlText w:val="%3."/>
      <w:lvlJc w:val="right"/>
      <w:pPr>
        <w:ind w:left="2509" w:hanging="180"/>
      </w:pPr>
    </w:lvl>
    <w:lvl w:ilvl="3" w:tplc="B830AA18">
      <w:start w:val="1"/>
      <w:numFmt w:val="decimal"/>
      <w:lvlText w:val="%4."/>
      <w:lvlJc w:val="left"/>
      <w:pPr>
        <w:ind w:left="3229" w:hanging="360"/>
      </w:pPr>
    </w:lvl>
    <w:lvl w:ilvl="4" w:tplc="0BD4035E">
      <w:start w:val="1"/>
      <w:numFmt w:val="lowerLetter"/>
      <w:lvlText w:val="%5."/>
      <w:lvlJc w:val="left"/>
      <w:pPr>
        <w:ind w:left="3949" w:hanging="360"/>
      </w:pPr>
    </w:lvl>
    <w:lvl w:ilvl="5" w:tplc="A51A7A18">
      <w:start w:val="1"/>
      <w:numFmt w:val="lowerRoman"/>
      <w:lvlText w:val="%6."/>
      <w:lvlJc w:val="right"/>
      <w:pPr>
        <w:ind w:left="4669" w:hanging="180"/>
      </w:pPr>
    </w:lvl>
    <w:lvl w:ilvl="6" w:tplc="5920AF50">
      <w:start w:val="1"/>
      <w:numFmt w:val="decimal"/>
      <w:lvlText w:val="%7."/>
      <w:lvlJc w:val="left"/>
      <w:pPr>
        <w:ind w:left="5389" w:hanging="360"/>
      </w:pPr>
    </w:lvl>
    <w:lvl w:ilvl="7" w:tplc="FF7275CA">
      <w:start w:val="1"/>
      <w:numFmt w:val="lowerLetter"/>
      <w:lvlText w:val="%8."/>
      <w:lvlJc w:val="left"/>
      <w:pPr>
        <w:ind w:left="6109" w:hanging="360"/>
      </w:pPr>
    </w:lvl>
    <w:lvl w:ilvl="8" w:tplc="31F6311C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7B2594"/>
    <w:multiLevelType w:val="hybridMultilevel"/>
    <w:tmpl w:val="BC348EF0"/>
    <w:lvl w:ilvl="0" w:tplc="351E503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FA80BEE8">
      <w:start w:val="1"/>
      <w:numFmt w:val="lowerLetter"/>
      <w:lvlText w:val="%2."/>
      <w:lvlJc w:val="left"/>
      <w:pPr>
        <w:ind w:left="1800" w:hanging="360"/>
      </w:pPr>
    </w:lvl>
    <w:lvl w:ilvl="2" w:tplc="650A9940">
      <w:start w:val="1"/>
      <w:numFmt w:val="lowerRoman"/>
      <w:lvlText w:val="%3."/>
      <w:lvlJc w:val="right"/>
      <w:pPr>
        <w:ind w:left="2520" w:hanging="180"/>
      </w:pPr>
    </w:lvl>
    <w:lvl w:ilvl="3" w:tplc="AF46B76E">
      <w:start w:val="1"/>
      <w:numFmt w:val="decimal"/>
      <w:lvlText w:val="%4."/>
      <w:lvlJc w:val="left"/>
      <w:pPr>
        <w:ind w:left="3240" w:hanging="360"/>
      </w:pPr>
    </w:lvl>
    <w:lvl w:ilvl="4" w:tplc="73E23DE2">
      <w:start w:val="1"/>
      <w:numFmt w:val="lowerLetter"/>
      <w:lvlText w:val="%5."/>
      <w:lvlJc w:val="left"/>
      <w:pPr>
        <w:ind w:left="3960" w:hanging="360"/>
      </w:pPr>
    </w:lvl>
    <w:lvl w:ilvl="5" w:tplc="8990ED40">
      <w:start w:val="1"/>
      <w:numFmt w:val="lowerRoman"/>
      <w:lvlText w:val="%6."/>
      <w:lvlJc w:val="right"/>
      <w:pPr>
        <w:ind w:left="4680" w:hanging="180"/>
      </w:pPr>
    </w:lvl>
    <w:lvl w:ilvl="6" w:tplc="3C8E8C58">
      <w:start w:val="1"/>
      <w:numFmt w:val="decimal"/>
      <w:lvlText w:val="%7."/>
      <w:lvlJc w:val="left"/>
      <w:pPr>
        <w:ind w:left="5400" w:hanging="360"/>
      </w:pPr>
    </w:lvl>
    <w:lvl w:ilvl="7" w:tplc="7A2C65CC">
      <w:start w:val="1"/>
      <w:numFmt w:val="lowerLetter"/>
      <w:lvlText w:val="%8."/>
      <w:lvlJc w:val="left"/>
      <w:pPr>
        <w:ind w:left="6120" w:hanging="360"/>
      </w:pPr>
    </w:lvl>
    <w:lvl w:ilvl="8" w:tplc="C98C95CE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093173"/>
    <w:multiLevelType w:val="hybridMultilevel"/>
    <w:tmpl w:val="B0183958"/>
    <w:lvl w:ilvl="0" w:tplc="5E4A9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F04FD6">
      <w:start w:val="1"/>
      <w:numFmt w:val="lowerLetter"/>
      <w:lvlText w:val="%2."/>
      <w:lvlJc w:val="left"/>
      <w:pPr>
        <w:ind w:left="1440" w:hanging="360"/>
      </w:pPr>
    </w:lvl>
    <w:lvl w:ilvl="2" w:tplc="3AAC3E86">
      <w:start w:val="1"/>
      <w:numFmt w:val="lowerRoman"/>
      <w:lvlText w:val="%3."/>
      <w:lvlJc w:val="right"/>
      <w:pPr>
        <w:ind w:left="2160" w:hanging="180"/>
      </w:pPr>
    </w:lvl>
    <w:lvl w:ilvl="3" w:tplc="F94201C4">
      <w:start w:val="1"/>
      <w:numFmt w:val="decimal"/>
      <w:lvlText w:val="%4."/>
      <w:lvlJc w:val="left"/>
      <w:pPr>
        <w:ind w:left="2880" w:hanging="360"/>
      </w:pPr>
    </w:lvl>
    <w:lvl w:ilvl="4" w:tplc="2DD83392">
      <w:start w:val="1"/>
      <w:numFmt w:val="lowerLetter"/>
      <w:lvlText w:val="%5."/>
      <w:lvlJc w:val="left"/>
      <w:pPr>
        <w:ind w:left="3600" w:hanging="360"/>
      </w:pPr>
    </w:lvl>
    <w:lvl w:ilvl="5" w:tplc="E926FA66">
      <w:start w:val="1"/>
      <w:numFmt w:val="lowerRoman"/>
      <w:lvlText w:val="%6."/>
      <w:lvlJc w:val="right"/>
      <w:pPr>
        <w:ind w:left="4320" w:hanging="180"/>
      </w:pPr>
    </w:lvl>
    <w:lvl w:ilvl="6" w:tplc="D2209E2E">
      <w:start w:val="1"/>
      <w:numFmt w:val="decimal"/>
      <w:lvlText w:val="%7."/>
      <w:lvlJc w:val="left"/>
      <w:pPr>
        <w:ind w:left="5040" w:hanging="360"/>
      </w:pPr>
    </w:lvl>
    <w:lvl w:ilvl="7" w:tplc="F5FED32A">
      <w:start w:val="1"/>
      <w:numFmt w:val="lowerLetter"/>
      <w:lvlText w:val="%8."/>
      <w:lvlJc w:val="left"/>
      <w:pPr>
        <w:ind w:left="5760" w:hanging="360"/>
      </w:pPr>
    </w:lvl>
    <w:lvl w:ilvl="8" w:tplc="6C9866E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D398C"/>
    <w:multiLevelType w:val="hybridMultilevel"/>
    <w:tmpl w:val="F4ECAB56"/>
    <w:lvl w:ilvl="0" w:tplc="9FCCE50C">
      <w:start w:val="1"/>
      <w:numFmt w:val="decimal"/>
      <w:lvlText w:val="%1."/>
      <w:lvlJc w:val="left"/>
      <w:pPr>
        <w:ind w:left="720" w:hanging="360"/>
      </w:pPr>
    </w:lvl>
    <w:lvl w:ilvl="1" w:tplc="A39C1A18">
      <w:start w:val="1"/>
      <w:numFmt w:val="lowerLetter"/>
      <w:lvlText w:val="%2."/>
      <w:lvlJc w:val="left"/>
      <w:pPr>
        <w:ind w:left="1440" w:hanging="360"/>
      </w:pPr>
    </w:lvl>
    <w:lvl w:ilvl="2" w:tplc="65E80D9A">
      <w:start w:val="1"/>
      <w:numFmt w:val="lowerRoman"/>
      <w:lvlText w:val="%3."/>
      <w:lvlJc w:val="right"/>
      <w:pPr>
        <w:ind w:left="2160" w:hanging="180"/>
      </w:pPr>
    </w:lvl>
    <w:lvl w:ilvl="3" w:tplc="27C2C5F4">
      <w:start w:val="1"/>
      <w:numFmt w:val="decimal"/>
      <w:lvlText w:val="%4."/>
      <w:lvlJc w:val="left"/>
      <w:pPr>
        <w:ind w:left="2880" w:hanging="360"/>
      </w:pPr>
    </w:lvl>
    <w:lvl w:ilvl="4" w:tplc="C5A61A28">
      <w:start w:val="1"/>
      <w:numFmt w:val="lowerLetter"/>
      <w:lvlText w:val="%5."/>
      <w:lvlJc w:val="left"/>
      <w:pPr>
        <w:ind w:left="3600" w:hanging="360"/>
      </w:pPr>
    </w:lvl>
    <w:lvl w:ilvl="5" w:tplc="D4FEA2A6">
      <w:start w:val="1"/>
      <w:numFmt w:val="lowerRoman"/>
      <w:lvlText w:val="%6."/>
      <w:lvlJc w:val="right"/>
      <w:pPr>
        <w:ind w:left="4320" w:hanging="180"/>
      </w:pPr>
    </w:lvl>
    <w:lvl w:ilvl="6" w:tplc="4C24993A">
      <w:start w:val="1"/>
      <w:numFmt w:val="decimal"/>
      <w:lvlText w:val="%7."/>
      <w:lvlJc w:val="left"/>
      <w:pPr>
        <w:ind w:left="5040" w:hanging="360"/>
      </w:pPr>
    </w:lvl>
    <w:lvl w:ilvl="7" w:tplc="D40664F6">
      <w:start w:val="1"/>
      <w:numFmt w:val="lowerLetter"/>
      <w:lvlText w:val="%8."/>
      <w:lvlJc w:val="left"/>
      <w:pPr>
        <w:ind w:left="5760" w:hanging="360"/>
      </w:pPr>
    </w:lvl>
    <w:lvl w:ilvl="8" w:tplc="D0FCEA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D59B4"/>
    <w:multiLevelType w:val="hybridMultilevel"/>
    <w:tmpl w:val="3E9E82FA"/>
    <w:lvl w:ilvl="0" w:tplc="42286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369AAE">
      <w:start w:val="1"/>
      <w:numFmt w:val="lowerLetter"/>
      <w:lvlText w:val="%2."/>
      <w:lvlJc w:val="left"/>
      <w:pPr>
        <w:ind w:left="1440" w:hanging="360"/>
      </w:pPr>
    </w:lvl>
    <w:lvl w:ilvl="2" w:tplc="87BE0152">
      <w:start w:val="1"/>
      <w:numFmt w:val="lowerRoman"/>
      <w:lvlText w:val="%3."/>
      <w:lvlJc w:val="right"/>
      <w:pPr>
        <w:ind w:left="2160" w:hanging="180"/>
      </w:pPr>
    </w:lvl>
    <w:lvl w:ilvl="3" w:tplc="0142B466">
      <w:start w:val="1"/>
      <w:numFmt w:val="decimal"/>
      <w:lvlText w:val="%4."/>
      <w:lvlJc w:val="left"/>
      <w:pPr>
        <w:ind w:left="2880" w:hanging="360"/>
      </w:pPr>
    </w:lvl>
    <w:lvl w:ilvl="4" w:tplc="4ABC7D34">
      <w:start w:val="1"/>
      <w:numFmt w:val="lowerLetter"/>
      <w:lvlText w:val="%5."/>
      <w:lvlJc w:val="left"/>
      <w:pPr>
        <w:ind w:left="3600" w:hanging="360"/>
      </w:pPr>
    </w:lvl>
    <w:lvl w:ilvl="5" w:tplc="9EAE02FC">
      <w:start w:val="1"/>
      <w:numFmt w:val="lowerRoman"/>
      <w:lvlText w:val="%6."/>
      <w:lvlJc w:val="right"/>
      <w:pPr>
        <w:ind w:left="4320" w:hanging="180"/>
      </w:pPr>
    </w:lvl>
    <w:lvl w:ilvl="6" w:tplc="BCB61E74">
      <w:start w:val="1"/>
      <w:numFmt w:val="decimal"/>
      <w:lvlText w:val="%7."/>
      <w:lvlJc w:val="left"/>
      <w:pPr>
        <w:ind w:left="5040" w:hanging="360"/>
      </w:pPr>
    </w:lvl>
    <w:lvl w:ilvl="7" w:tplc="B92ECFF4">
      <w:start w:val="1"/>
      <w:numFmt w:val="lowerLetter"/>
      <w:lvlText w:val="%8."/>
      <w:lvlJc w:val="left"/>
      <w:pPr>
        <w:ind w:left="5760" w:hanging="360"/>
      </w:pPr>
    </w:lvl>
    <w:lvl w:ilvl="8" w:tplc="7BE455B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56E9D"/>
    <w:multiLevelType w:val="hybridMultilevel"/>
    <w:tmpl w:val="A4EEDA78"/>
    <w:lvl w:ilvl="0" w:tplc="EF5C4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44DE12">
      <w:start w:val="1"/>
      <w:numFmt w:val="lowerLetter"/>
      <w:lvlText w:val="%2."/>
      <w:lvlJc w:val="left"/>
      <w:pPr>
        <w:ind w:left="1440" w:hanging="360"/>
      </w:pPr>
    </w:lvl>
    <w:lvl w:ilvl="2" w:tplc="FE943F66">
      <w:start w:val="1"/>
      <w:numFmt w:val="lowerRoman"/>
      <w:lvlText w:val="%3."/>
      <w:lvlJc w:val="right"/>
      <w:pPr>
        <w:ind w:left="2160" w:hanging="180"/>
      </w:pPr>
    </w:lvl>
    <w:lvl w:ilvl="3" w:tplc="AA26DF16">
      <w:start w:val="1"/>
      <w:numFmt w:val="decimal"/>
      <w:lvlText w:val="%4."/>
      <w:lvlJc w:val="left"/>
      <w:pPr>
        <w:ind w:left="2880" w:hanging="360"/>
      </w:pPr>
    </w:lvl>
    <w:lvl w:ilvl="4" w:tplc="DAFC8820">
      <w:start w:val="1"/>
      <w:numFmt w:val="lowerLetter"/>
      <w:lvlText w:val="%5."/>
      <w:lvlJc w:val="left"/>
      <w:pPr>
        <w:ind w:left="3600" w:hanging="360"/>
      </w:pPr>
    </w:lvl>
    <w:lvl w:ilvl="5" w:tplc="D8363A6A">
      <w:start w:val="1"/>
      <w:numFmt w:val="lowerRoman"/>
      <w:lvlText w:val="%6."/>
      <w:lvlJc w:val="right"/>
      <w:pPr>
        <w:ind w:left="4320" w:hanging="180"/>
      </w:pPr>
    </w:lvl>
    <w:lvl w:ilvl="6" w:tplc="4E0C91EE">
      <w:start w:val="1"/>
      <w:numFmt w:val="decimal"/>
      <w:lvlText w:val="%7."/>
      <w:lvlJc w:val="left"/>
      <w:pPr>
        <w:ind w:left="5040" w:hanging="360"/>
      </w:pPr>
    </w:lvl>
    <w:lvl w:ilvl="7" w:tplc="EA0456C4">
      <w:start w:val="1"/>
      <w:numFmt w:val="lowerLetter"/>
      <w:lvlText w:val="%8."/>
      <w:lvlJc w:val="left"/>
      <w:pPr>
        <w:ind w:left="5760" w:hanging="360"/>
      </w:pPr>
    </w:lvl>
    <w:lvl w:ilvl="8" w:tplc="1B3C236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53A9A"/>
    <w:multiLevelType w:val="hybridMultilevel"/>
    <w:tmpl w:val="D64E306C"/>
    <w:lvl w:ilvl="0" w:tplc="1096BBB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6B04F1D4">
      <w:start w:val="1"/>
      <w:numFmt w:val="lowerLetter"/>
      <w:lvlText w:val="%2."/>
      <w:lvlJc w:val="left"/>
      <w:pPr>
        <w:ind w:left="1789" w:hanging="360"/>
      </w:pPr>
    </w:lvl>
    <w:lvl w:ilvl="2" w:tplc="ECAC131E">
      <w:start w:val="1"/>
      <w:numFmt w:val="lowerRoman"/>
      <w:lvlText w:val="%3."/>
      <w:lvlJc w:val="right"/>
      <w:pPr>
        <w:ind w:left="2509" w:hanging="180"/>
      </w:pPr>
    </w:lvl>
    <w:lvl w:ilvl="3" w:tplc="D8AA9462">
      <w:start w:val="1"/>
      <w:numFmt w:val="decimal"/>
      <w:lvlText w:val="%4."/>
      <w:lvlJc w:val="left"/>
      <w:pPr>
        <w:ind w:left="3229" w:hanging="360"/>
      </w:pPr>
    </w:lvl>
    <w:lvl w:ilvl="4" w:tplc="0ECE5DCE">
      <w:start w:val="1"/>
      <w:numFmt w:val="lowerLetter"/>
      <w:lvlText w:val="%5."/>
      <w:lvlJc w:val="left"/>
      <w:pPr>
        <w:ind w:left="3949" w:hanging="360"/>
      </w:pPr>
    </w:lvl>
    <w:lvl w:ilvl="5" w:tplc="468266AA">
      <w:start w:val="1"/>
      <w:numFmt w:val="lowerRoman"/>
      <w:lvlText w:val="%6."/>
      <w:lvlJc w:val="right"/>
      <w:pPr>
        <w:ind w:left="4669" w:hanging="180"/>
      </w:pPr>
    </w:lvl>
    <w:lvl w:ilvl="6" w:tplc="226AA570">
      <w:start w:val="1"/>
      <w:numFmt w:val="decimal"/>
      <w:lvlText w:val="%7."/>
      <w:lvlJc w:val="left"/>
      <w:pPr>
        <w:ind w:left="5389" w:hanging="360"/>
      </w:pPr>
    </w:lvl>
    <w:lvl w:ilvl="7" w:tplc="243EA672">
      <w:start w:val="1"/>
      <w:numFmt w:val="lowerLetter"/>
      <w:lvlText w:val="%8."/>
      <w:lvlJc w:val="left"/>
      <w:pPr>
        <w:ind w:left="6109" w:hanging="360"/>
      </w:pPr>
    </w:lvl>
    <w:lvl w:ilvl="8" w:tplc="F0268E52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AC0A85"/>
    <w:multiLevelType w:val="hybridMultilevel"/>
    <w:tmpl w:val="9F62173C"/>
    <w:lvl w:ilvl="0" w:tplc="A96E8A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F16D79E">
      <w:start w:val="1"/>
      <w:numFmt w:val="lowerLetter"/>
      <w:lvlText w:val="%2."/>
      <w:lvlJc w:val="left"/>
      <w:pPr>
        <w:ind w:left="1440" w:hanging="360"/>
      </w:pPr>
    </w:lvl>
    <w:lvl w:ilvl="2" w:tplc="712AC594">
      <w:start w:val="1"/>
      <w:numFmt w:val="lowerRoman"/>
      <w:lvlText w:val="%3."/>
      <w:lvlJc w:val="right"/>
      <w:pPr>
        <w:ind w:left="2160" w:hanging="180"/>
      </w:pPr>
    </w:lvl>
    <w:lvl w:ilvl="3" w:tplc="632868C4">
      <w:start w:val="1"/>
      <w:numFmt w:val="decimal"/>
      <w:lvlText w:val="%4."/>
      <w:lvlJc w:val="left"/>
      <w:pPr>
        <w:ind w:left="2880" w:hanging="360"/>
      </w:pPr>
    </w:lvl>
    <w:lvl w:ilvl="4" w:tplc="A900D460">
      <w:start w:val="1"/>
      <w:numFmt w:val="lowerLetter"/>
      <w:lvlText w:val="%5."/>
      <w:lvlJc w:val="left"/>
      <w:pPr>
        <w:ind w:left="3600" w:hanging="360"/>
      </w:pPr>
    </w:lvl>
    <w:lvl w:ilvl="5" w:tplc="126AB1E6">
      <w:start w:val="1"/>
      <w:numFmt w:val="lowerRoman"/>
      <w:lvlText w:val="%6."/>
      <w:lvlJc w:val="right"/>
      <w:pPr>
        <w:ind w:left="4320" w:hanging="180"/>
      </w:pPr>
    </w:lvl>
    <w:lvl w:ilvl="6" w:tplc="59300674">
      <w:start w:val="1"/>
      <w:numFmt w:val="decimal"/>
      <w:lvlText w:val="%7."/>
      <w:lvlJc w:val="left"/>
      <w:pPr>
        <w:ind w:left="5040" w:hanging="360"/>
      </w:pPr>
    </w:lvl>
    <w:lvl w:ilvl="7" w:tplc="DBDAE236">
      <w:start w:val="1"/>
      <w:numFmt w:val="lowerLetter"/>
      <w:lvlText w:val="%8."/>
      <w:lvlJc w:val="left"/>
      <w:pPr>
        <w:ind w:left="5760" w:hanging="360"/>
      </w:pPr>
    </w:lvl>
    <w:lvl w:ilvl="8" w:tplc="E05479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4"/>
  </w:num>
  <w:num w:numId="5">
    <w:abstractNumId w:val="1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7"/>
  </w:num>
  <w:num w:numId="10">
    <w:abstractNumId w:val="10"/>
  </w:num>
  <w:num w:numId="11">
    <w:abstractNumId w:val="16"/>
  </w:num>
  <w:num w:numId="12">
    <w:abstractNumId w:val="15"/>
  </w:num>
  <w:num w:numId="13">
    <w:abstractNumId w:val="9"/>
  </w:num>
  <w:num w:numId="14">
    <w:abstractNumId w:val="6"/>
  </w:num>
  <w:num w:numId="15">
    <w:abstractNumId w:val="7"/>
  </w:num>
  <w:num w:numId="16">
    <w:abstractNumId w:val="20"/>
  </w:num>
  <w:num w:numId="17">
    <w:abstractNumId w:val="5"/>
  </w:num>
  <w:num w:numId="18">
    <w:abstractNumId w:val="14"/>
  </w:num>
  <w:num w:numId="19">
    <w:abstractNumId w:val="0"/>
  </w:num>
  <w:num w:numId="20">
    <w:abstractNumId w:val="11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08"/>
    <w:rsid w:val="0006045D"/>
    <w:rsid w:val="0007199D"/>
    <w:rsid w:val="000B65D4"/>
    <w:rsid w:val="000F2474"/>
    <w:rsid w:val="00303965"/>
    <w:rsid w:val="00487D2C"/>
    <w:rsid w:val="00490152"/>
    <w:rsid w:val="007C5790"/>
    <w:rsid w:val="008F5303"/>
    <w:rsid w:val="008F6A4A"/>
    <w:rsid w:val="00926C5F"/>
    <w:rsid w:val="00937908"/>
    <w:rsid w:val="00A14582"/>
    <w:rsid w:val="00AB5324"/>
    <w:rsid w:val="00AB6276"/>
    <w:rsid w:val="00B844B1"/>
    <w:rsid w:val="00C653CD"/>
    <w:rsid w:val="00C928A3"/>
    <w:rsid w:val="00D6595C"/>
    <w:rsid w:val="00E31054"/>
    <w:rsid w:val="00F7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37E9"/>
  <w15:docId w15:val="{42907111-24C4-4CC3-99AA-1844D273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5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paragraph" w:customStyle="1" w:styleId="13">
    <w:name w:val="Абзац списка1"/>
    <w:basedOn w:val="a"/>
    <w:link w:val="ListParagraphChar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d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spacing w:after="200" w:line="276" w:lineRule="auto"/>
    </w:pPr>
    <w:rPr>
      <w:rFonts w:eastAsia="SimSun" w:cs="Calibri"/>
      <w:sz w:val="22"/>
      <w:szCs w:val="22"/>
      <w:lang w:eastAsia="en-US"/>
    </w:rPr>
  </w:style>
  <w:style w:type="character" w:customStyle="1" w:styleId="ae">
    <w:name w:val="Основной текст_"/>
    <w:link w:val="14"/>
    <w:rPr>
      <w:spacing w:val="-2"/>
      <w:shd w:val="clear" w:color="auto" w:fill="FFFFFF"/>
    </w:rPr>
  </w:style>
  <w:style w:type="paragraph" w:customStyle="1" w:styleId="14">
    <w:name w:val="Основной текст1"/>
    <w:basedOn w:val="a"/>
    <w:link w:val="ae"/>
    <w:pPr>
      <w:widowControl w:val="0"/>
      <w:shd w:val="clear" w:color="auto" w:fill="FFFFFF"/>
      <w:spacing w:after="360" w:line="317" w:lineRule="exact"/>
      <w:ind w:hanging="760"/>
    </w:pPr>
    <w:rPr>
      <w:spacing w:val="-2"/>
      <w:sz w:val="20"/>
      <w:szCs w:val="20"/>
      <w:lang w:eastAsia="ru-RU"/>
    </w:rPr>
  </w:style>
  <w:style w:type="character" w:customStyle="1" w:styleId="af">
    <w:name w:val="Колонтитул_"/>
    <w:link w:val="af0"/>
    <w:rPr>
      <w:spacing w:val="2"/>
      <w:sz w:val="13"/>
      <w:szCs w:val="13"/>
      <w:shd w:val="clear" w:color="auto" w:fill="FFFFFF"/>
      <w:lang w:val="en-US"/>
    </w:rPr>
  </w:style>
  <w:style w:type="paragraph" w:customStyle="1" w:styleId="af0">
    <w:name w:val="Колонтитул"/>
    <w:basedOn w:val="a"/>
    <w:link w:val="af"/>
    <w:pPr>
      <w:widowControl w:val="0"/>
      <w:shd w:val="clear" w:color="auto" w:fill="FFFFFF"/>
      <w:spacing w:after="0" w:line="240" w:lineRule="atLeast"/>
    </w:pPr>
    <w:rPr>
      <w:spacing w:val="2"/>
      <w:sz w:val="13"/>
      <w:szCs w:val="13"/>
      <w:lang w:val="en-US" w:eastAsia="ru-RU"/>
    </w:rPr>
  </w:style>
  <w:style w:type="character" w:styleId="af1">
    <w:name w:val="annotation reference"/>
    <w:semiHidden/>
    <w:rPr>
      <w:sz w:val="16"/>
      <w:szCs w:val="16"/>
    </w:rPr>
  </w:style>
  <w:style w:type="paragraph" w:styleId="af2">
    <w:name w:val="annotation text"/>
    <w:basedOn w:val="a"/>
    <w:link w:val="af3"/>
    <w:semiHidden/>
    <w:rPr>
      <w:sz w:val="20"/>
      <w:szCs w:val="20"/>
    </w:rPr>
  </w:style>
  <w:style w:type="character" w:customStyle="1" w:styleId="af3">
    <w:name w:val="Текст примечания Знак"/>
    <w:link w:val="af2"/>
    <w:semiHidden/>
    <w:rPr>
      <w:rFonts w:ascii="Calibri" w:hAnsi="Calibri" w:cs="Calibri"/>
      <w:sz w:val="20"/>
      <w:szCs w:val="20"/>
    </w:rPr>
  </w:style>
  <w:style w:type="paragraph" w:styleId="af4">
    <w:name w:val="Balloon Text"/>
    <w:basedOn w:val="a"/>
    <w:link w:val="af5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rPr>
      <w:rFonts w:ascii="Tahoma" w:hAnsi="Tahoma" w:cs="Tahoma"/>
      <w:sz w:val="16"/>
      <w:szCs w:val="16"/>
    </w:rPr>
  </w:style>
  <w:style w:type="character" w:customStyle="1" w:styleId="butback1">
    <w:name w:val="butback1"/>
    <w:rPr>
      <w:color w:val="auto"/>
    </w:rPr>
  </w:style>
  <w:style w:type="character" w:customStyle="1" w:styleId="submenu-table">
    <w:name w:val="submenu-table"/>
    <w:basedOn w:val="a0"/>
  </w:style>
  <w:style w:type="character" w:customStyle="1" w:styleId="ListParagraphChar">
    <w:name w:val="List Paragraph Char"/>
    <w:link w:val="13"/>
    <w:rPr>
      <w:rFonts w:ascii="Times New Roman" w:hAnsi="Times New Roman" w:cs="Times New Roman"/>
      <w:sz w:val="28"/>
      <w:szCs w:val="28"/>
    </w:rPr>
  </w:style>
  <w:style w:type="paragraph" w:styleId="af6">
    <w:name w:val="Body Text Indent"/>
    <w:basedOn w:val="a"/>
    <w:link w:val="a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link w:val="af6"/>
    <w:rPr>
      <w:rFonts w:ascii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semiHidden/>
    <w:pPr>
      <w:spacing w:after="120"/>
    </w:pPr>
  </w:style>
  <w:style w:type="character" w:customStyle="1" w:styleId="af9">
    <w:name w:val="Основной текст Знак"/>
    <w:link w:val="af8"/>
    <w:semiHidden/>
    <w:rPr>
      <w:rFonts w:ascii="Calibri" w:hAnsi="Calibri" w:cs="Calibri"/>
    </w:rPr>
  </w:style>
  <w:style w:type="paragraph" w:styleId="afa">
    <w:name w:val="footnote text"/>
    <w:basedOn w:val="a"/>
    <w:link w:val="afb"/>
    <w:semiHidden/>
    <w:rPr>
      <w:sz w:val="20"/>
      <w:szCs w:val="20"/>
    </w:rPr>
  </w:style>
  <w:style w:type="character" w:customStyle="1" w:styleId="afb">
    <w:name w:val="Текст сноски Знак"/>
    <w:link w:val="afa"/>
    <w:semiHidden/>
    <w:rPr>
      <w:rFonts w:ascii="Calibri" w:hAnsi="Calibri" w:cs="Calibri"/>
      <w:sz w:val="20"/>
      <w:szCs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annotation subject"/>
    <w:basedOn w:val="af2"/>
    <w:next w:val="af2"/>
    <w:link w:val="afe"/>
    <w:semiHidden/>
    <w:rPr>
      <w:b/>
      <w:bCs/>
    </w:rPr>
  </w:style>
  <w:style w:type="character" w:customStyle="1" w:styleId="afe">
    <w:name w:val="Тема примечания Знак"/>
    <w:link w:val="afd"/>
    <w:semiHidden/>
    <w:rPr>
      <w:rFonts w:ascii="Calibri" w:hAnsi="Calibri" w:cs="Calibri"/>
      <w:b/>
      <w:bCs/>
      <w:sz w:val="20"/>
      <w:szCs w:val="20"/>
    </w:rPr>
  </w:style>
  <w:style w:type="paragraph" w:styleId="aff">
    <w:name w:val="head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rPr>
      <w:rFonts w:ascii="Calibri" w:hAnsi="Calibri" w:cs="Calibri"/>
    </w:rPr>
  </w:style>
  <w:style w:type="paragraph" w:styleId="aff1">
    <w:name w:val="footer"/>
    <w:basedOn w:val="a"/>
    <w:link w:val="aff2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link w:val="aff1"/>
    <w:rPr>
      <w:rFonts w:ascii="Calibri" w:hAnsi="Calibri" w:cs="Calibri"/>
    </w:rPr>
  </w:style>
  <w:style w:type="paragraph" w:customStyle="1" w:styleId="aff3">
    <w:name w:val="Обычный.Текст с отступ.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5">
    <w:name w:val="Дата1"/>
    <w:basedOn w:val="a0"/>
  </w:style>
  <w:style w:type="character" w:styleId="aff4">
    <w:name w:val="Strong"/>
    <w:qFormat/>
    <w:rPr>
      <w:b/>
      <w:bCs/>
    </w:rPr>
  </w:style>
  <w:style w:type="character" w:customStyle="1" w:styleId="FontStyle13">
    <w:name w:val="Font Style13"/>
    <w:rPr>
      <w:rFonts w:ascii="Candara" w:hAnsi="Candara" w:cs="Candara"/>
      <w:sz w:val="24"/>
      <w:szCs w:val="24"/>
    </w:rPr>
  </w:style>
  <w:style w:type="paragraph" w:customStyle="1" w:styleId="western">
    <w:name w:val="western"/>
    <w:basedOn w:val="a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customStyle="1" w:styleId="16">
    <w:name w:val="Без интервала1"/>
    <w:link w:val="NoSpacingChar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6"/>
    <w:rPr>
      <w:rFonts w:eastAsia="Times New Roman"/>
      <w:sz w:val="22"/>
      <w:szCs w:val="22"/>
      <w:lang w:val="ru-RU" w:eastAsia="en-US"/>
    </w:rPr>
  </w:style>
  <w:style w:type="paragraph" w:styleId="aff5">
    <w:name w:val="Title"/>
    <w:basedOn w:val="a"/>
    <w:next w:val="a"/>
    <w:link w:val="aff6"/>
    <w:qFormat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sz w:val="52"/>
      <w:szCs w:val="52"/>
      <w:lang w:eastAsia="ru-RU"/>
    </w:rPr>
  </w:style>
  <w:style w:type="character" w:customStyle="1" w:styleId="aff6">
    <w:name w:val="Заголовок Знак"/>
    <w:link w:val="aff5"/>
    <w:rPr>
      <w:rFonts w:ascii="Cambria" w:hAnsi="Cambria" w:cs="Cambria"/>
      <w:color w:val="17365D"/>
      <w:spacing w:val="5"/>
      <w:sz w:val="52"/>
      <w:szCs w:val="52"/>
      <w:lang w:eastAsia="ru-RU"/>
    </w:rPr>
  </w:style>
  <w:style w:type="table" w:styleId="aff7">
    <w:name w:val="Table Grid"/>
    <w:basedOn w:val="a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3">
    <w:name w:val="Основной текст с отступом Знак3"/>
    <w:rPr>
      <w:sz w:val="24"/>
      <w:lang w:eastAsia="ar-SA" w:bidi="ar-SA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rFonts w:cs="Calibri"/>
      <w:sz w:val="22"/>
      <w:szCs w:val="22"/>
      <w:lang w:eastAsia="en-US"/>
    </w:rPr>
  </w:style>
  <w:style w:type="paragraph" w:styleId="aff8">
    <w:name w:val="No Spacing"/>
    <w:uiPriority w:val="1"/>
    <w:qFormat/>
    <w:rPr>
      <w:rFonts w:cs="Calibri"/>
      <w:sz w:val="22"/>
      <w:szCs w:val="22"/>
      <w:lang w:eastAsia="en-US"/>
    </w:rPr>
  </w:style>
  <w:style w:type="paragraph" w:styleId="aff9">
    <w:name w:val="List Paragraph"/>
    <w:basedOn w:val="a"/>
    <w:uiPriority w:val="34"/>
    <w:qFormat/>
    <w:pPr>
      <w:ind w:left="720"/>
    </w:pPr>
  </w:style>
  <w:style w:type="character" w:customStyle="1" w:styleId="affa">
    <w:name w:val="МОН Знак"/>
    <w:link w:val="affb"/>
    <w:rPr>
      <w:sz w:val="24"/>
      <w:szCs w:val="24"/>
    </w:rPr>
  </w:style>
  <w:style w:type="paragraph" w:customStyle="1" w:styleId="affb">
    <w:name w:val="МОН"/>
    <w:basedOn w:val="a"/>
    <w:link w:val="affa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paragraph" w:customStyle="1" w:styleId="affc">
    <w:name w:val="Знак Знак Знак Знак Знак Знак Знак Знак Знак Знак Знак Знак Знак Знак"/>
    <w:basedOn w:val="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d">
    <w:name w:val="Hyperlink"/>
    <w:uiPriority w:val="99"/>
    <w:rPr>
      <w:color w:val="0000FF"/>
      <w:u w:val="single"/>
    </w:rPr>
  </w:style>
  <w:style w:type="character" w:styleId="affe">
    <w:name w:val="FollowedHyperlink"/>
    <w:basedOn w:val="a0"/>
    <w:uiPriority w:val="99"/>
    <w:unhideWhenUsed/>
    <w:rPr>
      <w:color w:val="800080"/>
      <w:u w:val="single"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7">
    <w:name w:val="Нет списка1"/>
    <w:next w:val="a2"/>
    <w:uiPriority w:val="99"/>
    <w:semiHidden/>
    <w:unhideWhenUsed/>
  </w:style>
  <w:style w:type="table" w:customStyle="1" w:styleId="18">
    <w:name w:val="Сетка таблицы1"/>
    <w:basedOn w:val="a1"/>
    <w:next w:val="aff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80BE-9D8F-4070-BECD-A5096F84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48</Pages>
  <Words>11844</Words>
  <Characters>67512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79198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Ковалева Ольга Владимировна</cp:lastModifiedBy>
  <cp:revision>32</cp:revision>
  <dcterms:created xsi:type="dcterms:W3CDTF">2024-10-24T07:42:00Z</dcterms:created>
  <dcterms:modified xsi:type="dcterms:W3CDTF">2025-09-11T08:54:00Z</dcterms:modified>
</cp:coreProperties>
</file>