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Default="009638F9">
      <w:pPr>
        <w:ind w:right="37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942BF" w:rsidRDefault="009638F9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455" cy="739140"/>
            <wp:effectExtent l="0" t="0" r="0" b="381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№ 1717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«Комфортная среда проживания» на 2025-2027 годы</w:t>
      </w:r>
    </w:p>
    <w:p w:rsidR="002942BF" w:rsidRPr="00124CF2" w:rsidRDefault="00EF3636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1790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.02.2025 № 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218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0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3.03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.2025 № 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317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25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469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15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.05.2025 №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805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>обеспечения комфортной среды проживания населения на территории Печенгского муниципального округа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«Комфортная среда проживания» на 2025-2027 годы (далее – программа) согласно приложению.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Князева Э.Г., 60623</w:t>
      </w:r>
    </w:p>
    <w:p w:rsidR="005D4665" w:rsidRDefault="005D4665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42BF" w:rsidRDefault="009638F9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2942BF" w:rsidRDefault="009638F9">
      <w:pPr>
        <w:tabs>
          <w:tab w:val="left" w:pos="284"/>
          <w:tab w:val="left" w:pos="5387"/>
          <w:tab w:val="left" w:pos="5954"/>
        </w:tabs>
        <w:spacing w:after="0" w:line="240" w:lineRule="auto"/>
        <w:ind w:left="5529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942BF" w:rsidRDefault="009638F9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1717</w:t>
      </w:r>
    </w:p>
    <w:p w:rsidR="002942BF" w:rsidRDefault="002942BF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«Комфортная среда проживания» на 2025-2027 годы</w:t>
      </w: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«Комфортная среда проживания» на 2025-2027 годы</w:t>
      </w:r>
    </w:p>
    <w:p w:rsidR="002C064E" w:rsidRPr="002C064E" w:rsidRDefault="00EF3636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C064E"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3.03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5D466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33ADE">
        <w:rPr>
          <w:rFonts w:ascii="Times New Roman" w:hAnsi="Times New Roman"/>
          <w:color w:val="0070C0"/>
          <w:sz w:val="20"/>
          <w:szCs w:val="20"/>
        </w:rPr>
        <w:t>от 25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5D4665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7412"/>
      </w:tblGrid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комфортной среды проживания населения на территории Печенгского муниципального округа.</w:t>
            </w:r>
          </w:p>
        </w:tc>
      </w:tr>
      <w:tr w:rsidR="002942BF">
        <w:trPr>
          <w:trHeight w:val="3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Печенгского муниципального округа.</w:t>
            </w:r>
          </w:p>
        </w:tc>
      </w:tr>
      <w:tr w:rsidR="002942BF">
        <w:trPr>
          <w:trHeight w:val="75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 разработанной проектно-сметной документации.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Доля отремонтированных магистральных и внутриквартальных сетей тепло-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водоотведения от общ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ей протяженности системы тепло-,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Наличие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сметной документации и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оложительного заключения экспертизы сметной документации на ремонт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построенной сети водоснабжения в районе индивидуальной жилой застройки нп. Корзуново.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реконструированных котельных.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 Количество отремонтированных подъездов многоквартирных домов.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Текущее содержание мест захоронения на территории муниципального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Обеспечение выплат по гарантированному перечню услуг по погребению.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Площадь отремонтированных тротуаров и маршрутов.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23.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Площадь благоустроенных дворовых территорий. 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2C06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5D4665" w:rsidRDefault="005D4665" w:rsidP="002C064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BF">
        <w:trPr>
          <w:trHeight w:val="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«Жилищно-коммунальное хозяйство».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и содержание городской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2942BF">
        <w:trPr>
          <w:trHeight w:val="11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4665">
              <w:rPr>
                <w:rFonts w:ascii="Times New Roman" w:hAnsi="Times New Roman"/>
                <w:b/>
                <w:sz w:val="24"/>
                <w:szCs w:val="24"/>
              </w:rPr>
              <w:t>33 445,0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EF3636">
              <w:rPr>
                <w:rFonts w:ascii="Times New Roman" w:hAnsi="Times New Roman"/>
                <w:sz w:val="24"/>
                <w:szCs w:val="24"/>
              </w:rPr>
              <w:t>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D4665">
              <w:rPr>
                <w:rFonts w:ascii="Times New Roman" w:hAnsi="Times New Roman"/>
                <w:sz w:val="24"/>
                <w:szCs w:val="24"/>
              </w:rPr>
              <w:t>201915,5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5D4665">
              <w:rPr>
                <w:rFonts w:ascii="Times New Roman" w:hAnsi="Times New Roman"/>
                <w:sz w:val="24"/>
                <w:szCs w:val="24"/>
              </w:rPr>
              <w:t>81581,8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12618,3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7715,4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4</w:t>
            </w:r>
            <w:r w:rsidR="002C064E">
              <w:rPr>
                <w:rFonts w:ascii="Times New Roman" w:hAnsi="Times New Roman"/>
                <w:sz w:val="24"/>
                <w:szCs w:val="24"/>
              </w:rPr>
              <w:t>28102,6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185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887,9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2C064E">
              <w:rPr>
                <w:rFonts w:ascii="Times New Roman" w:hAnsi="Times New Roman"/>
                <w:sz w:val="24"/>
                <w:szCs w:val="24"/>
              </w:rPr>
              <w:t>58857,9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83356,8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trHeight w:val="27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738,0 тыс. рублей,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246,0 тыс. рублей.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санитарно-экологического состояния территории округа. Повышение эффективности системы сбора и удаления твердых бытовых отходов. Ликвидация несанкционированных свалок на территории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Снижение физического износа и технологических потерь в магистральных трубопроводах теплоснабжения, водоснабжения и водоотведения.</w:t>
            </w:r>
          </w:p>
          <w:p w:rsidR="002942BF" w:rsidRDefault="009638F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 xml:space="preserve">Повышение привлекательности объектов благоустройства, озеленение территорий населенных пунктов Печенгского </w:t>
            </w:r>
            <w:r>
              <w:lastRenderedPageBreak/>
              <w:t>муниципального округа, поддержание чистоты и порядка, обеспечение комфортного проживания населения.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Создание благоприятных, комфортных и безопасных условий для жизни и здоровья населения за счет сокращения численности животных без владельцев.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2942BF" w:rsidRDefault="009638F9">
            <w:pPr>
              <w:spacing w:after="0" w:line="240" w:lineRule="auto"/>
              <w:jc w:val="both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жилищно-коммунального хозяйства администрации Печенгского муниципального округа) (далее – ОС и ЖКХ)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служба» (далее – МБУ «НДС»), муниципальное казенное учреждение «Управление благоустройства и развития» Печенгского муниципального округа Мурманской области (далее – МКУ «УБиР»),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населением) (далее – ОРН)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942BF" w:rsidRDefault="002942BF">
      <w:pPr>
        <w:pStyle w:val="af2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 В Печенгском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жилищного фонда Печенгского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</w:t>
      </w:r>
      <w:r>
        <w:rPr>
          <w:rFonts w:ascii="Times New Roman" w:hAnsi="Times New Roman"/>
          <w:sz w:val="24"/>
          <w:szCs w:val="24"/>
        </w:rPr>
        <w:lastRenderedPageBreak/>
        <w:t>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мероприятий, направленных на комплексное благоустройство дворовых и внутриквартальных территорий.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2942BF" w:rsidRDefault="009638F9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будет проведен комплекс мероприятий, направленных на обеспечение более комфортных и безопасных условий проживания населения, повышение уровня благоустройства общественных и дворовых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организация парковки для автомобилей.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2942BF" w:rsidRDefault="009638F9">
      <w:pPr>
        <w:pStyle w:val="af2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комфортных условий проживания населения.</w:t>
      </w:r>
    </w:p>
    <w:p w:rsidR="002942BF" w:rsidRDefault="009638F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2942BF" w:rsidRDefault="009638F9">
      <w:pPr>
        <w:widowControl w:val="0"/>
        <w:tabs>
          <w:tab w:val="left" w:pos="28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благоустройства территории Печенгского муниципального округа.</w:t>
      </w: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BD4B6A" w:rsidRDefault="002C064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2C064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F3636">
        <w:rPr>
          <w:rFonts w:ascii="Times New Roman" w:hAnsi="Times New Roman"/>
          <w:color w:val="0070C0"/>
          <w:sz w:val="20"/>
          <w:szCs w:val="20"/>
        </w:rPr>
        <w:t>й</w:t>
      </w:r>
      <w:r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 w:rsidR="00EF3636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BF754B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BD4B6A">
        <w:rPr>
          <w:rFonts w:ascii="Times New Roman" w:hAnsi="Times New Roman"/>
          <w:color w:val="0070C0"/>
          <w:sz w:val="20"/>
          <w:szCs w:val="20"/>
        </w:rPr>
        <w:t>,</w:t>
      </w:r>
    </w:p>
    <w:p w:rsidR="002C064E" w:rsidRPr="002C064E" w:rsidRDefault="00C33AD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от 25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>
        <w:rPr>
          <w:rFonts w:ascii="Times New Roman" w:hAnsi="Times New Roman"/>
          <w:color w:val="0070C0"/>
          <w:sz w:val="20"/>
          <w:szCs w:val="20"/>
        </w:rPr>
        <w:t>469</w:t>
      </w:r>
      <w:r w:rsidR="00BD4B6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19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317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0"/>
      </w:tblGrid>
      <w:tr w:rsidR="002942BF">
        <w:trPr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2942BF">
        <w:trPr>
          <w:trHeight w:val="319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2942BF" w:rsidTr="00DE5B2D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безопасности проживания на территории Печенгского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2942BF">
        <w:trPr>
          <w:trHeight w:val="13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2942BF">
        <w:trPr>
          <w:trHeight w:val="64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КУИ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 «Жилищно-коммунальное хозяйство»</w:t>
            </w:r>
          </w:p>
        </w:tc>
      </w:tr>
      <w:tr w:rsidR="002942BF">
        <w:trPr>
          <w:trHeight w:val="4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отремонтированных магистральных и внутриквартальных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DE5B2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</w:t>
            </w:r>
            <w:r w:rsidR="00DE5B2D">
              <w:rPr>
                <w:rFonts w:ascii="Times New Roman" w:hAnsi="Times New Roman"/>
                <w:color w:val="000000"/>
                <w:sz w:val="20"/>
              </w:rPr>
              <w:t xml:space="preserve">сметной документации и </w:t>
            </w:r>
            <w:r>
              <w:rPr>
                <w:rFonts w:ascii="Times New Roman" w:hAnsi="Times New Roman"/>
                <w:color w:val="000000"/>
                <w:sz w:val="20"/>
              </w:rPr>
              <w:t>положительного заключения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EF363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EF363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F3636">
              <w:rPr>
                <w:rFonts w:ascii="Times New Roman" w:hAnsi="Times New Roman"/>
                <w:color w:val="000000"/>
                <w:sz w:val="20"/>
              </w:rPr>
              <w:t>Не менее 9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 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2.2.8.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подъездов многоквартирных домов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ОС и ЖКХ</w:t>
            </w:r>
          </w:p>
        </w:tc>
      </w:tr>
      <w:tr w:rsidR="002942BF">
        <w:trPr>
          <w:trHeight w:val="14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Текущее содержание мест 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доставки тел в морг и захоронение трупов, не востребованных родственниками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 ОРН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2C064E" w:rsidTr="002C064E">
        <w:trPr>
          <w:trHeight w:val="71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4E" w:rsidRDefault="002C064E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 w:rsidTr="002C064E">
        <w:trPr>
          <w:trHeight w:val="7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замененных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 исполнителей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граждан, привлеченных к</w:t>
            </w:r>
            <w:r w:rsidR="0097393B">
              <w:rPr>
                <w:rFonts w:ascii="Times New Roman" w:hAnsi="Times New Roman"/>
                <w:sz w:val="20"/>
              </w:rPr>
              <w:t xml:space="preserve"> временным </w:t>
            </w:r>
            <w:r>
              <w:rPr>
                <w:rFonts w:ascii="Times New Roman" w:hAnsi="Times New Roman"/>
                <w:sz w:val="20"/>
              </w:rPr>
              <w:t xml:space="preserve">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9739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 w:rsidR="0097393B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«РЭС»</w:t>
            </w:r>
          </w:p>
        </w:tc>
      </w:tr>
      <w:tr w:rsidR="002942BF">
        <w:trPr>
          <w:trHeight w:val="2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BD4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D4B6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МКУ «УБиР»</w:t>
            </w:r>
          </w:p>
        </w:tc>
      </w:tr>
      <w:tr w:rsidR="002942BF">
        <w:trPr>
          <w:trHeight w:val="63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дизайн – проектов благоустройства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BD4B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 w:rsidR="00BD4B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благоустроенных дворовых территорий в рамках реализации </w:t>
            </w:r>
            <w:r>
              <w:rPr>
                <w:rFonts w:ascii="Times New Roman" w:hAnsi="Times New Roman"/>
                <w:sz w:val="20"/>
              </w:rPr>
              <w:lastRenderedPageBreak/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дизан-проектов 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шесть подпрограмм: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№ 1):</w:t>
      </w:r>
    </w:p>
    <w:p w:rsidR="002942BF" w:rsidRDefault="009638F9">
      <w:pPr>
        <w:widowControl w:val="0"/>
        <w:tabs>
          <w:tab w:val="left" w:pos="283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подпрограммы: п</w:t>
      </w:r>
      <w:r>
        <w:rPr>
          <w:rFonts w:ascii="Times New Roman" w:hAnsi="Times New Roman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«Жилищно-коммунальное хозяйство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у</w:t>
      </w:r>
      <w:r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подпрограммы: 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Обеспечение бесперебойного функционирования систем коммунальной инфраструктуры.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Ремонт и содержание жилфонда.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Подпрограмма предусматривает реализацию комплекса мероприятий по </w:t>
      </w:r>
      <w:r>
        <w:rPr>
          <w:rFonts w:ascii="Times New Roman" w:hAnsi="Times New Roman" w:cs="Times New Roman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Подпрограмма 3 «Развитие сферы ритуальных услуг и мест захоронения»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u w:val="single"/>
          <w:lang w:eastAsia="ru-RU"/>
        </w:rPr>
        <w:t>(приложение № 3):</w:t>
      </w:r>
    </w:p>
    <w:p w:rsidR="002942BF" w:rsidRDefault="009638F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Цель подпрограммы – организация ритуальных услуг и содержание мест захоронения.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подпрограммы: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4):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2942BF" w:rsidRDefault="00963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942BF" w:rsidRDefault="009638F9">
      <w:pPr>
        <w:tabs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Повышение уровня комфортности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озеленение территорий населенных пунктов Печенгского муниципального округа, поддержания чистоты и порядка, обеспечение комфортного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животных без владельцев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                № 5):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Задача подпрограммы: регулирование численности животных без владельцев. 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6 «Формирование современной городской среды» (приложение                    № 6):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уровня благоустройства территории Печенгского муниципального округа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благоустройству территорий Печенгского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Подпрограммы устанавливается следующий перечень минимальных и дополнительных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установка урн;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>
        <w:rPr>
          <w:rFonts w:ascii="Times New Roman" w:hAnsi="Times New Roman"/>
          <w:sz w:val="24"/>
          <w:szCs w:val="24"/>
        </w:rPr>
        <w:tab/>
        <w:t>озеленение;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подпрограммы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софинансирование собственниками помещений многоквартирного дома работ по благоустройству в размере 20 % от стоимости выполнения таких работ.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дизайн-проектов благоустройства дворовых и общественных территорий устанавливаются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 не принимается.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контроля за их расходованием устанавливается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контроля за реализацией подпрограммы создана общественная комиссия. Порядок организации деятельности общественной комиссии и ее состав, утверждается нормативным актом администрации Печенгского муниципального округа.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F" w:rsidRDefault="002942B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2942BF" w:rsidRDefault="009638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BD4B6A" w:rsidRDefault="00BD4B6A" w:rsidP="00BD4B6A">
      <w:pPr>
        <w:pStyle w:val="af2"/>
        <w:widowControl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своевременности исполнения контрагентами своих обязательств.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2942BF" w:rsidRDefault="00963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 w:clear="all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807EC" w:rsidRPr="00C807EC" w:rsidRDefault="00C33AD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25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>
        <w:rPr>
          <w:rFonts w:ascii="Times New Roman" w:hAnsi="Times New Roman"/>
          <w:color w:val="0070C0"/>
          <w:sz w:val="20"/>
          <w:szCs w:val="20"/>
        </w:rPr>
        <w:t>469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7006"/>
      </w:tblGrid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2942BF">
        <w:trPr>
          <w:trHeight w:val="363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разработанной проектно-сметной документации.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39 855,4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39855,4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13126,9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13612,0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13116,5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санитарно-экологического состояния территории округа;</w:t>
            </w:r>
          </w:p>
          <w:p w:rsidR="002942BF" w:rsidRDefault="009638F9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сбора и удаления твердых бытовых отходов;</w:t>
            </w:r>
          </w:p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 на территории округа.</w:t>
            </w:r>
          </w:p>
        </w:tc>
      </w:tr>
      <w:tr w:rsidR="002942BF">
        <w:trPr>
          <w:trHeight w:val="274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C807EC">
              <w:rPr>
                <w:rFonts w:ascii="Times New Roman" w:hAnsi="Times New Roman"/>
                <w:sz w:val="24"/>
                <w:szCs w:val="24"/>
              </w:rPr>
              <w:t>, КУИ</w:t>
            </w:r>
          </w:p>
        </w:tc>
      </w:tr>
      <w:tr w:rsidR="002942BF">
        <w:trPr>
          <w:trHeight w:val="41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2942BF">
          <w:pgSz w:w="11905" w:h="16838"/>
          <w:pgMar w:top="1134" w:right="851" w:bottom="1135" w:left="1701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2942BF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2942BF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40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Ремонт, устройство 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2942BF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ЖКХ.                     Не  требует финансирования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2026-2027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25728,5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по ликвидации 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39855,4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13126,9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1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694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устройство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 обустроенных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671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по ликвидации 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проектно-сметных документаций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</w:tbl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«Жилищно-коммунальное хозяйство»</w:t>
      </w:r>
    </w:p>
    <w:p w:rsidR="009638F9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46C42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9638F9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F754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и от 25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9638F9">
        <w:rPr>
          <w:rFonts w:ascii="Times New Roman" w:hAnsi="Times New Roman"/>
          <w:color w:val="0070C0"/>
          <w:sz w:val="20"/>
          <w:szCs w:val="20"/>
        </w:rPr>
        <w:t>)</w:t>
      </w:r>
    </w:p>
    <w:p w:rsidR="009638F9" w:rsidRDefault="009638F9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бесперебойного функционирования систем коммунальной инфраструктуры.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2942BF">
        <w:trPr>
          <w:trHeight w:val="363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Доля отремонтированных магистральных и внутриквартальных сетей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 от общей протяженности системы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Наличие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сметной документации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положительного заключения экспертизы сметной документации на ремонт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Протяженность построенной сети водоснабжения в районе индивидуальной жилой застройки нп.</w:t>
            </w:r>
            <w:r w:rsidR="00BF75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Корзуново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Количество реконструированных котельных.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 Количество отремонтированных подъездов многоквартирных домов.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083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754B">
              <w:rPr>
                <w:rFonts w:ascii="Times New Roman" w:hAnsi="Times New Roman"/>
                <w:b/>
                <w:sz w:val="24"/>
                <w:szCs w:val="24"/>
              </w:rPr>
              <w:t>76 059,6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D46C42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56414,2 </w:t>
            </w:r>
            <w:r w:rsidR="009638F9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BF754B">
              <w:rPr>
                <w:rFonts w:ascii="Times New Roman" w:hAnsi="Times New Roman"/>
                <w:sz w:val="24"/>
                <w:szCs w:val="24"/>
              </w:rPr>
              <w:t>50670</w:t>
            </w:r>
            <w:r w:rsidR="000832F6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BF754B">
              <w:rPr>
                <w:rFonts w:ascii="Times New Roman" w:hAnsi="Times New Roman"/>
                <w:sz w:val="24"/>
                <w:szCs w:val="24"/>
              </w:rPr>
              <w:t>45765,3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4905,6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33040,0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22040,0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083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коммунальных систем, улучшение качества предоставляемых коммунальных услуг;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готовности объектов теплоснабжения, водоснабжения, водоотведения к отопительному периоду;</w:t>
            </w:r>
          </w:p>
          <w:p w:rsidR="002942BF" w:rsidRDefault="009638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2942BF">
        <w:trPr>
          <w:trHeight w:val="274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7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1134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AE6B3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42EF1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C85DC2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85DC2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C85DC2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185E8B">
        <w:rPr>
          <w:rFonts w:ascii="Times New Roman" w:hAnsi="Times New Roman"/>
          <w:color w:val="0070C0"/>
          <w:sz w:val="20"/>
          <w:szCs w:val="20"/>
        </w:rPr>
        <w:t xml:space="preserve"> и от 26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185E8B">
        <w:rPr>
          <w:rFonts w:ascii="Times New Roman" w:hAnsi="Times New Roman"/>
          <w:color w:val="0070C0"/>
          <w:sz w:val="20"/>
          <w:szCs w:val="20"/>
        </w:rPr>
        <w:t>469</w:t>
      </w:r>
      <w:r w:rsidR="00242EF1">
        <w:rPr>
          <w:rFonts w:ascii="Times New Roman" w:hAnsi="Times New Roman"/>
          <w:color w:val="0070C0"/>
          <w:sz w:val="20"/>
          <w:szCs w:val="20"/>
        </w:rPr>
        <w:t>)</w:t>
      </w:r>
    </w:p>
    <w:p w:rsidR="00242EF1" w:rsidRDefault="00242EF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2942BF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38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и внутриквартальных 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  <w:r w:rsidR="00242EF1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  <w:r w:rsidR="00242EF1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638F9">
              <w:rPr>
                <w:rFonts w:ascii="Times New Roman" w:hAnsi="Times New Roman"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22000</w:t>
            </w:r>
            <w:r w:rsidR="009638F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242EF1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638F9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E152AE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E152AE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6B31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 Корзуново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AE6B31" w:rsidRDefault="00826DBD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</w:t>
            </w:r>
            <w:r w:rsidR="00AE6B31">
              <w:rPr>
                <w:rFonts w:ascii="Times New Roman" w:hAnsi="Times New Roman"/>
              </w:rPr>
              <w:t>2026</w:t>
            </w: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 w:rsidTr="00BF4601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826DB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26DB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826DB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26DB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</w:t>
            </w:r>
            <w:r w:rsidR="00C7341F">
              <w:rPr>
                <w:rFonts w:ascii="Times New Roman" w:hAnsi="Times New Roman"/>
                <w:b/>
              </w:rPr>
              <w:t>41,0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  <w:r w:rsidR="00AE6B31">
              <w:rPr>
                <w:rFonts w:ascii="Times New Roman" w:hAnsi="Times New Roman"/>
                <w:b/>
              </w:rPr>
              <w:t>21,2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схемы теплоснабжения Печенгского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66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150670,9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145765,3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24490,6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14490,6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265809,3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194489,5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подъездов многоквартирных домов 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150670,9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145765,3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33040,0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22040,0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276059,6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203739,8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72319,8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2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AE6B31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0F5A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и от 25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DA0F5A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2942BF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703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внутриквартальных 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A01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413" w:type="dxa"/>
            <w:shd w:val="clear" w:color="auto" w:fill="auto"/>
          </w:tcPr>
          <w:p w:rsidR="002942BF" w:rsidRDefault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1275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1D0C31">
              <w:rPr>
                <w:rFonts w:ascii="Times New Roman" w:hAnsi="Times New Roman"/>
              </w:rPr>
              <w:t xml:space="preserve"> сметной документации и </w:t>
            </w:r>
            <w:r>
              <w:rPr>
                <w:rFonts w:ascii="Times New Roman" w:hAnsi="Times New Roman"/>
              </w:rPr>
              <w:t xml:space="preserve"> положительного заключения экспертизы сметной документации на ремонт </w:t>
            </w:r>
            <w:r w:rsidR="001D0C31">
              <w:rPr>
                <w:rFonts w:ascii="Times New Roman" w:hAnsi="Times New Roman"/>
              </w:rPr>
              <w:t xml:space="preserve">наружных </w:t>
            </w:r>
            <w:r>
              <w:rPr>
                <w:rFonts w:ascii="Times New Roman" w:hAnsi="Times New Roman"/>
              </w:rPr>
              <w:t>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>
        <w:trPr>
          <w:trHeight w:val="146"/>
        </w:trPr>
        <w:tc>
          <w:tcPr>
            <w:tcW w:w="84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413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</w:t>
            </w:r>
            <w:r w:rsidR="001A29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Корзуново</w:t>
            </w:r>
          </w:p>
        </w:tc>
        <w:tc>
          <w:tcPr>
            <w:tcW w:w="1275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78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992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413" w:type="dxa"/>
            <w:shd w:val="clear" w:color="auto" w:fill="auto"/>
          </w:tcPr>
          <w:p w:rsidR="002942BF" w:rsidRDefault="00984CE4" w:rsidP="00984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38F9">
              <w:rPr>
                <w:rFonts w:ascii="Times New Roman" w:hAnsi="Times New Roman"/>
              </w:rPr>
              <w:t>ктуализация схемы теплоснабжения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Ремонт и содержание жилфонда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 w:rsidP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</w:t>
            </w:r>
            <w:r w:rsidR="00DA0F5A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2942BF" w:rsidRDefault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подъездов многоквартирных домов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подъездов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сферы ритуальных услуг и мест захоронения»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C253AA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2942BF">
        <w:trPr>
          <w:trHeight w:val="363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Текущее содержание мест захоронения на территории муниципального округа. 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выплат по гарантированному перечню услуг по погребению.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2</w:t>
            </w:r>
            <w:r w:rsidR="00C253AA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8631,9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территории кладбищ и санитарного содержания кладбищ;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2942BF">
        <w:trPr>
          <w:trHeight w:val="274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«РЭС», МБУ «НДС», ОРН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2942BF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8956B0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2942BF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захоронение трупов, не востребованных родственниками)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6B0">
              <w:rPr>
                <w:rFonts w:ascii="Times New Roman" w:hAnsi="Times New Roman"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956B0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2942BF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2942BF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«Комплексное благоустройство и содержание городской среды»</w:t>
      </w:r>
    </w:p>
    <w:p w:rsidR="00AC261E" w:rsidRDefault="00AC2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9A3D33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 w:rsidR="009A3D33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 и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 xml:space="preserve">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AC261E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2942BF">
        <w:trPr>
          <w:trHeight w:val="256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комфортности проживания населения.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2942BF">
        <w:trPr>
          <w:trHeight w:val="363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 отремонтированных тротуаров и маршрутов.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 xml:space="preserve"> 300 550,0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97393B">
              <w:rPr>
                <w:rFonts w:ascii="Times New Roman" w:hAnsi="Times New Roman"/>
                <w:sz w:val="24"/>
                <w:szCs w:val="24"/>
              </w:rPr>
              <w:t>36892,8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7393B">
              <w:rPr>
                <w:rFonts w:ascii="Times New Roman" w:hAnsi="Times New Roman"/>
                <w:sz w:val="24"/>
                <w:szCs w:val="24"/>
              </w:rPr>
              <w:t>27013,4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63657,2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104</w:t>
            </w:r>
            <w:r w:rsidR="00283210">
              <w:rPr>
                <w:rFonts w:ascii="Times New Roman" w:hAnsi="Times New Roman"/>
                <w:sz w:val="24"/>
                <w:szCs w:val="24"/>
              </w:rPr>
              <w:t>925,6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283210">
              <w:rPr>
                <w:rFonts w:ascii="Times New Roman" w:hAnsi="Times New Roman"/>
                <w:sz w:val="24"/>
                <w:szCs w:val="24"/>
              </w:rPr>
              <w:t>1368,6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67363,0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2942BF">
        <w:trPr>
          <w:trHeight w:val="274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«РЭС», МБУ «НДС», МКУ «УБиР»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9A3D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 и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DA56D8">
        <w:rPr>
          <w:rFonts w:ascii="Times New Roman" w:hAnsi="Times New Roman"/>
          <w:color w:val="0070C0"/>
          <w:sz w:val="20"/>
          <w:szCs w:val="20"/>
        </w:rPr>
        <w:t>)</w:t>
      </w:r>
    </w:p>
    <w:p w:rsidR="00DA56D8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6"/>
        <w:gridCol w:w="51"/>
        <w:gridCol w:w="1372"/>
        <w:gridCol w:w="1097"/>
        <w:gridCol w:w="1227"/>
        <w:gridCol w:w="1218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8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Комплексное благоустройство и содержание городской среды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Обеспечение комфортных условий проживания населения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комфортности проживания населения</w:t>
            </w: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            </w:t>
            </w:r>
          </w:p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«НДС»;           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  <w:tc>
          <w:tcPr>
            <w:tcW w:w="402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6449,8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5599,8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10699,8</w:t>
            </w:r>
          </w:p>
        </w:tc>
        <w:tc>
          <w:tcPr>
            <w:tcW w:w="402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9849,8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38F9">
              <w:rPr>
                <w:rFonts w:ascii="Times New Roman" w:hAnsi="Times New Roman"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9638F9">
              <w:rPr>
                <w:rFonts w:ascii="Times New Roman" w:hAnsi="Times New Roman"/>
                <w:b/>
              </w:rPr>
              <w:t>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638F9">
              <w:rPr>
                <w:rFonts w:ascii="Times New Roman" w:hAnsi="Times New Roman"/>
                <w:b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7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3097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97393B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20323,7</w:t>
            </w:r>
          </w:p>
        </w:tc>
        <w:tc>
          <w:tcPr>
            <w:tcW w:w="402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BF46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22073,7</w:t>
            </w:r>
          </w:p>
        </w:tc>
        <w:tc>
          <w:tcPr>
            <w:tcW w:w="402" w:type="pct"/>
            <w:shd w:val="clear" w:color="auto" w:fill="auto"/>
          </w:tcPr>
          <w:p w:rsidR="002942BF" w:rsidRDefault="00BF46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22073,7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9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98640,4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49395,9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97A">
        <w:trPr>
          <w:trHeight w:val="176"/>
        </w:trPr>
        <w:tc>
          <w:tcPr>
            <w:tcW w:w="2341" w:type="pct"/>
            <w:gridSpan w:val="4"/>
            <w:vMerge/>
            <w:shd w:val="clear" w:color="auto" w:fill="auto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3097A" w:rsidRDefault="00A30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3097A" w:rsidRDefault="00BF4601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120714,1</w:t>
            </w:r>
          </w:p>
        </w:tc>
        <w:tc>
          <w:tcPr>
            <w:tcW w:w="402" w:type="pct"/>
            <w:shd w:val="clear" w:color="auto" w:fill="auto"/>
          </w:tcPr>
          <w:p w:rsidR="00A3097A" w:rsidRDefault="000912C0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71469,6</w:t>
            </w:r>
          </w:p>
        </w:tc>
        <w:tc>
          <w:tcPr>
            <w:tcW w:w="402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</w:t>
            </w: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числе: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2615,4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4.2.3.1.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стаж работы в районах Крайнего Севера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165016,8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55529,7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61100,7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48386,4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179835,9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60469,4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66040,4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53326,1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7205BB" w:rsidRDefault="000912C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36892,8</w:t>
            </w:r>
          </w:p>
        </w:tc>
        <w:tc>
          <w:tcPr>
            <w:tcW w:w="402" w:type="pct"/>
            <w:shd w:val="clear" w:color="auto" w:fill="auto"/>
          </w:tcPr>
          <w:p w:rsidR="007205BB" w:rsidRDefault="000912C0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27013,4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263657,2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104925,6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91368,6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67363,0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205BB" w:rsidRDefault="000912C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300550,0</w:t>
            </w:r>
          </w:p>
        </w:tc>
        <w:tc>
          <w:tcPr>
            <w:tcW w:w="402" w:type="pct"/>
            <w:shd w:val="clear" w:color="auto" w:fill="auto"/>
          </w:tcPr>
          <w:p w:rsidR="007205BB" w:rsidRDefault="000912C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131939,0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96308,3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72302,7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A00B2F" w:rsidRDefault="00A00B2F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2942B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912C0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 и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A00B2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942BF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</w:t>
            </w:r>
            <w:r>
              <w:rPr>
                <w:rFonts w:ascii="Times New Roman" w:hAnsi="Times New Roman"/>
                <w:b/>
              </w:rPr>
              <w:t>Обеспечение комфортных условий проживания населения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942BF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комфортности проживания населения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533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замененных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«УБиР»; МБУ «РЭС»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4.1.7.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0912C0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 w:rsidP="0009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</w:t>
            </w:r>
            <w:r w:rsidR="000912C0">
              <w:rPr>
                <w:rFonts w:ascii="Times New Roman" w:hAnsi="Times New Roman"/>
              </w:rPr>
              <w:t xml:space="preserve"> временным </w:t>
            </w:r>
            <w:r>
              <w:rPr>
                <w:rFonts w:ascii="Times New Roman" w:hAnsi="Times New Roman"/>
              </w:rPr>
              <w:t>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2942BF" w:rsidRDefault="00091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2942BF" w:rsidRDefault="002942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5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2942BF" w:rsidRPr="00C732CE" w:rsidRDefault="00C732CE" w:rsidP="00C732C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C732C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85E8B">
        <w:rPr>
          <w:rFonts w:ascii="Times New Roman" w:hAnsi="Times New Roman"/>
          <w:color w:val="0070C0"/>
          <w:sz w:val="20"/>
          <w:szCs w:val="20"/>
        </w:rPr>
        <w:t>й</w:t>
      </w:r>
      <w:r w:rsidRPr="00C732C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85E8B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Pr="00C732CE">
        <w:rPr>
          <w:rFonts w:ascii="Times New Roman" w:hAnsi="Times New Roman"/>
          <w:color w:val="0070C0"/>
          <w:sz w:val="20"/>
          <w:szCs w:val="20"/>
        </w:rPr>
        <w:t>)</w:t>
      </w:r>
    </w:p>
    <w:p w:rsidR="00C732CE" w:rsidRDefault="00C732CE" w:rsidP="00C7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численности животных без владельцев</w:t>
            </w:r>
          </w:p>
        </w:tc>
      </w:tr>
      <w:tr w:rsidR="002942BF">
        <w:trPr>
          <w:trHeight w:val="36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4891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185E8B">
              <w:rPr>
                <w:rFonts w:ascii="Times New Roman" w:hAnsi="Times New Roman"/>
                <w:b/>
                <w:sz w:val="24"/>
                <w:szCs w:val="24"/>
              </w:rPr>
              <w:t xml:space="preserve"> 7 325,9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7325,9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1913</w:t>
            </w:r>
            <w:r w:rsidR="00C732CE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C732C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2706,3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2706,3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C73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2942BF">
        <w:trPr>
          <w:trHeight w:val="27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«УБиР»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Pr="00C27C35" w:rsidRDefault="00185E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27C35" w:rsidRPr="00C27C35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C27C35" w:rsidRDefault="00C27C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2942BF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2942BF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 w:line="240" w:lineRule="auto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 w:clear="all"/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566B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 w:rsidRPr="009566B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A213C1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9566BE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2942BF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200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54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705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 w:rsidP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</w:rPr>
              <w:t>68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6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DA56D8" w:rsidRDefault="00DA5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A213C1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DA56D8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Печенгского муниципального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2942BF">
        <w:trPr>
          <w:trHeight w:val="363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A213C1">
              <w:rPr>
                <w:rFonts w:ascii="Times New Roman" w:hAnsi="Times New Roman"/>
                <w:b/>
              </w:rPr>
              <w:t>200 822,2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82918,1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42918,1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дворовых территорий;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и эстетического состояния Печенгского муниципального округа (общественных территорий) как места учебы, работы, жизни и отдыха;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мест досуга для населения Печенгского муниципального округа, которые могут использоваться по назначению в течение года;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общественных пространств маломобильным гражданам;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общественности в развитие городской современной среды.</w:t>
            </w:r>
          </w:p>
        </w:tc>
      </w:tr>
      <w:tr w:rsidR="002942BF">
        <w:trPr>
          <w:trHeight w:val="274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«УБиР»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DA56D8" w:rsidRPr="00DA56D8" w:rsidRDefault="00A213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 w:rsidRP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2"/>
        <w:gridCol w:w="6"/>
        <w:gridCol w:w="12"/>
        <w:gridCol w:w="4668"/>
        <w:gridCol w:w="48"/>
        <w:gridCol w:w="1372"/>
        <w:gridCol w:w="1097"/>
        <w:gridCol w:w="1169"/>
        <w:gridCol w:w="1275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 w:rsidTr="00A213C1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c>
          <w:tcPr>
            <w:tcW w:w="32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 «Формирование современной городской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243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638F9">
              <w:rPr>
                <w:rFonts w:ascii="Times New Roman" w:hAnsi="Times New Roman"/>
              </w:rPr>
              <w:t>0288,9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50288,9</w:t>
            </w:r>
          </w:p>
        </w:tc>
        <w:tc>
          <w:tcPr>
            <w:tcW w:w="421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25300,0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33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Ямочный ремонт дворовых проездов на территории Печенгского муниципального округа 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 w:rsidP="006C4BF6">
            <w:pPr>
              <w:spacing w:line="240" w:lineRule="auto"/>
              <w:ind w:right="-5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27F8" w:rsidTr="00A213C1">
        <w:trPr>
          <w:trHeight w:val="276"/>
        </w:trPr>
        <w:tc>
          <w:tcPr>
            <w:tcW w:w="331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6.1.4.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 w:rsidP="00D46C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C927F8" w:rsidTr="00A213C1">
        <w:trPr>
          <w:trHeight w:val="198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19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52467,9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27467,9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176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170372,0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34293,8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5000" w:type="pct"/>
            <w:gridSpan w:val="13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Повышение уровня благоустройства общественных территорий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6.2.1.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30450,2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6.2.2.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30450,2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15450,2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82918,1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42918,1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200822,2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49744,0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A213C1" w:rsidRDefault="00A213C1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  <w:bookmarkStart w:id="1" w:name="_GoBack"/>
      <w:bookmarkEnd w:id="1"/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«Формирование современной городской среды»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71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  <w:p w:rsidR="00A213C1" w:rsidRDefault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– проектов благоустройства дворовых территорий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Не менее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Ямочный ремонт дворовых проездов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дворовых территорий в рамках </w:t>
            </w:r>
            <w:r>
              <w:rPr>
                <w:rFonts w:ascii="Times New Roman" w:hAnsi="Times New Roman"/>
              </w:rPr>
              <w:lastRenderedPageBreak/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2. Повышение уровня благоустройства общественных территорий </w:t>
            </w:r>
          </w:p>
        </w:tc>
      </w:tr>
      <w:tr w:rsidR="002942BF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65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942BF">
      <w:pgSz w:w="11905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0A" w:rsidRDefault="00D7090A">
      <w:pPr>
        <w:spacing w:after="0" w:line="240" w:lineRule="auto"/>
      </w:pPr>
      <w:r>
        <w:separator/>
      </w:r>
    </w:p>
  </w:endnote>
  <w:endnote w:type="continuationSeparator" w:id="0">
    <w:p w:rsidR="00D7090A" w:rsidRDefault="00D7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0A" w:rsidRDefault="00D7090A">
      <w:pPr>
        <w:spacing w:after="0" w:line="240" w:lineRule="auto"/>
      </w:pPr>
      <w:r>
        <w:separator/>
      </w:r>
    </w:p>
  </w:footnote>
  <w:footnote w:type="continuationSeparator" w:id="0">
    <w:p w:rsidR="00D7090A" w:rsidRDefault="00D7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18D0"/>
    <w:multiLevelType w:val="hybridMultilevel"/>
    <w:tmpl w:val="3702B062"/>
    <w:lvl w:ilvl="0" w:tplc="19ECB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E46F4">
      <w:start w:val="1"/>
      <w:numFmt w:val="lowerLetter"/>
      <w:lvlText w:val="%2."/>
      <w:lvlJc w:val="left"/>
      <w:pPr>
        <w:ind w:left="1440" w:hanging="360"/>
      </w:pPr>
    </w:lvl>
    <w:lvl w:ilvl="2" w:tplc="94B21B18">
      <w:start w:val="1"/>
      <w:numFmt w:val="lowerRoman"/>
      <w:lvlText w:val="%3."/>
      <w:lvlJc w:val="right"/>
      <w:pPr>
        <w:ind w:left="2160" w:hanging="180"/>
      </w:pPr>
    </w:lvl>
    <w:lvl w:ilvl="3" w:tplc="C012F70A">
      <w:start w:val="1"/>
      <w:numFmt w:val="decimal"/>
      <w:lvlText w:val="%4."/>
      <w:lvlJc w:val="left"/>
      <w:pPr>
        <w:ind w:left="2880" w:hanging="360"/>
      </w:pPr>
    </w:lvl>
    <w:lvl w:ilvl="4" w:tplc="0726B55A">
      <w:start w:val="1"/>
      <w:numFmt w:val="lowerLetter"/>
      <w:lvlText w:val="%5."/>
      <w:lvlJc w:val="left"/>
      <w:pPr>
        <w:ind w:left="3600" w:hanging="360"/>
      </w:pPr>
    </w:lvl>
    <w:lvl w:ilvl="5" w:tplc="CC767632">
      <w:start w:val="1"/>
      <w:numFmt w:val="lowerRoman"/>
      <w:lvlText w:val="%6."/>
      <w:lvlJc w:val="right"/>
      <w:pPr>
        <w:ind w:left="4320" w:hanging="180"/>
      </w:pPr>
    </w:lvl>
    <w:lvl w:ilvl="6" w:tplc="CE18EE40">
      <w:start w:val="1"/>
      <w:numFmt w:val="decimal"/>
      <w:lvlText w:val="%7."/>
      <w:lvlJc w:val="left"/>
      <w:pPr>
        <w:ind w:left="5040" w:hanging="360"/>
      </w:pPr>
    </w:lvl>
    <w:lvl w:ilvl="7" w:tplc="9CA273B4">
      <w:start w:val="1"/>
      <w:numFmt w:val="lowerLetter"/>
      <w:lvlText w:val="%8."/>
      <w:lvlJc w:val="left"/>
      <w:pPr>
        <w:ind w:left="5760" w:hanging="360"/>
      </w:pPr>
    </w:lvl>
    <w:lvl w:ilvl="8" w:tplc="3A308E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52E"/>
    <w:multiLevelType w:val="hybridMultilevel"/>
    <w:tmpl w:val="326CC8DC"/>
    <w:lvl w:ilvl="0" w:tplc="4FA61F94">
      <w:start w:val="1"/>
      <w:numFmt w:val="decimal"/>
      <w:lvlText w:val="%1."/>
      <w:lvlJc w:val="left"/>
      <w:pPr>
        <w:ind w:left="360" w:hanging="360"/>
      </w:pPr>
    </w:lvl>
    <w:lvl w:ilvl="1" w:tplc="E0BAC8BE">
      <w:start w:val="1"/>
      <w:numFmt w:val="lowerLetter"/>
      <w:lvlText w:val="%2."/>
      <w:lvlJc w:val="left"/>
      <w:pPr>
        <w:ind w:left="1080" w:hanging="360"/>
      </w:pPr>
    </w:lvl>
    <w:lvl w:ilvl="2" w:tplc="AF2CCA82">
      <w:start w:val="1"/>
      <w:numFmt w:val="lowerRoman"/>
      <w:lvlText w:val="%3."/>
      <w:lvlJc w:val="right"/>
      <w:pPr>
        <w:ind w:left="1800" w:hanging="180"/>
      </w:pPr>
    </w:lvl>
    <w:lvl w:ilvl="3" w:tplc="61E4CF00">
      <w:start w:val="1"/>
      <w:numFmt w:val="decimal"/>
      <w:lvlText w:val="%4."/>
      <w:lvlJc w:val="left"/>
      <w:pPr>
        <w:ind w:left="2520" w:hanging="360"/>
      </w:pPr>
    </w:lvl>
    <w:lvl w:ilvl="4" w:tplc="D480CFCC">
      <w:start w:val="1"/>
      <w:numFmt w:val="lowerLetter"/>
      <w:lvlText w:val="%5."/>
      <w:lvlJc w:val="left"/>
      <w:pPr>
        <w:ind w:left="3240" w:hanging="360"/>
      </w:pPr>
    </w:lvl>
    <w:lvl w:ilvl="5" w:tplc="5DB2D9CE">
      <w:start w:val="1"/>
      <w:numFmt w:val="lowerRoman"/>
      <w:lvlText w:val="%6."/>
      <w:lvlJc w:val="right"/>
      <w:pPr>
        <w:ind w:left="3960" w:hanging="180"/>
      </w:pPr>
    </w:lvl>
    <w:lvl w:ilvl="6" w:tplc="6AD4CD82">
      <w:start w:val="1"/>
      <w:numFmt w:val="decimal"/>
      <w:lvlText w:val="%7."/>
      <w:lvlJc w:val="left"/>
      <w:pPr>
        <w:ind w:left="4680" w:hanging="360"/>
      </w:pPr>
    </w:lvl>
    <w:lvl w:ilvl="7" w:tplc="7D7C5A88">
      <w:start w:val="1"/>
      <w:numFmt w:val="lowerLetter"/>
      <w:lvlText w:val="%8."/>
      <w:lvlJc w:val="left"/>
      <w:pPr>
        <w:ind w:left="5400" w:hanging="360"/>
      </w:pPr>
    </w:lvl>
    <w:lvl w:ilvl="8" w:tplc="A036AE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3361"/>
    <w:multiLevelType w:val="multilevel"/>
    <w:tmpl w:val="C57C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8D69C3"/>
    <w:multiLevelType w:val="hybridMultilevel"/>
    <w:tmpl w:val="59BE54AC"/>
    <w:lvl w:ilvl="0" w:tplc="9BE8BB6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707A71A2">
      <w:start w:val="1"/>
      <w:numFmt w:val="lowerLetter"/>
      <w:lvlText w:val="%2."/>
      <w:lvlJc w:val="left"/>
      <w:pPr>
        <w:ind w:left="1098" w:hanging="360"/>
      </w:pPr>
    </w:lvl>
    <w:lvl w:ilvl="2" w:tplc="D21E5F06">
      <w:start w:val="1"/>
      <w:numFmt w:val="lowerRoman"/>
      <w:lvlText w:val="%3."/>
      <w:lvlJc w:val="right"/>
      <w:pPr>
        <w:ind w:left="1818" w:hanging="180"/>
      </w:pPr>
    </w:lvl>
    <w:lvl w:ilvl="3" w:tplc="F08493DA">
      <w:start w:val="1"/>
      <w:numFmt w:val="decimal"/>
      <w:lvlText w:val="%4."/>
      <w:lvlJc w:val="left"/>
      <w:pPr>
        <w:ind w:left="2538" w:hanging="360"/>
      </w:pPr>
    </w:lvl>
    <w:lvl w:ilvl="4" w:tplc="858E1CA4">
      <w:start w:val="1"/>
      <w:numFmt w:val="lowerLetter"/>
      <w:lvlText w:val="%5."/>
      <w:lvlJc w:val="left"/>
      <w:pPr>
        <w:ind w:left="3258" w:hanging="360"/>
      </w:pPr>
    </w:lvl>
    <w:lvl w:ilvl="5" w:tplc="0EFE9116">
      <w:start w:val="1"/>
      <w:numFmt w:val="lowerRoman"/>
      <w:lvlText w:val="%6."/>
      <w:lvlJc w:val="right"/>
      <w:pPr>
        <w:ind w:left="3978" w:hanging="180"/>
      </w:pPr>
    </w:lvl>
    <w:lvl w:ilvl="6" w:tplc="7824840C">
      <w:start w:val="1"/>
      <w:numFmt w:val="decimal"/>
      <w:lvlText w:val="%7."/>
      <w:lvlJc w:val="left"/>
      <w:pPr>
        <w:ind w:left="4698" w:hanging="360"/>
      </w:pPr>
    </w:lvl>
    <w:lvl w:ilvl="7" w:tplc="556452B4">
      <w:start w:val="1"/>
      <w:numFmt w:val="lowerLetter"/>
      <w:lvlText w:val="%8."/>
      <w:lvlJc w:val="left"/>
      <w:pPr>
        <w:ind w:left="5418" w:hanging="360"/>
      </w:pPr>
    </w:lvl>
    <w:lvl w:ilvl="8" w:tplc="3C423E4A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30422234"/>
    <w:multiLevelType w:val="hybridMultilevel"/>
    <w:tmpl w:val="C3B4758A"/>
    <w:lvl w:ilvl="0" w:tplc="8B8CEF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C9ECA0E">
      <w:start w:val="1"/>
      <w:numFmt w:val="lowerLetter"/>
      <w:lvlText w:val="%2."/>
      <w:lvlJc w:val="left"/>
      <w:pPr>
        <w:ind w:left="1398" w:hanging="360"/>
      </w:pPr>
    </w:lvl>
    <w:lvl w:ilvl="2" w:tplc="386023E4">
      <w:start w:val="1"/>
      <w:numFmt w:val="lowerRoman"/>
      <w:lvlText w:val="%3."/>
      <w:lvlJc w:val="right"/>
      <w:pPr>
        <w:ind w:left="2118" w:hanging="180"/>
      </w:pPr>
    </w:lvl>
    <w:lvl w:ilvl="3" w:tplc="28C68A70">
      <w:start w:val="1"/>
      <w:numFmt w:val="decimal"/>
      <w:lvlText w:val="%4."/>
      <w:lvlJc w:val="left"/>
      <w:pPr>
        <w:ind w:left="2838" w:hanging="360"/>
      </w:pPr>
    </w:lvl>
    <w:lvl w:ilvl="4" w:tplc="5B5097E8">
      <w:start w:val="1"/>
      <w:numFmt w:val="lowerLetter"/>
      <w:lvlText w:val="%5."/>
      <w:lvlJc w:val="left"/>
      <w:pPr>
        <w:ind w:left="3558" w:hanging="360"/>
      </w:pPr>
    </w:lvl>
    <w:lvl w:ilvl="5" w:tplc="2BEC7562">
      <w:start w:val="1"/>
      <w:numFmt w:val="lowerRoman"/>
      <w:lvlText w:val="%6."/>
      <w:lvlJc w:val="right"/>
      <w:pPr>
        <w:ind w:left="4278" w:hanging="180"/>
      </w:pPr>
    </w:lvl>
    <w:lvl w:ilvl="6" w:tplc="AB08C532">
      <w:start w:val="1"/>
      <w:numFmt w:val="decimal"/>
      <w:lvlText w:val="%7."/>
      <w:lvlJc w:val="left"/>
      <w:pPr>
        <w:ind w:left="4998" w:hanging="360"/>
      </w:pPr>
    </w:lvl>
    <w:lvl w:ilvl="7" w:tplc="964C7B06">
      <w:start w:val="1"/>
      <w:numFmt w:val="lowerLetter"/>
      <w:lvlText w:val="%8."/>
      <w:lvlJc w:val="left"/>
      <w:pPr>
        <w:ind w:left="5718" w:hanging="360"/>
      </w:pPr>
    </w:lvl>
    <w:lvl w:ilvl="8" w:tplc="3CD8838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9EB2B22"/>
    <w:multiLevelType w:val="hybridMultilevel"/>
    <w:tmpl w:val="C9B2632E"/>
    <w:lvl w:ilvl="0" w:tplc="467EAC9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CE1EDB5A">
      <w:start w:val="1"/>
      <w:numFmt w:val="lowerLetter"/>
      <w:lvlText w:val="%2."/>
      <w:lvlJc w:val="left"/>
      <w:pPr>
        <w:ind w:left="1137" w:hanging="360"/>
      </w:pPr>
    </w:lvl>
    <w:lvl w:ilvl="2" w:tplc="A984D968">
      <w:start w:val="1"/>
      <w:numFmt w:val="lowerRoman"/>
      <w:lvlText w:val="%3."/>
      <w:lvlJc w:val="right"/>
      <w:pPr>
        <w:ind w:left="1857" w:hanging="180"/>
      </w:pPr>
    </w:lvl>
    <w:lvl w:ilvl="3" w:tplc="E4EA9FC6">
      <w:start w:val="1"/>
      <w:numFmt w:val="decimal"/>
      <w:lvlText w:val="%4."/>
      <w:lvlJc w:val="left"/>
      <w:pPr>
        <w:ind w:left="2577" w:hanging="360"/>
      </w:pPr>
    </w:lvl>
    <w:lvl w:ilvl="4" w:tplc="F4864AB8">
      <w:start w:val="1"/>
      <w:numFmt w:val="lowerLetter"/>
      <w:lvlText w:val="%5."/>
      <w:lvlJc w:val="left"/>
      <w:pPr>
        <w:ind w:left="3297" w:hanging="360"/>
      </w:pPr>
    </w:lvl>
    <w:lvl w:ilvl="5" w:tplc="D48A718A">
      <w:start w:val="1"/>
      <w:numFmt w:val="lowerRoman"/>
      <w:lvlText w:val="%6."/>
      <w:lvlJc w:val="right"/>
      <w:pPr>
        <w:ind w:left="4017" w:hanging="180"/>
      </w:pPr>
    </w:lvl>
    <w:lvl w:ilvl="6" w:tplc="30860362">
      <w:start w:val="1"/>
      <w:numFmt w:val="decimal"/>
      <w:lvlText w:val="%7."/>
      <w:lvlJc w:val="left"/>
      <w:pPr>
        <w:ind w:left="4737" w:hanging="360"/>
      </w:pPr>
    </w:lvl>
    <w:lvl w:ilvl="7" w:tplc="44EEEFBC">
      <w:start w:val="1"/>
      <w:numFmt w:val="lowerLetter"/>
      <w:lvlText w:val="%8."/>
      <w:lvlJc w:val="left"/>
      <w:pPr>
        <w:ind w:left="5457" w:hanging="360"/>
      </w:pPr>
    </w:lvl>
    <w:lvl w:ilvl="8" w:tplc="BA828D96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A6E4E77"/>
    <w:multiLevelType w:val="hybridMultilevel"/>
    <w:tmpl w:val="DC728BBA"/>
    <w:lvl w:ilvl="0" w:tplc="C7CA0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9B3A">
      <w:start w:val="1"/>
      <w:numFmt w:val="lowerLetter"/>
      <w:lvlText w:val="%2."/>
      <w:lvlJc w:val="left"/>
      <w:pPr>
        <w:ind w:left="1440" w:hanging="360"/>
      </w:pPr>
    </w:lvl>
    <w:lvl w:ilvl="2" w:tplc="A0E27DB6">
      <w:start w:val="1"/>
      <w:numFmt w:val="lowerRoman"/>
      <w:lvlText w:val="%3."/>
      <w:lvlJc w:val="right"/>
      <w:pPr>
        <w:ind w:left="2160" w:hanging="180"/>
      </w:pPr>
    </w:lvl>
    <w:lvl w:ilvl="3" w:tplc="1C02E79E">
      <w:start w:val="1"/>
      <w:numFmt w:val="decimal"/>
      <w:lvlText w:val="%4."/>
      <w:lvlJc w:val="left"/>
      <w:pPr>
        <w:ind w:left="2880" w:hanging="360"/>
      </w:pPr>
    </w:lvl>
    <w:lvl w:ilvl="4" w:tplc="58FA03E0">
      <w:start w:val="1"/>
      <w:numFmt w:val="lowerLetter"/>
      <w:lvlText w:val="%5."/>
      <w:lvlJc w:val="left"/>
      <w:pPr>
        <w:ind w:left="3600" w:hanging="360"/>
      </w:pPr>
    </w:lvl>
    <w:lvl w:ilvl="5" w:tplc="1E90F74C">
      <w:start w:val="1"/>
      <w:numFmt w:val="lowerRoman"/>
      <w:lvlText w:val="%6."/>
      <w:lvlJc w:val="right"/>
      <w:pPr>
        <w:ind w:left="4320" w:hanging="180"/>
      </w:pPr>
    </w:lvl>
    <w:lvl w:ilvl="6" w:tplc="DF147C38">
      <w:start w:val="1"/>
      <w:numFmt w:val="decimal"/>
      <w:lvlText w:val="%7."/>
      <w:lvlJc w:val="left"/>
      <w:pPr>
        <w:ind w:left="5040" w:hanging="360"/>
      </w:pPr>
    </w:lvl>
    <w:lvl w:ilvl="7" w:tplc="18445AE6">
      <w:start w:val="1"/>
      <w:numFmt w:val="lowerLetter"/>
      <w:lvlText w:val="%8."/>
      <w:lvlJc w:val="left"/>
      <w:pPr>
        <w:ind w:left="5760" w:hanging="360"/>
      </w:pPr>
    </w:lvl>
    <w:lvl w:ilvl="8" w:tplc="980EDC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CA1"/>
    <w:multiLevelType w:val="hybridMultilevel"/>
    <w:tmpl w:val="1B8C2F04"/>
    <w:lvl w:ilvl="0" w:tplc="F858E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1A70FA">
      <w:start w:val="1"/>
      <w:numFmt w:val="lowerLetter"/>
      <w:lvlText w:val="%2."/>
      <w:lvlJc w:val="left"/>
      <w:pPr>
        <w:ind w:left="1222" w:hanging="360"/>
      </w:pPr>
    </w:lvl>
    <w:lvl w:ilvl="2" w:tplc="ABBCFAA4">
      <w:start w:val="1"/>
      <w:numFmt w:val="lowerRoman"/>
      <w:lvlText w:val="%3."/>
      <w:lvlJc w:val="right"/>
      <w:pPr>
        <w:ind w:left="1942" w:hanging="180"/>
      </w:pPr>
    </w:lvl>
    <w:lvl w:ilvl="3" w:tplc="0896E0D2">
      <w:start w:val="1"/>
      <w:numFmt w:val="decimal"/>
      <w:lvlText w:val="%4."/>
      <w:lvlJc w:val="left"/>
      <w:pPr>
        <w:ind w:left="2662" w:hanging="360"/>
      </w:pPr>
    </w:lvl>
    <w:lvl w:ilvl="4" w:tplc="93CA1EBA">
      <w:start w:val="1"/>
      <w:numFmt w:val="lowerLetter"/>
      <w:lvlText w:val="%5."/>
      <w:lvlJc w:val="left"/>
      <w:pPr>
        <w:ind w:left="3382" w:hanging="360"/>
      </w:pPr>
    </w:lvl>
    <w:lvl w:ilvl="5" w:tplc="230ABF60">
      <w:start w:val="1"/>
      <w:numFmt w:val="lowerRoman"/>
      <w:lvlText w:val="%6."/>
      <w:lvlJc w:val="right"/>
      <w:pPr>
        <w:ind w:left="4102" w:hanging="180"/>
      </w:pPr>
    </w:lvl>
    <w:lvl w:ilvl="6" w:tplc="75D4A5CA">
      <w:start w:val="1"/>
      <w:numFmt w:val="decimal"/>
      <w:lvlText w:val="%7."/>
      <w:lvlJc w:val="left"/>
      <w:pPr>
        <w:ind w:left="4822" w:hanging="360"/>
      </w:pPr>
    </w:lvl>
    <w:lvl w:ilvl="7" w:tplc="C8A6114C">
      <w:start w:val="1"/>
      <w:numFmt w:val="lowerLetter"/>
      <w:lvlText w:val="%8."/>
      <w:lvlJc w:val="left"/>
      <w:pPr>
        <w:ind w:left="5542" w:hanging="360"/>
      </w:pPr>
    </w:lvl>
    <w:lvl w:ilvl="8" w:tplc="0494E432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A0474E"/>
    <w:multiLevelType w:val="hybridMultilevel"/>
    <w:tmpl w:val="8B6E6D08"/>
    <w:lvl w:ilvl="0" w:tplc="69EAD84C">
      <w:start w:val="1"/>
      <w:numFmt w:val="decimal"/>
      <w:lvlText w:val="%1."/>
      <w:lvlJc w:val="left"/>
      <w:pPr>
        <w:ind w:left="720" w:hanging="360"/>
      </w:pPr>
    </w:lvl>
    <w:lvl w:ilvl="1" w:tplc="8048D9CE">
      <w:start w:val="1"/>
      <w:numFmt w:val="lowerLetter"/>
      <w:lvlText w:val="%2."/>
      <w:lvlJc w:val="left"/>
      <w:pPr>
        <w:ind w:left="1440" w:hanging="360"/>
      </w:pPr>
    </w:lvl>
    <w:lvl w:ilvl="2" w:tplc="5080D072">
      <w:start w:val="1"/>
      <w:numFmt w:val="lowerRoman"/>
      <w:lvlText w:val="%3."/>
      <w:lvlJc w:val="right"/>
      <w:pPr>
        <w:ind w:left="2160" w:hanging="180"/>
      </w:pPr>
    </w:lvl>
    <w:lvl w:ilvl="3" w:tplc="52D2CEEC">
      <w:start w:val="1"/>
      <w:numFmt w:val="decimal"/>
      <w:lvlText w:val="%4."/>
      <w:lvlJc w:val="left"/>
      <w:pPr>
        <w:ind w:left="2880" w:hanging="360"/>
      </w:pPr>
    </w:lvl>
    <w:lvl w:ilvl="4" w:tplc="E5DCCE28">
      <w:start w:val="1"/>
      <w:numFmt w:val="lowerLetter"/>
      <w:lvlText w:val="%5."/>
      <w:lvlJc w:val="left"/>
      <w:pPr>
        <w:ind w:left="3600" w:hanging="360"/>
      </w:pPr>
    </w:lvl>
    <w:lvl w:ilvl="5" w:tplc="6F4C1814">
      <w:start w:val="1"/>
      <w:numFmt w:val="lowerRoman"/>
      <w:lvlText w:val="%6."/>
      <w:lvlJc w:val="right"/>
      <w:pPr>
        <w:ind w:left="4320" w:hanging="180"/>
      </w:pPr>
    </w:lvl>
    <w:lvl w:ilvl="6" w:tplc="FBC0BDB2">
      <w:start w:val="1"/>
      <w:numFmt w:val="decimal"/>
      <w:lvlText w:val="%7."/>
      <w:lvlJc w:val="left"/>
      <w:pPr>
        <w:ind w:left="5040" w:hanging="360"/>
      </w:pPr>
    </w:lvl>
    <w:lvl w:ilvl="7" w:tplc="FEFE062E">
      <w:start w:val="1"/>
      <w:numFmt w:val="lowerLetter"/>
      <w:lvlText w:val="%8."/>
      <w:lvlJc w:val="left"/>
      <w:pPr>
        <w:ind w:left="5760" w:hanging="360"/>
      </w:pPr>
    </w:lvl>
    <w:lvl w:ilvl="8" w:tplc="7C0C3B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E68"/>
    <w:multiLevelType w:val="hybridMultilevel"/>
    <w:tmpl w:val="507AF318"/>
    <w:lvl w:ilvl="0" w:tplc="9CEEB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257B8">
      <w:start w:val="1"/>
      <w:numFmt w:val="lowerLetter"/>
      <w:lvlText w:val="%2."/>
      <w:lvlJc w:val="left"/>
      <w:pPr>
        <w:ind w:left="1440" w:hanging="360"/>
      </w:pPr>
    </w:lvl>
    <w:lvl w:ilvl="2" w:tplc="A9A82EF4">
      <w:start w:val="1"/>
      <w:numFmt w:val="lowerRoman"/>
      <w:lvlText w:val="%3."/>
      <w:lvlJc w:val="right"/>
      <w:pPr>
        <w:ind w:left="2160" w:hanging="180"/>
      </w:pPr>
    </w:lvl>
    <w:lvl w:ilvl="3" w:tplc="AC328DEE">
      <w:start w:val="1"/>
      <w:numFmt w:val="decimal"/>
      <w:lvlText w:val="%4."/>
      <w:lvlJc w:val="left"/>
      <w:pPr>
        <w:ind w:left="2880" w:hanging="360"/>
      </w:pPr>
    </w:lvl>
    <w:lvl w:ilvl="4" w:tplc="614E867A">
      <w:start w:val="1"/>
      <w:numFmt w:val="lowerLetter"/>
      <w:lvlText w:val="%5."/>
      <w:lvlJc w:val="left"/>
      <w:pPr>
        <w:ind w:left="3600" w:hanging="360"/>
      </w:pPr>
    </w:lvl>
    <w:lvl w:ilvl="5" w:tplc="9B44E9B6">
      <w:start w:val="1"/>
      <w:numFmt w:val="lowerRoman"/>
      <w:lvlText w:val="%6."/>
      <w:lvlJc w:val="right"/>
      <w:pPr>
        <w:ind w:left="4320" w:hanging="180"/>
      </w:pPr>
    </w:lvl>
    <w:lvl w:ilvl="6" w:tplc="9FB0A622">
      <w:start w:val="1"/>
      <w:numFmt w:val="decimal"/>
      <w:lvlText w:val="%7."/>
      <w:lvlJc w:val="left"/>
      <w:pPr>
        <w:ind w:left="5040" w:hanging="360"/>
      </w:pPr>
    </w:lvl>
    <w:lvl w:ilvl="7" w:tplc="DCFEA872">
      <w:start w:val="1"/>
      <w:numFmt w:val="lowerLetter"/>
      <w:lvlText w:val="%8."/>
      <w:lvlJc w:val="left"/>
      <w:pPr>
        <w:ind w:left="5760" w:hanging="360"/>
      </w:pPr>
    </w:lvl>
    <w:lvl w:ilvl="8" w:tplc="D0E690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94AC7"/>
    <w:multiLevelType w:val="hybridMultilevel"/>
    <w:tmpl w:val="103E9E54"/>
    <w:lvl w:ilvl="0" w:tplc="A7723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7074A330">
      <w:start w:val="1"/>
      <w:numFmt w:val="lowerLetter"/>
      <w:lvlText w:val="%2."/>
      <w:lvlJc w:val="left"/>
      <w:pPr>
        <w:ind w:left="1440" w:hanging="360"/>
      </w:pPr>
    </w:lvl>
    <w:lvl w:ilvl="2" w:tplc="E5C8EBA8">
      <w:start w:val="1"/>
      <w:numFmt w:val="lowerRoman"/>
      <w:lvlText w:val="%3."/>
      <w:lvlJc w:val="right"/>
      <w:pPr>
        <w:ind w:left="2160" w:hanging="180"/>
      </w:pPr>
    </w:lvl>
    <w:lvl w:ilvl="3" w:tplc="2ACE8F52">
      <w:start w:val="1"/>
      <w:numFmt w:val="decimal"/>
      <w:lvlText w:val="%4."/>
      <w:lvlJc w:val="left"/>
      <w:pPr>
        <w:ind w:left="2880" w:hanging="360"/>
      </w:pPr>
    </w:lvl>
    <w:lvl w:ilvl="4" w:tplc="E2DA4E9C">
      <w:start w:val="1"/>
      <w:numFmt w:val="lowerLetter"/>
      <w:lvlText w:val="%5."/>
      <w:lvlJc w:val="left"/>
      <w:pPr>
        <w:ind w:left="3600" w:hanging="360"/>
      </w:pPr>
    </w:lvl>
    <w:lvl w:ilvl="5" w:tplc="1CB496A0">
      <w:start w:val="1"/>
      <w:numFmt w:val="lowerRoman"/>
      <w:lvlText w:val="%6."/>
      <w:lvlJc w:val="right"/>
      <w:pPr>
        <w:ind w:left="4320" w:hanging="180"/>
      </w:pPr>
    </w:lvl>
    <w:lvl w:ilvl="6" w:tplc="FEE06304">
      <w:start w:val="1"/>
      <w:numFmt w:val="decimal"/>
      <w:lvlText w:val="%7."/>
      <w:lvlJc w:val="left"/>
      <w:pPr>
        <w:ind w:left="5040" w:hanging="360"/>
      </w:pPr>
    </w:lvl>
    <w:lvl w:ilvl="7" w:tplc="FF3C4D16">
      <w:start w:val="1"/>
      <w:numFmt w:val="lowerLetter"/>
      <w:lvlText w:val="%8."/>
      <w:lvlJc w:val="left"/>
      <w:pPr>
        <w:ind w:left="5760" w:hanging="360"/>
      </w:pPr>
    </w:lvl>
    <w:lvl w:ilvl="8" w:tplc="BCEC24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B3B"/>
    <w:multiLevelType w:val="hybridMultilevel"/>
    <w:tmpl w:val="F44235CA"/>
    <w:lvl w:ilvl="0" w:tplc="120E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B02C78">
      <w:start w:val="1"/>
      <w:numFmt w:val="lowerLetter"/>
      <w:lvlText w:val="%2."/>
      <w:lvlJc w:val="left"/>
      <w:pPr>
        <w:ind w:left="1789" w:hanging="360"/>
      </w:pPr>
    </w:lvl>
    <w:lvl w:ilvl="2" w:tplc="41827020">
      <w:start w:val="1"/>
      <w:numFmt w:val="lowerRoman"/>
      <w:lvlText w:val="%3."/>
      <w:lvlJc w:val="right"/>
      <w:pPr>
        <w:ind w:left="2509" w:hanging="180"/>
      </w:pPr>
    </w:lvl>
    <w:lvl w:ilvl="3" w:tplc="E00475CE">
      <w:start w:val="1"/>
      <w:numFmt w:val="decimal"/>
      <w:lvlText w:val="%4."/>
      <w:lvlJc w:val="left"/>
      <w:pPr>
        <w:ind w:left="3229" w:hanging="360"/>
      </w:pPr>
    </w:lvl>
    <w:lvl w:ilvl="4" w:tplc="ED06957E">
      <w:start w:val="1"/>
      <w:numFmt w:val="lowerLetter"/>
      <w:lvlText w:val="%5."/>
      <w:lvlJc w:val="left"/>
      <w:pPr>
        <w:ind w:left="3949" w:hanging="360"/>
      </w:pPr>
    </w:lvl>
    <w:lvl w:ilvl="5" w:tplc="87CAD95A">
      <w:start w:val="1"/>
      <w:numFmt w:val="lowerRoman"/>
      <w:lvlText w:val="%6."/>
      <w:lvlJc w:val="right"/>
      <w:pPr>
        <w:ind w:left="4669" w:hanging="180"/>
      </w:pPr>
    </w:lvl>
    <w:lvl w:ilvl="6" w:tplc="F8903468">
      <w:start w:val="1"/>
      <w:numFmt w:val="decimal"/>
      <w:lvlText w:val="%7."/>
      <w:lvlJc w:val="left"/>
      <w:pPr>
        <w:ind w:left="5389" w:hanging="360"/>
      </w:pPr>
    </w:lvl>
    <w:lvl w:ilvl="7" w:tplc="D6680A6E">
      <w:start w:val="1"/>
      <w:numFmt w:val="lowerLetter"/>
      <w:lvlText w:val="%8."/>
      <w:lvlJc w:val="left"/>
      <w:pPr>
        <w:ind w:left="6109" w:hanging="360"/>
      </w:pPr>
    </w:lvl>
    <w:lvl w:ilvl="8" w:tplc="812E66B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B81660"/>
    <w:multiLevelType w:val="hybridMultilevel"/>
    <w:tmpl w:val="14321A8C"/>
    <w:lvl w:ilvl="0" w:tplc="B0D0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BBE5A6C">
      <w:start w:val="1"/>
      <w:numFmt w:val="lowerLetter"/>
      <w:lvlText w:val="%2."/>
      <w:lvlJc w:val="left"/>
      <w:pPr>
        <w:ind w:left="1440" w:hanging="360"/>
      </w:pPr>
    </w:lvl>
    <w:lvl w:ilvl="2" w:tplc="5E8C7B92">
      <w:start w:val="1"/>
      <w:numFmt w:val="lowerRoman"/>
      <w:lvlText w:val="%3."/>
      <w:lvlJc w:val="right"/>
      <w:pPr>
        <w:ind w:left="2160" w:hanging="180"/>
      </w:pPr>
    </w:lvl>
    <w:lvl w:ilvl="3" w:tplc="06BCA52A">
      <w:start w:val="1"/>
      <w:numFmt w:val="decimal"/>
      <w:lvlText w:val="%4."/>
      <w:lvlJc w:val="left"/>
      <w:pPr>
        <w:ind w:left="2880" w:hanging="360"/>
      </w:pPr>
    </w:lvl>
    <w:lvl w:ilvl="4" w:tplc="B4D275E6">
      <w:start w:val="1"/>
      <w:numFmt w:val="lowerLetter"/>
      <w:lvlText w:val="%5."/>
      <w:lvlJc w:val="left"/>
      <w:pPr>
        <w:ind w:left="3600" w:hanging="360"/>
      </w:pPr>
    </w:lvl>
    <w:lvl w:ilvl="5" w:tplc="94DAED24">
      <w:start w:val="1"/>
      <w:numFmt w:val="lowerRoman"/>
      <w:lvlText w:val="%6."/>
      <w:lvlJc w:val="right"/>
      <w:pPr>
        <w:ind w:left="4320" w:hanging="180"/>
      </w:pPr>
    </w:lvl>
    <w:lvl w:ilvl="6" w:tplc="010C5FE6">
      <w:start w:val="1"/>
      <w:numFmt w:val="decimal"/>
      <w:lvlText w:val="%7."/>
      <w:lvlJc w:val="left"/>
      <w:pPr>
        <w:ind w:left="5040" w:hanging="360"/>
      </w:pPr>
    </w:lvl>
    <w:lvl w:ilvl="7" w:tplc="80140F28">
      <w:start w:val="1"/>
      <w:numFmt w:val="lowerLetter"/>
      <w:lvlText w:val="%8."/>
      <w:lvlJc w:val="left"/>
      <w:pPr>
        <w:ind w:left="5760" w:hanging="360"/>
      </w:pPr>
    </w:lvl>
    <w:lvl w:ilvl="8" w:tplc="E494A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F"/>
    <w:rsid w:val="000832F6"/>
    <w:rsid w:val="000912C0"/>
    <w:rsid w:val="000B0846"/>
    <w:rsid w:val="00104468"/>
    <w:rsid w:val="00124CF0"/>
    <w:rsid w:val="00124CF2"/>
    <w:rsid w:val="00185E8B"/>
    <w:rsid w:val="001A292A"/>
    <w:rsid w:val="001D0C31"/>
    <w:rsid w:val="00242EF1"/>
    <w:rsid w:val="00283210"/>
    <w:rsid w:val="002942BF"/>
    <w:rsid w:val="002C064E"/>
    <w:rsid w:val="002C08B4"/>
    <w:rsid w:val="002C77C2"/>
    <w:rsid w:val="0038548D"/>
    <w:rsid w:val="003D6F0C"/>
    <w:rsid w:val="004E0D78"/>
    <w:rsid w:val="00526E46"/>
    <w:rsid w:val="005D4665"/>
    <w:rsid w:val="005E4094"/>
    <w:rsid w:val="006733BE"/>
    <w:rsid w:val="00676817"/>
    <w:rsid w:val="00696AC4"/>
    <w:rsid w:val="006C4BF6"/>
    <w:rsid w:val="007205BB"/>
    <w:rsid w:val="0076613F"/>
    <w:rsid w:val="00826DBD"/>
    <w:rsid w:val="00844A57"/>
    <w:rsid w:val="00876106"/>
    <w:rsid w:val="008956B0"/>
    <w:rsid w:val="009566BE"/>
    <w:rsid w:val="009638F9"/>
    <w:rsid w:val="0097393B"/>
    <w:rsid w:val="00984CE4"/>
    <w:rsid w:val="009A3D33"/>
    <w:rsid w:val="009D3FDE"/>
    <w:rsid w:val="009F669B"/>
    <w:rsid w:val="00A00B2F"/>
    <w:rsid w:val="00A01BCA"/>
    <w:rsid w:val="00A213C1"/>
    <w:rsid w:val="00A3097A"/>
    <w:rsid w:val="00A45F90"/>
    <w:rsid w:val="00AC261E"/>
    <w:rsid w:val="00AE6B31"/>
    <w:rsid w:val="00BD0386"/>
    <w:rsid w:val="00BD4B6A"/>
    <w:rsid w:val="00BF4601"/>
    <w:rsid w:val="00BF754B"/>
    <w:rsid w:val="00C253AA"/>
    <w:rsid w:val="00C27C35"/>
    <w:rsid w:val="00C33ADE"/>
    <w:rsid w:val="00C732CE"/>
    <w:rsid w:val="00C7341F"/>
    <w:rsid w:val="00C807EC"/>
    <w:rsid w:val="00C85DC2"/>
    <w:rsid w:val="00C927F8"/>
    <w:rsid w:val="00CB64A3"/>
    <w:rsid w:val="00D37E59"/>
    <w:rsid w:val="00D46C42"/>
    <w:rsid w:val="00D7090A"/>
    <w:rsid w:val="00DA0F5A"/>
    <w:rsid w:val="00DA56D8"/>
    <w:rsid w:val="00DE5B2D"/>
    <w:rsid w:val="00E152AE"/>
    <w:rsid w:val="00EA6465"/>
    <w:rsid w:val="00EF3636"/>
    <w:rsid w:val="00EF43D0"/>
    <w:rsid w:val="00F57D0B"/>
    <w:rsid w:val="00F63718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D9E1A-A872-4C74-B67B-B47FD194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rPr>
      <w:sz w:val="24"/>
      <w:szCs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19">
    <w:name w:val="Без интервала1"/>
    <w:rPr>
      <w:rFonts w:cs="Calibri"/>
      <w:sz w:val="22"/>
      <w:szCs w:val="22"/>
      <w:lang w:eastAsia="en-US"/>
    </w:rPr>
  </w:style>
  <w:style w:type="paragraph" w:customStyle="1" w:styleId="1a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sz w:val="24"/>
      <w:szCs w:val="24"/>
      <w:lang w:eastAsia="ar-SA"/>
    </w:rPr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Название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b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FDE4-C5BA-46A9-AABB-E17A98A9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45</Pages>
  <Words>10770</Words>
  <Characters>61390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Миронова Анна Евгеньевна</cp:lastModifiedBy>
  <cp:revision>55</cp:revision>
  <dcterms:created xsi:type="dcterms:W3CDTF">2024-11-07T06:36:00Z</dcterms:created>
  <dcterms:modified xsi:type="dcterms:W3CDTF">2025-06-04T08:53:00Z</dcterms:modified>
</cp:coreProperties>
</file>