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highlight w:val="yellow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32"/>
          <w:szCs w:val="32"/>
          <w:highlight w:val="yellow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2"/>
          <w:szCs w:val="32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32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32"/>
          <w:highlight w:val="yellow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  <w:t xml:space="preserve">АДМИНИСТРАЦИЯ </w:t>
      </w:r>
      <w:r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ПЕЧЕНГСКОГО МУНИЦИПАЛЬНОГО ОКРУГА</w:t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МУРМАНСКОЙ ОБЛАСТИ</w:t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  <w:t xml:space="preserve">ПОСТАНОВЛЕНИЕ </w:t>
      </w:r>
      <w:r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44"/>
          <w:szCs w:val="4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 xml:space="preserve">о</w:t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 xml:space="preserve">т 12.11.2025      </w:t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ab/>
        <w:t xml:space="preserve">            </w:t>
      </w: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 xml:space="preserve">№ 1835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1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0"/>
          <w:lang w:eastAsia="ru-RU"/>
        </w:rPr>
        <w:t xml:space="preserve">п.г.т. Никель</w:t>
      </w:r>
      <w:r>
        <w:rPr>
          <w:rFonts w:ascii="Times New Roman" w:hAnsi="Times New Roman" w:eastAsia="Times New Roman"/>
          <w:sz w:val="20"/>
          <w:szCs w:val="18"/>
          <w:lang w:eastAsia="ru-RU"/>
        </w:rPr>
      </w:r>
      <w:r>
        <w:rPr>
          <w:rFonts w:ascii="Times New Roman" w:hAnsi="Times New Roman" w:eastAsia="Times New Roman"/>
          <w:sz w:val="20"/>
          <w:szCs w:val="1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18"/>
          <w:lang w:eastAsia="ru-RU"/>
        </w:rPr>
      </w:pPr>
      <w:r>
        <w:rPr>
          <w:rFonts w:ascii="Times New Roman" w:hAnsi="Times New Roman" w:eastAsia="Times New Roman"/>
          <w:sz w:val="20"/>
          <w:szCs w:val="18"/>
          <w:lang w:eastAsia="ru-RU"/>
        </w:rPr>
      </w:r>
      <w:r>
        <w:rPr>
          <w:rFonts w:ascii="Times New Roman" w:hAnsi="Times New Roman" w:eastAsia="Times New Roman"/>
          <w:sz w:val="20"/>
          <w:szCs w:val="18"/>
          <w:lang w:eastAsia="ru-RU"/>
        </w:rPr>
      </w:r>
      <w:r>
        <w:rPr>
          <w:rFonts w:ascii="Times New Roman" w:hAnsi="Times New Roman" w:eastAsia="Times New Roman"/>
          <w:sz w:val="20"/>
          <w:szCs w:val="1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18"/>
          <w:lang w:eastAsia="ru-RU"/>
        </w:rPr>
      </w:pPr>
      <w:r>
        <w:rPr>
          <w:rFonts w:ascii="Times New Roman" w:hAnsi="Times New Roman" w:eastAsia="Times New Roman"/>
          <w:sz w:val="20"/>
          <w:szCs w:val="18"/>
          <w:lang w:eastAsia="ru-RU"/>
        </w:rPr>
      </w:r>
      <w:r>
        <w:rPr>
          <w:rFonts w:ascii="Times New Roman" w:hAnsi="Times New Roman" w:eastAsia="Times New Roman"/>
          <w:sz w:val="20"/>
          <w:szCs w:val="18"/>
          <w:lang w:eastAsia="ru-RU"/>
        </w:rPr>
      </w:r>
      <w:r>
        <w:rPr>
          <w:rFonts w:ascii="Times New Roman" w:hAnsi="Times New Roman" w:eastAsia="Times New Roman"/>
          <w:sz w:val="20"/>
          <w:szCs w:val="1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Об утверждении муниципальной программы Печенгского муниципального округа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Обеспечение социальной стабильности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 на 2026 - 2028 годы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84" w:leader="none"/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в соответствии с 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</w:t>
        <w:br/>
        <w:t xml:space="preserve">№ 1488, в целях </w:t>
      </w:r>
      <w:r>
        <w:rPr>
          <w:rFonts w:ascii="Times New Roman" w:hAnsi="Times New Roman"/>
          <w:sz w:val="24"/>
          <w:szCs w:val="24"/>
        </w:rPr>
        <w:t xml:space="preserve">улучшения качества жизни населения и обеспечения социальной ста</w:t>
      </w:r>
      <w:r>
        <w:rPr>
          <w:rFonts w:ascii="Times New Roman" w:hAnsi="Times New Roman"/>
          <w:sz w:val="24"/>
          <w:szCs w:val="24"/>
        </w:rPr>
        <w:t xml:space="preserve">би</w:t>
      </w:r>
      <w:r>
        <w:rPr>
          <w:rFonts w:ascii="Times New Roman" w:hAnsi="Times New Roman"/>
          <w:sz w:val="24"/>
          <w:szCs w:val="24"/>
        </w:rPr>
        <w:t xml:space="preserve">льности в Печенгском муниципальном округе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84" w:leader="none"/>
          <w:tab w:val="left" w:pos="426" w:leader="none"/>
        </w:tabs>
        <w:rPr>
          <w:rFonts w:ascii="Times New Roman" w:hAnsi="Times New Roman" w:eastAsia="Times New Roman"/>
          <w:sz w:val="24"/>
          <w:szCs w:val="18"/>
          <w:lang w:eastAsia="ru-RU"/>
        </w:rPr>
      </w:pPr>
      <w:r>
        <w:rPr>
          <w:rFonts w:ascii="Times New Roman" w:hAnsi="Times New Roman" w:eastAsia="Times New Roman"/>
          <w:sz w:val="24"/>
          <w:szCs w:val="18"/>
          <w:lang w:eastAsia="ru-RU"/>
        </w:rPr>
      </w:r>
      <w:r>
        <w:rPr>
          <w:rFonts w:ascii="Times New Roman" w:hAnsi="Times New Roman" w:eastAsia="Times New Roman"/>
          <w:sz w:val="24"/>
          <w:szCs w:val="18"/>
          <w:lang w:eastAsia="ru-RU"/>
        </w:rPr>
      </w:r>
      <w:r>
        <w:rPr>
          <w:rFonts w:ascii="Times New Roman" w:hAnsi="Times New Roman" w:eastAsia="Times New Roman"/>
          <w:sz w:val="24"/>
          <w:szCs w:val="1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ПОСТАНОВЛЯЮ: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18"/>
          <w:lang w:eastAsia="ru-RU"/>
        </w:rPr>
      </w:pPr>
      <w:r>
        <w:rPr>
          <w:rFonts w:ascii="Times New Roman" w:hAnsi="Times New Roman" w:eastAsia="Times New Roman"/>
          <w:sz w:val="24"/>
          <w:szCs w:val="18"/>
          <w:lang w:eastAsia="ru-RU"/>
        </w:rPr>
      </w:r>
      <w:r>
        <w:rPr>
          <w:rFonts w:ascii="Times New Roman" w:hAnsi="Times New Roman" w:eastAsia="Times New Roman"/>
          <w:sz w:val="24"/>
          <w:szCs w:val="18"/>
          <w:lang w:eastAsia="ru-RU"/>
        </w:rPr>
      </w:r>
      <w:r>
        <w:rPr>
          <w:rFonts w:ascii="Times New Roman" w:hAnsi="Times New Roman" w:eastAsia="Times New Roman"/>
          <w:sz w:val="24"/>
          <w:szCs w:val="1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Утвердить муниципальную программу Печенгского муниципального округа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Обеспечение социальной стабильности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 2026 - 2028 годы согласно приложению.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</w:rPr>
        <w:t xml:space="preserve">Настоящее постановление вступает в силу с 01 января 2026 года.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</w:rPr>
        <w:t xml:space="preserve">3.</w:t>
      </w:r>
      <w:r>
        <w:rPr>
          <w:rFonts w:ascii="Times New Roman" w:hAnsi="Times New Roman" w:eastAsia="Times New Roman"/>
          <w:sz w:val="24"/>
          <w:szCs w:val="24"/>
        </w:rPr>
        <w:tab/>
        <w:t xml:space="preserve">Настоящее постановление опубликовать в официальном издании газета «Печенга» и разместить на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</w:rPr>
        <w:t xml:space="preserve"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5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5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Рыжкова А.А., 51543</w:t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ind w:left="5529" w:right="-1"/>
        <w:jc w:val="both"/>
        <w:spacing w:after="0" w:line="240" w:lineRule="auto"/>
        <w:tabs>
          <w:tab w:val="left" w:pos="0" w:leader="none"/>
          <w:tab w:val="left" w:pos="284" w:leader="none"/>
          <w:tab w:val="left" w:pos="1162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left="5529" w:right="-1"/>
        <w:jc w:val="both"/>
        <w:spacing w:after="0" w:line="240" w:lineRule="auto"/>
        <w:tabs>
          <w:tab w:val="left" w:pos="284" w:leader="none"/>
          <w:tab w:val="left" w:pos="5103" w:leader="none"/>
          <w:tab w:val="left" w:pos="5387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5529" w:right="-1"/>
        <w:jc w:val="both"/>
        <w:spacing w:after="0" w:line="240" w:lineRule="auto"/>
        <w:tabs>
          <w:tab w:val="left" w:pos="284" w:leader="none"/>
          <w:tab w:val="left" w:pos="5103" w:leader="none"/>
          <w:tab w:val="left" w:pos="5387" w:leader="none"/>
        </w:tabs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12.11.2025 № 1835</w:t>
      </w:r>
      <w:r>
        <w:rPr>
          <w:rFonts w:ascii="Times New Roman" w:hAnsi="Times New Roman"/>
          <w:i/>
          <w:color w:val="0000ff"/>
          <w:sz w:val="20"/>
          <w:szCs w:val="20"/>
        </w:rPr>
      </w:r>
      <w:r>
        <w:rPr>
          <w:rFonts w:ascii="Times New Roman" w:hAnsi="Times New Roman"/>
          <w:i/>
          <w:color w:val="0000ff"/>
          <w:sz w:val="20"/>
          <w:szCs w:val="20"/>
        </w:rPr>
      </w:r>
    </w:p>
    <w:p>
      <w:pPr>
        <w:jc w:val="left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Печенгского муниципального округа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«Обеспечение социальной стабильности»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 реализации: 2026 - 2028 годы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Администрация Печенгского муниципального округа (Управляющий делами администрации)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lang w:eastAsia="ru-RU"/>
        </w:rPr>
      </w:pPr>
      <w:r/>
      <w:bookmarkStart w:id="0" w:name="P366"/>
      <w:r/>
      <w:bookmarkEnd w:id="0"/>
      <w:r>
        <w:rPr>
          <w:rFonts w:ascii="Times New Roman" w:hAnsi="Times New Roman" w:eastAsia="Times New Roman"/>
          <w:b/>
          <w:sz w:val="24"/>
          <w:lang w:eastAsia="ru-RU"/>
        </w:rPr>
        <w:t xml:space="preserve">ПАСПОРТ</w:t>
      </w:r>
      <w:r>
        <w:rPr>
          <w:rFonts w:ascii="Times New Roman" w:hAnsi="Times New Roman" w:eastAsia="Times New Roman"/>
          <w:b/>
          <w:sz w:val="24"/>
          <w:lang w:eastAsia="ru-RU"/>
        </w:rPr>
      </w:r>
      <w:r>
        <w:rPr>
          <w:rFonts w:ascii="Times New Roman" w:hAnsi="Times New Roman" w:eastAsia="Times New Roman"/>
          <w:b/>
          <w:sz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муниципальной программы Печенгского муниципального округа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lang w:eastAsia="ru-RU"/>
        </w:rPr>
      </w:pPr>
      <w:r>
        <w:rPr>
          <w:rFonts w:ascii="Times New Roman" w:hAnsi="Times New Roman" w:eastAsia="Times New Roman"/>
          <w:b/>
          <w:sz w:val="24"/>
          <w:lang w:eastAsia="ru-RU"/>
        </w:rPr>
        <w:t xml:space="preserve">«Обеспечение социальной стабильности»</w:t>
      </w:r>
      <w:r>
        <w:rPr>
          <w:rFonts w:ascii="Times New Roman" w:hAnsi="Times New Roman" w:eastAsia="Times New Roman"/>
          <w:b/>
          <w:sz w:val="24"/>
          <w:lang w:eastAsia="ru-RU"/>
        </w:rPr>
      </w:r>
      <w:r>
        <w:rPr>
          <w:rFonts w:ascii="Times New Roman" w:hAnsi="Times New Roman" w:eastAsia="Times New Roman"/>
          <w:b/>
          <w:sz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pStyle w:val="900"/>
              <w:ind w:left="0"/>
              <w:jc w:val="both"/>
              <w:spacing w:after="0" w:line="240" w:lineRule="auto"/>
              <w:widowControl w:val="off"/>
              <w:tabs>
                <w:tab w:val="left" w:pos="300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основных социальных прав граждан, предоставление им минимального уровня жизненных благ и поддержка в трудных жизненных ситуациях.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jc w:val="center"/>
          <w:trHeight w:val="90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направлений (подпрограмм)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25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2026 - 2028 годы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11 839 800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,00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6 451 590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рублей, 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9 655 631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8 345 416,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8 450 543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рублей;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82 252 600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7 076 800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7 587 900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7 587 900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рублей;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40 910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14 869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12 484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13 557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,00 рублей;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ВБС  3 094 700,00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рублей, 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1 044 500,00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025 100,00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1 025 100,00 рублей.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муниципальной программы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num" w:pos="851" w:leader="none"/>
                <w:tab w:val="left" w:pos="851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получения социальной поддержки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которым назначена социальная поддержка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100%;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num" w:pos="851" w:leader="none"/>
                <w:tab w:val="left" w:pos="851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своевременных выплат гражданам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получающих пенсию за выслугу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лет, почетным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Заполярный,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награжденных почетным знаком «За заслуги перед Печенгским округом», граждан, которым присвоено почетное звание «Почетный гражданин «Пече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нгского муниципального округа» -100%;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num" w:pos="851" w:leader="none"/>
                <w:tab w:val="left" w:pos="851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Выполнение обязательств, связанных с захоронением погибших в ходе специальной военной операции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– 100 % в 2026 году;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num" w:pos="851" w:leader="none"/>
                <w:tab w:val="left" w:pos="851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приоритетных информации объектах социальной инфраструктуры Печенгского округа (далее – ОСИ) в электронном реестр ОСИ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Мурманской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электронной карте доступности интернет-портала «Жить вместе» государственной программы Российской Федерации «Доступная 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100%.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num" w:pos="851" w:leader="none"/>
                <w:tab w:val="left" w:pos="851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заявлений (обращений) по обеспечению доступности в МКД, в которых проживают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100 %;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num" w:pos="851" w:leader="none"/>
                <w:tab w:val="left" w:pos="851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социальной выплаты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приобретение (строительство) жилья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 Государственной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обратившихся за получе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меры социальной  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100%.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(Управляющий делами администрации) (далее – Управляющий делами администрации)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делами администрации;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дминистрация Печенгского муниципального округа (Специалист по работе с населением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(далее – специалист по работе с населением); муниципальное казенное учреждение «Управление по обеспечению деятельности администрации Печенгского муниципального округа» (Отдел работы с населением МКУ «Управление по ОДА»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(далее – ОРН); отдел образования администрации Печенгского муниципального округ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 (далее - отдел образования); отдел культуры, спорта и молодежной политики (далее – отдел КСиМП); Комитет по управлению имуществом администрации Печенгского муниципального округа (далее – КУИ); Отдел строительства и ЖКХ Администрации Печенгского муниципал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ьного округа (далее - ОС и ЖКХ), администрация Печенгского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муниципального сектор муниципальной службы и кадров  (далее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сектор мун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ципальной службы и кадров).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Связь с национальными, региональными проектами/государственными программами Мурманской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«Доступная среда»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Мурманской области «Социальная поддержка»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Мурманской области «Комфортное жилье и городская среда»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b/>
          <w:sz w:val="20"/>
          <w:szCs w:val="20"/>
          <w:highlight w:val="yellow"/>
        </w:rPr>
      </w:pPr>
      <w:r>
        <w:rPr>
          <w:rFonts w:ascii="Times New Roman" w:hAnsi="Times New Roman"/>
          <w:b/>
          <w:sz w:val="20"/>
          <w:szCs w:val="20"/>
          <w:highlight w:val="yellow"/>
        </w:rPr>
      </w:r>
      <w:r>
        <w:rPr>
          <w:rFonts w:ascii="Times New Roman" w:hAnsi="Times New Roman"/>
          <w:b/>
          <w:sz w:val="20"/>
          <w:szCs w:val="20"/>
          <w:highlight w:val="yellow"/>
        </w:rPr>
      </w:r>
      <w:r>
        <w:rPr>
          <w:rFonts w:ascii="Times New Roman" w:hAnsi="Times New Roman"/>
          <w:b/>
          <w:sz w:val="20"/>
          <w:szCs w:val="20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sz w:val="20"/>
          <w:szCs w:val="20"/>
          <w:highlight w:val="yellow"/>
        </w:rPr>
      </w:pPr>
      <w:r>
        <w:rPr>
          <w:rFonts w:ascii="Times New Roman" w:hAnsi="Times New Roman"/>
          <w:b/>
          <w:sz w:val="20"/>
          <w:szCs w:val="20"/>
          <w:highlight w:val="yellow"/>
        </w:rPr>
      </w:r>
      <w:r>
        <w:rPr>
          <w:rFonts w:ascii="Times New Roman" w:hAnsi="Times New Roman"/>
          <w:b/>
          <w:sz w:val="20"/>
          <w:szCs w:val="20"/>
          <w:highlight w:val="yellow"/>
        </w:rPr>
      </w:r>
      <w:r>
        <w:rPr>
          <w:rFonts w:ascii="Times New Roman" w:hAnsi="Times New Roman"/>
          <w:b/>
          <w:sz w:val="20"/>
          <w:szCs w:val="20"/>
          <w:highlight w:val="yellow"/>
        </w:rPr>
      </w:r>
    </w:p>
    <w:p>
      <w:pPr>
        <w:pStyle w:val="900"/>
        <w:numPr>
          <w:ilvl w:val="0"/>
          <w:numId w:val="14"/>
        </w:numPr>
        <w:ind w:left="0" w:firstLine="0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color w:val="000000"/>
          <w:sz w:val="24"/>
          <w:szCs w:val="24"/>
        </w:rPr>
        <w:suppressLineNumbers w:val="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задачи муниципального управления в сфере реализации муниципальной программы «Обеспечение социальных гарантий»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00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Основные приоритеты развития системы социальной поддержки населения Мурманской области определены с учетом задач, поставленных в </w:t>
      </w:r>
      <w:r>
        <w:rPr>
          <w:rFonts w:ascii="Times New Roman" w:hAnsi="Times New Roman"/>
          <w:sz w:val="24"/>
          <w:szCs w:val="24"/>
        </w:rPr>
        <w:t xml:space="preserve">государственной программе </w:t>
      </w:r>
      <w:r>
        <w:rPr>
          <w:rFonts w:ascii="Times New Roman" w:hAnsi="Times New Roman" w:eastAsiaTheme="minorHAnsi"/>
          <w:sz w:val="24"/>
          <w:szCs w:val="24"/>
        </w:rPr>
        <w:t xml:space="preserve">Российской Федерации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 w:eastAsiaTheme="minorHAnsi"/>
          <w:sz w:val="24"/>
          <w:szCs w:val="24"/>
        </w:rPr>
        <w:t xml:space="preserve"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4"/>
          <w:szCs w:val="24"/>
        </w:rPr>
        <w:t xml:space="preserve">», утвержденной постановлением Правительства </w:t>
      </w:r>
      <w:r>
        <w:rPr>
          <w:rFonts w:ascii="Times New Roman" w:hAnsi="Times New Roman" w:eastAsiaTheme="minorHAnsi"/>
          <w:sz w:val="24"/>
          <w:szCs w:val="24"/>
        </w:rPr>
        <w:t xml:space="preserve">Российской Федерации</w:t>
      </w:r>
      <w:r>
        <w:rPr>
          <w:rFonts w:ascii="Times New Roman" w:hAnsi="Times New Roman"/>
          <w:sz w:val="24"/>
          <w:szCs w:val="24"/>
        </w:rPr>
        <w:t xml:space="preserve"> от 30.12.2017 № 1710,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государственной программы Мурманской области «Обеспечение комфортной среды проживания населения региона», утверждённой постановлением Правительства Мурманской области от 30.09.2013 № 571-ПП</w:t>
      </w:r>
      <w:r>
        <w:rPr>
          <w:rFonts w:ascii="Times New Roman" w:hAnsi="Times New Roman" w:eastAsiaTheme="minorHAnsi"/>
          <w:sz w:val="24"/>
          <w:szCs w:val="24"/>
        </w:rPr>
        <w:t xml:space="preserve">, иных нормативных правовых актах Российской Федерации и Мурманской области.</w:t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числу основных приоритетов в рамках реализации настоящей муниципальной программы относятся: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своевременное и в полном объеме исполнение социальных обязательств, предусмотренных федеральным и региональным законодательством, правовыми актами Печенгского муниципального округа.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авторитета муниципальной службы, наличие дополнительных мер социальной поддержки создает условия для притока и закрепления на муниципальной службе наиболее компетентных сотрудников, способствует укреплению кадрового состава.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Поощрение граждан за существенный вклад в социально-экономическое развитие округа, значительные заслуги в производственной, общественной деятельности иных сферах, плодотво</w:t>
      </w:r>
      <w:r>
        <w:rPr>
          <w:rFonts w:ascii="Times New Roman" w:hAnsi="Times New Roman"/>
          <w:sz w:val="24"/>
          <w:szCs w:val="24"/>
        </w:rPr>
        <w:t xml:space="preserve">рный многолетний труд, высокие профессиональные достижения, способствуют вовлечению граждан в решение вопросов местного значения, формированию активной гражданской позиции, стимулирует к достижению более высоких результатов в различных сферах деятельности.</w:t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исполнение постановления Правительства </w:t>
      </w:r>
      <w:r>
        <w:rPr>
          <w:rFonts w:ascii="Times New Roman" w:hAnsi="Times New Roman"/>
          <w:sz w:val="24"/>
          <w:szCs w:val="24"/>
        </w:rPr>
        <w:t xml:space="preserve">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постановления Правительства Мурманской области от 29.11.2016 № 593-ПП «Об уполномоченном органе»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Приказа Министерства энергетики и жилищно-коммунального хозяйства Мурманской области </w:t>
        <w:br/>
        <w:t xml:space="preserve">от 12.01.2017 № 7 «Об утверждении положения о порядке создания и работы региональной межведомственной и муниципальных комиссий по обследованию жилых помещений инвалидов </w:t>
      </w:r>
      <w:r>
        <w:rPr>
          <w:rFonts w:ascii="Times New Roman" w:hAnsi="Times New Roman"/>
          <w:sz w:val="24"/>
          <w:szCs w:val="24"/>
        </w:rPr>
        <w:t xml:space="preserve">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 на территории Печенгского муниципальног</w:t>
      </w:r>
      <w:r>
        <w:rPr>
          <w:rFonts w:ascii="Times New Roman" w:hAnsi="Times New Roman"/>
          <w:sz w:val="24"/>
          <w:szCs w:val="24"/>
        </w:rPr>
        <w:t xml:space="preserve">о округа создана муниципальная комиссия по обследованию жилых помещений инвалидов и общества в многоквартирных домах, в которых проживают инвалиды, входящих в состав муниципального и частного жилищного фонда на территории Печенгского муниципального округа.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создания Комиссии является обследование жилого помещения инвалида и общего имущества в многоквартирном доме, в котором проживает инвал</w:t>
      </w:r>
      <w:r>
        <w:rPr>
          <w:rFonts w:ascii="Times New Roman" w:hAnsi="Times New Roman"/>
          <w:sz w:val="24"/>
          <w:szCs w:val="24"/>
        </w:rPr>
        <w:t xml:space="preserve">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</w:t>
      </w:r>
      <w:r>
        <w:rPr>
          <w:rFonts w:ascii="Times New Roman" w:hAnsi="Times New Roman"/>
          <w:sz w:val="24"/>
          <w:szCs w:val="24"/>
        </w:rPr>
        <w:t xml:space="preserve">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именуется - обследование жилого помещения инвалида), в том числе ограничений, вызванных: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стойкими расстройствами функции слуха, сопряженными с необходимостью использования вспомогательных средств;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стойкими расстройствами функции зрения, сопряженными с необходимостью использования собаки-проводника, иных вспомогательных средств;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задержками в развитии и другими нарушениями функций организма человека.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Обследование жилых помещений инвалидов проводится на постоянной основе  в соответствии с Планом мероприятий по приспособлению жилых помещ</w:t>
      </w:r>
      <w:r>
        <w:rPr>
          <w:rFonts w:ascii="Times New Roman" w:hAnsi="Times New Roman"/>
          <w:sz w:val="24"/>
          <w:szCs w:val="24"/>
        </w:rPr>
        <w:t xml:space="preserve">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обследования жилого помещения инвалида оформляются: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решение об экон</w:t>
      </w:r>
      <w:r>
        <w:rPr>
          <w:rFonts w:ascii="Times New Roman" w:hAnsi="Times New Roman"/>
          <w:sz w:val="24"/>
          <w:szCs w:val="24"/>
        </w:rPr>
        <w:t xml:space="preserve">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заключение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Государство реализует ряд мер социальной поддержки для семей мобилизованных, военнослужащих-контрактников и добровольцев, участвующих в СВО. Поддержка осуществляется на федеральном,  региональном уровнях и муниципальных уровнях.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решение Совета депутатов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от 16.04.2021 №148 «Об утверждении Порядка определения размера арендной платы, порядка, условия и сроки внесения арендной платы за использование земельных участков, находящихся в муниципальной собственности, и земельных участков, государственная собственн</w:t>
      </w:r>
      <w:r>
        <w:rPr>
          <w:rFonts w:ascii="Times New Roman" w:hAnsi="Times New Roman"/>
          <w:sz w:val="24"/>
          <w:szCs w:val="24"/>
        </w:rPr>
        <w:t xml:space="preserve">ость на которые не разграничена, расположенных на территории Печенгского муниципального округа» Ветеранам СВО предоставляется льгота при определении размера арендной платы за пользование земельными участками на территории Печенгского муниципального округа.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решением Совета депутатов Печенгског</w:t>
      </w:r>
      <w:r>
        <w:rPr>
          <w:rFonts w:ascii="Times New Roman" w:hAnsi="Times New Roman"/>
          <w:sz w:val="24"/>
          <w:szCs w:val="24"/>
        </w:rPr>
        <w:t xml:space="preserve">о муниципального округа от 03.03.2023 №368 «О предоставлении отсрочки по договора аренды имущества, находящегося в собственности Печенгского муниципального округа, в связи с частичной мобилизацией», лицам, призванным на военную службу по мобилизации, либ</w:t>
      </w:r>
      <w:r>
        <w:rPr>
          <w:rFonts w:ascii="Times New Roman" w:hAnsi="Times New Roman"/>
          <w:sz w:val="24"/>
          <w:szCs w:val="24"/>
        </w:rPr>
        <w:t xml:space="preserve">о заключившие контракт о добровольном содействии в  выполнении задач, возложенных на ВС РФ (Ветеранам СВО) предоставляется отсрочка арендной платы по договорам аренды имущества, находящегося в собственности Печенгского МО, в связи с частичной мобилизацией.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поддержки членов семей военнослужащих осуществляется перевозка детей участников СВО, а также предоставляются льготы для участников СВО, в том числе и для их семей (бесплатное посещение учреждений культуры и спорта).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Муниципалитет берет на себя расходы по захоронению участников СВО за счет средств бюджета.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Поддержка молодых семей в улучшении жилищных условий является одним из важнейших направлений жилищной и демографической политики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Как правило, у молодых семей нет возможности получить доступ на рынок жилья без бюджетной поддержки. Даже имея достаточный уровень дохода для получен</w:t>
      </w:r>
      <w:r>
        <w:rPr>
          <w:rFonts w:ascii="Times New Roman" w:hAnsi="Times New Roman"/>
          <w:bCs/>
          <w:sz w:val="24"/>
          <w:szCs w:val="24"/>
        </w:rPr>
        <w:t xml:space="preserve">ия жилищного, в том числе ипотечного, кредита, они не могут оплатить первоначальный взнос при предоставлении семье кредита. Молодые семьи в основном являются приобретателями первого в жизни жилого помещения, а значит, не имеют в собственности жилого помеще</w:t>
      </w:r>
      <w:r>
        <w:rPr>
          <w:rFonts w:ascii="Times New Roman" w:hAnsi="Times New Roman"/>
          <w:bCs/>
          <w:sz w:val="24"/>
          <w:szCs w:val="24"/>
        </w:rPr>
        <w:t xml:space="preserve">ния, которое можно было бы использовать в качестве обеспечения уплаты первоначального взноса при получении жилищного, в том числе ипотечного, кредита или займа. К тому же, как правило, они еще не имеют возможности накопить на эти цели необходимые средства.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Однако данная категория населения имеет хорошие перспективы роста за</w:t>
      </w:r>
      <w:r>
        <w:rPr>
          <w:rFonts w:ascii="Times New Roman" w:hAnsi="Times New Roman"/>
          <w:bCs/>
          <w:sz w:val="24"/>
          <w:szCs w:val="24"/>
        </w:rPr>
        <w:t xml:space="preserve">работной платы по мере повышения квалификации, и оказание финансовой поддержки за счёт средств муниципального, областного и федерального бюджетов в приобретении собственного жилья будет являться для них хорошим стимулом дальнейшего профессионального роста.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Неудовлетворительное жилищное положение, вынужденное проживание с родителями одн</w:t>
      </w:r>
      <w:r>
        <w:rPr>
          <w:rFonts w:ascii="Times New Roman" w:hAnsi="Times New Roman"/>
          <w:bCs/>
          <w:sz w:val="24"/>
          <w:szCs w:val="24"/>
        </w:rPr>
        <w:t xml:space="preserve">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</w:t>
      </w:r>
      <w:r>
        <w:rPr>
          <w:rFonts w:ascii="Times New Roman" w:hAnsi="Times New Roman"/>
          <w:bCs/>
          <w:sz w:val="24"/>
          <w:szCs w:val="24"/>
        </w:rPr>
        <w:t xml:space="preserve">етей. В связи с этим продуманная и реалистичная политика в отношении семьи, расширение экономической поддержки семьи и, в частности, помощь в приобретении (строительстве) жилья могут наиболее серьёзным образом повлиять на репродуктивное поведение молодежи.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Печенгском муниц</w:t>
      </w:r>
      <w:r>
        <w:rPr>
          <w:rFonts w:ascii="Times New Roman" w:hAnsi="Times New Roman"/>
          <w:bCs/>
          <w:sz w:val="24"/>
          <w:szCs w:val="24"/>
        </w:rPr>
        <w:t xml:space="preserve">ипальном округе. Возможность решения жилищной проблемы, в том числе с привлечением средств жилищного (ипотечного)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Д</w:t>
      </w:r>
      <w:r>
        <w:rPr>
          <w:rFonts w:ascii="Times New Roman" w:hAnsi="Times New Roman"/>
          <w:bCs/>
          <w:sz w:val="24"/>
          <w:szCs w:val="24"/>
        </w:rPr>
        <w:t xml:space="preserve">ля решения данной проблемы требуются участие и взаимодействие органов местного самоуправления, исполнительных органов государственной власти Мурманской области, кредитных и других организаций, что обусловливает необходимость применения программных методов.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Программой предусматривается решение следующих задач: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обеспечение адресности, обоснованности и своевременной выплаты мер социальной поддержки отдельным категориям граждан;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обеспечение доступности в МКД в которых проживают инвалиды, с учетом потребностей;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-7797" w:leader="none"/>
        </w:tabs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- </w:t>
      </w:r>
      <w:r>
        <w:rPr>
          <w:rFonts w:ascii="Times New Roman" w:hAnsi="Times New Roman"/>
          <w:bCs/>
          <w:sz w:val="24"/>
          <w:szCs w:val="24"/>
        </w:rPr>
        <w:t xml:space="preserve">обеспечение жильем молодых семей, проживающих на территории Печенгского муниципального округа, признанных в установленном порядке, нуждающимися в улучшении жилищных условий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u w:val="single"/>
        </w:rPr>
        <w:sectPr>
          <w:footnotePr/>
          <w:endnotePr/>
          <w:type w:val="nextPage"/>
          <w:pgSz w:w="11905" w:h="16838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lang w:eastAsia="ru-RU"/>
        </w:rPr>
      </w:pPr>
      <w:r/>
      <w:bookmarkStart w:id="1" w:name="P446"/>
      <w:r/>
      <w:bookmarkEnd w:id="1"/>
      <w:r>
        <w:rPr>
          <w:rFonts w:ascii="Times New Roman" w:hAnsi="Times New Roman" w:eastAsia="Times New Roman"/>
          <w:b/>
          <w:sz w:val="24"/>
          <w:lang w:eastAsia="ru-RU"/>
        </w:rPr>
        <w:t xml:space="preserve">2. Перечень показателей муниципальной программы</w:t>
      </w:r>
      <w:r>
        <w:rPr>
          <w:rFonts w:ascii="Times New Roman" w:hAnsi="Times New Roman" w:eastAsia="Times New Roman"/>
          <w:b/>
          <w:sz w:val="24"/>
          <w:lang w:eastAsia="ru-RU"/>
        </w:rPr>
      </w:r>
      <w:r>
        <w:rPr>
          <w:rFonts w:ascii="Times New Roman" w:hAnsi="Times New Roman" w:eastAsia="Times New Roman"/>
          <w:b/>
          <w:sz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lang w:eastAsia="ru-RU"/>
        </w:rPr>
      </w:pPr>
      <w:r>
        <w:rPr>
          <w:rFonts w:ascii="Times New Roman" w:hAnsi="Times New Roman" w:eastAsia="Times New Roman"/>
          <w:b/>
          <w:sz w:val="24"/>
          <w:lang w:eastAsia="ru-RU"/>
        </w:rPr>
      </w:r>
      <w:r>
        <w:rPr>
          <w:rFonts w:ascii="Times New Roman" w:hAnsi="Times New Roman" w:eastAsia="Times New Roman"/>
          <w:b/>
          <w:sz w:val="24"/>
          <w:lang w:eastAsia="ru-RU"/>
        </w:rPr>
      </w:r>
      <w:r>
        <w:rPr>
          <w:rFonts w:ascii="Times New Roman" w:hAnsi="Times New Roman" w:eastAsia="Times New Roman"/>
          <w:b/>
          <w:sz w:val="24"/>
          <w:lang w:eastAsia="ru-RU"/>
        </w:rPr>
      </w: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8"/>
        <w:gridCol w:w="992"/>
        <w:gridCol w:w="1134"/>
        <w:gridCol w:w="1276"/>
        <w:gridCol w:w="1134"/>
        <w:gridCol w:w="992"/>
        <w:gridCol w:w="993"/>
        <w:gridCol w:w="992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 № п/п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Ед. изм.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Направленность показателя</w:t>
            </w:r>
            <w:r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Соисполнитель,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ответственный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 достижение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показателя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2024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2025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факт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5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hAnsi="Times New Roman" w:eastAsia="Times New Roman"/>
                <w:b/>
                <w:u w:val="single"/>
                <w:lang w:eastAsia="ru-RU"/>
              </w:rPr>
              <w:t xml:space="preserve">«Обеспечение социальн</w:t>
            </w:r>
            <w:r>
              <w:rPr>
                <w:rFonts w:ascii="Times New Roman" w:hAnsi="Times New Roman" w:eastAsia="Times New Roman"/>
                <w:b/>
                <w:u w:val="single"/>
                <w:lang w:eastAsia="ru-RU"/>
              </w:rPr>
              <w:t xml:space="preserve">ой стабильности</w:t>
            </w:r>
            <w:r>
              <w:rPr>
                <w:rFonts w:ascii="Times New Roman" w:hAnsi="Times New Roman" w:eastAsia="Times New Roman"/>
                <w:b/>
                <w:u w:val="singl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Цель муниципальной программы: Защита основных социальных прав граждан, предоставление им минимального уровня жизненных благ и поддержка в трудных жизненных ситуациях.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граждан, получивших социальную поддержку, от общего числа граждан, которым назначена социальная поддержка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Отдел образования,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отдел КСиМП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муниципальных служащих своевременно получающих пенсию за выслугу лет от общей численности муниципальных служащих, которым назначена пенсия за выслугу лет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Администрация,             сектор муниципальной службы и кадров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1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граждан г. 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аполярный, граждан, награжденных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почетным знаком «За заслуги перед Печенгским округом», граждан, которым присвоено почетное звание «Почетный гражданин «Печенгского муниципального округа», своевременно получивших социальную поддержку от общего числа граждан, которым присвоены такие звания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0.4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Выполнение обязательств, связанных с захоронением погибших в ходе специальной военной операции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Управляющий делами администрации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приоритетных объектов социальной инфраструктуры (далее – ОСИ) Печенгского муниципального округа занесенных в электронный реестр ОСИ Мурманской области, а также размеще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ных на электронной карте доступности интернет-портала «Жить вместе» государственной программы Российской Федерации «Доступная среда»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1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исполненных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обоснованных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заявлений (обращений) по обеспечению доступности в МКД, в которых проживают инвалиды от общего числа поступивших заявлений (обращений)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Число семей участников Государственной программы получивших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социальную выплату на приобретение (строительство) жилья от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общего числа семей обратившихся за получением меры социальной  поддержки.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ОС и ЖКХ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pStyle w:val="910"/>
        <w:jc w:val="both"/>
        <w:spacing w:before="0" w:beforeAutospacing="0" w:after="0" w:afterAutospacing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</w:r>
      <w:r>
        <w:rPr>
          <w:sz w:val="20"/>
          <w:szCs w:val="20"/>
          <w:vertAlign w:val="superscript"/>
        </w:rPr>
      </w:r>
      <w:r>
        <w:rPr>
          <w:sz w:val="20"/>
          <w:szCs w:val="20"/>
          <w:vertAlign w:val="superscript"/>
        </w:rPr>
      </w:r>
    </w:p>
    <w:p>
      <w:pPr>
        <w:pStyle w:val="91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contextualSpacing/>
        <w:ind w:firstLine="284"/>
        <w:jc w:val="both"/>
        <w:spacing w:before="168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contextualSpacing/>
        <w:ind w:firstLine="284"/>
        <w:jc w:val="both"/>
        <w:spacing w:before="168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contextualSpacing/>
        <w:ind w:firstLine="284"/>
        <w:jc w:val="both"/>
        <w:spacing w:before="168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3. Перечень структурных элементов муниципальной программы</w:t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tbl>
      <w:tblPr>
        <w:tblW w:w="143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94"/>
        <w:gridCol w:w="1276"/>
        <w:gridCol w:w="1701"/>
        <w:gridCol w:w="722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п/п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Направления (подпрограммы), комплексы процессных и (или) проектных мероприятий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Срок выполнения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1.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«Создание условий для роста благосостояния граждан – получателей мер социальной поддержки»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2026 - 2028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0.1. 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граждан, получивших социальную поддержку, от общего числа граждан, которым назначена социальная поддержка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0.2. Доля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муниципальных служащих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своевременно получающих пенсию за выслугу лет от общей численности муниципальных служащих, которым назначена пенсия за вы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лугу лет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0.3. 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почетных граждан г. 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аполярный, граждан, награжденных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почетным знаком «За заслуги перед Печенгским округом», граждан, которым присвоено почетное звание «Почетный гражданин «Печенгского муниципального округа», своевременно получивших социальную поддержку от общего числа граждан, которым присвоены такие звания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0.4. Выполнение обязательств, связанных с захоронением погибших в ходе специальной военной операции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2.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«Создание условий для эффективной интеграции инвалидов в общество»</w:t>
            </w: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2026 - 2028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приоритетных объектов социальной инфраструкт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уры (далее – ОСИ) Печенгского муниципального округа занесенных в электронный реестр ОСИ Мурманской области, а также размещенных на электронной карте доступности интернет-портала «Жить вместе» государственной программы Российской Федерации «Доступная среда»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исполненных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обоснованных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заявлений (обращений) по обеспечению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доступности в МКД, в которых проживают инвалиды от общего числа поступивших заявлений (обращений)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3.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«Создание условий для социальной помощи семьям»</w:t>
            </w: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2026 - 2028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Число семей участников Государственной программы получивших социальную выплату на приобретение (строительство) жилья от общего числа семей обратившихся за получением меры социальной поддержки.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Перечень мер налогового регулирования (налоговых расходов) в сфере реа</w:t>
      </w:r>
      <w:r>
        <w:rPr>
          <w:rFonts w:ascii="Times New Roman" w:hAnsi="Times New Roman"/>
          <w:b/>
          <w:sz w:val="24"/>
          <w:szCs w:val="24"/>
        </w:rPr>
        <w:t xml:space="preserve">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560"/>
        <w:gridCol w:w="1559"/>
        <w:gridCol w:w="1701"/>
        <w:gridCol w:w="2693"/>
        <w:gridCol w:w="226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меры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выпадающих доходов бюджета округа (руб.)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Основание применения меры налогового регулирования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применения меры, связь с показателями муниципальной программы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План/оценка/факт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План/оценка/факт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План/оценка/факт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роста благосостояния граждан – получателей мер социальной поддержки»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Освобождение от налогообложения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земельным налогом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Героев Советского Союза, Героев Российской Федерации, полных кавалеров ордена Славы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инвалидов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 инвалидности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инвалидов с детства, детей-инвалидов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и инвалидов Великой Отечественной войны, а также ветеранов и инвалидов боевых действий,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физических лиц,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имеющих трех и более детей, в том числе усыновленных детей, в возрасте до 18 лет и (или) до 23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лет, при условии обучения детей, достигших 18 лет, в образовательных организациях по очной форме обучения, а также дети из многодетных семей, в том числе усыновленные дети в возрасте 18 лет и (или) до 23 лет, при условии обучения детей, достигших 18 лет, в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образовательных организациях по очной форме обучения, в отношении земельных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,предоставленных в собственность на бесплатной основе в соответствии с Законом Мурманской области от 31.12.2003 № 462-01-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ЗМО «Об основах регулирования земельных отношений в Мурманской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Подпункты 4.4, 4.5, 4.6, 4.7, 4.10 пункта 4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ешени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Совета депутатов Печенгского муниципального округа </w:t>
              <w:br/>
              <w:t xml:space="preserve">от 23.10.2020 № 39 </w:t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(в ред. от 22.11.2024 № 503)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</w:rPr>
              <w:t xml:space="preserve">Социальная поддержка отдельных категорий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граждан, получивших социальную поддержку, от общего числа граждан, которым назначена социальная поддержка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Налоговая льгота в размере подлежащей уплате налогоплательщиком суммы налога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имущество физических лиц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отношении объекта налогообложение, находящегося в собственности налогоплательщика и не используемого налогоплательщиком в предпринимательской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имеющие звание «Почетный гражданин города Заполярный»,«Почетный гражданин Печенгского района»,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«Почетный гражданин поселка Печенга»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многодетных семей (с тремя и более несовершеннолетними детьми)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риемны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родител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опекун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попечител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усыновивши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(опекающи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третьего и (или) последующего несовершеннолетнего гражданина в семье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104 000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104 000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Подпункты 5.1-5.4 пункта 5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ешени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Совета депутатов Печенгского муниципального округа от 23.10.2020 № 40 </w:t>
              <w:br/>
              <w:t xml:space="preserve">«Об установлении налога на имущество физических лиц на территории муниципального образования Печенгский муниципальный округ Мурманской области» (ред. </w:t>
              <w:br/>
              <w:t xml:space="preserve">от 22.11.2024 № 504)</w:t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</w:rPr>
              <w:t xml:space="preserve">Социальная поддержка отдельных категорий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0.3.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почетных граждан г. Заполярный, граждан, награжденные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почетным знаком «За заслуги перед Печенгским округом», граждан, которым присвоено почетное звание «Почетный гражданин «Печенгского муниципального округа», своевременно получивших социальную поддержку от общего числа граждан, которым присвоены такие звания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. Сведения об объемах финансирования муниципальной программы</w:t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4004"/>
        <w:gridCol w:w="1134"/>
        <w:gridCol w:w="1134"/>
        <w:gridCol w:w="1559"/>
        <w:gridCol w:w="1417"/>
        <w:gridCol w:w="1418"/>
        <w:gridCol w:w="1417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п/п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Период реализации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Соисполнители</w:t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источник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 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Муниципальная программа «Обеспечение социальн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ой стабильности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2026 - 2028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111839800,00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37791800,00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36970900,00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37077100,00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Управляющий делами администрации, сектор муниципальной службы и кадров,  специалист по работе с населением, ОРН, отдел образования, отдел КСиМП, КУИ, ОС и ЖКХ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МБ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26451590,00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9655631,00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8345416,00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8450543,00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82252600,00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27076800,00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27587900,00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27587900,00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ФБ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40910,00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14869,00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12484,00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13557,00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ВБС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3094700,00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1044500,00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1025100,00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1025100,00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«Создание условий для роста благосостояния граждан – получателей мер социальной поддержки»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2026 - 2028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100153399,00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33759173,00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33197113,00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33197113,00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Управляющий делами администрации, сектор муниципальной службы и кадров,  специалист по работе с населением, ОРН, отдел образования, отдел КСиМП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20930799,00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7692373,00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6619213,00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6619213,00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79222600,00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26066800,00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26577900,00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26577900,00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ВБС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«Создание условий для эффективной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интеграции инвалидов в общество»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2026-2028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1470601,00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491227,00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490187,00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489187,00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1470601,00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491227,00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490187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489187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ВБС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</w:t>
            </w: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«Создание условий для социальной помощи семьям»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2026-2028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10215800,00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3541400,00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3283600,00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3390800,00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ОС и ЖКХ,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КУИ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4050190,00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1472031,00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1236016,00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1342143,00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3030000,00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1010000,00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1010000,00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1010000,00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ФБ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40910,00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14869,00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12484,00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13557,00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ВБС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3094700,00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1044500,00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1025100,00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1025100,00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. Механизмы управления рисками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668"/>
        <w:gridCol w:w="3495"/>
        <w:gridCol w:w="3406"/>
        <w:gridCol w:w="3322"/>
        <w:gridCol w:w="207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п/п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риска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Ожидаемые последствия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9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Правовой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влияние на конечные результаты Программы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2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Проведение мониторинга планируемых изменений в федеральном, региональном законодательстве.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политикой на региональном уровне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9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Недостижение запланированных значений показателей Программы, невыполнение мероприятий результатов в срок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2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Ежеквартально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9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Внешний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Срыв сроков выполнения мероприятий (результатов) либо выполнение их не в полном объеме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2" w:type="pct"/>
            <w:textDirection w:val="lrTb"/>
            <w:noWrap w:val="false"/>
          </w:tcPr>
          <w:p>
            <w:pPr>
              <w:pStyle w:val="910"/>
              <w:ind w:right="0"/>
              <w:jc w:val="both"/>
              <w:spacing w:before="0" w:beforeAutospacing="0"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0"/>
              <w:ind w:right="0"/>
              <w:jc w:val="both"/>
              <w:spacing w:before="0" w:beforeAutospacing="0"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Постоянно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9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Непредвиденный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2" w:type="pct"/>
            <w:textDirection w:val="lrTb"/>
            <w:noWrap w:val="false"/>
          </w:tcPr>
          <w:p>
            <w:pPr>
              <w:pStyle w:val="910"/>
              <w:ind w:right="0"/>
              <w:jc w:val="both"/>
              <w:spacing w:before="0" w:beforeAutospacing="0"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Осуществление прогнозирования социально-экономического развития с учетом возможного ухудшения экономической ситуации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0"/>
              <w:ind w:right="0"/>
              <w:jc w:val="both"/>
              <w:spacing w:before="0" w:beforeAutospacing="0"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3" w:type="pct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приоритетов для первоочередного финансирования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pct"/>
            <w:textDirection w:val="lrTb"/>
            <w:noWrap w:val="false"/>
          </w:tcPr>
          <w:p>
            <w:pPr>
              <w:ind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b/>
          <w:sz w:val="24"/>
          <w:szCs w:val="24"/>
        </w:rPr>
        <w:sectPr>
          <w:footnotePr/>
          <w:endnotePr/>
          <w:type w:val="nextPage"/>
          <w:pgSz w:w="16838" w:h="11905" w:orient="landscape"/>
          <w:pgMar w:top="851" w:right="851" w:bottom="993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</w:t>
      </w:r>
      <w:r>
        <w:rPr>
          <w:rFonts w:ascii="Times New Roman" w:hAnsi="Times New Roman"/>
          <w:b/>
          <w:sz w:val="24"/>
          <w:szCs w:val="24"/>
        </w:rPr>
        <w:t xml:space="preserve">. Порядок взаимодействия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Ответственного исполнителя, Соисполнителей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участников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муниципальной программы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spacing w:after="0" w:line="240" w:lineRule="auto"/>
      </w:pPr>
      <w:r/>
      <w:bookmarkStart w:id="2" w:name="Par3713"/>
      <w:r/>
      <w:bookmarkEnd w:id="2"/>
      <w:r/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ответственным исполнителем программы – Управляющим делами администрации, который: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lang w:eastAsia="ru-RU"/>
        </w:rPr>
        <w:t xml:space="preserve">об</w:t>
      </w:r>
      <w:r>
        <w:rPr>
          <w:rFonts w:ascii="Times New Roman" w:hAnsi="Times New Roman" w:eastAsia="Times New Roman"/>
          <w:sz w:val="24"/>
          <w:lang w:eastAsia="ru-RU"/>
        </w:rPr>
        <w:t xml:space="preserve">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</w:t>
        <w:br/>
        <w:t xml:space="preserve">№ 1488 (далее – Порядок);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lang w:eastAsia="ru-RU"/>
        </w:rPr>
        <w:t xml:space="preserve"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 w:eastAsia="Times New Roman"/>
          <w:strike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Соисполнител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муниципальной программы:</w:t>
      </w:r>
      <w:r>
        <w:rPr>
          <w:rFonts w:ascii="Times New Roman" w:hAnsi="Times New Roman" w:eastAsia="Times New Roman"/>
          <w:strike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strike/>
          <w:color w:val="ff0000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lang w:eastAsia="ru-RU"/>
        </w:rPr>
        <w:tab/>
        <w:t xml:space="preserve"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lang w:eastAsia="ru-RU"/>
        </w:rPr>
        <w:tab/>
        <w:t xml:space="preserve">несут ответственность за достижение плановых значений показателей муниципальной программы в части, их касающейся;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lang w:eastAsia="ru-RU"/>
        </w:rPr>
        <w:tab/>
        <w:t xml:space="preserve">формирует предложения по разработке проекта муниципальной программы, внесению изменений в муниципальную программу;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lang w:eastAsia="ru-RU"/>
        </w:rPr>
        <w:tab/>
        <w:t xml:space="preserve">в пределах своей компетенции участвуют в разработке плана реализации муниципальной программы, направляют </w:t>
      </w:r>
      <w:r>
        <w:rPr>
          <w:rFonts w:ascii="Times New Roman" w:hAnsi="Times New Roman" w:eastAsia="Times New Roman"/>
          <w:sz w:val="24"/>
          <w:lang w:eastAsia="ru-RU"/>
        </w:rPr>
        <w:t xml:space="preserve">Управляющему делами администрации </w:t>
      </w:r>
      <w:r>
        <w:rPr>
          <w:rFonts w:ascii="Times New Roman" w:hAnsi="Times New Roman" w:eastAsia="Times New Roman"/>
          <w:sz w:val="24"/>
          <w:lang w:eastAsia="ru-RU"/>
        </w:rPr>
        <w:t xml:space="preserve">соответствующие предложения;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lang w:eastAsia="ru-RU"/>
        </w:rPr>
        <w:tab/>
        <w:t xml:space="preserve">представляют в </w:t>
      </w:r>
      <w:r>
        <w:rPr>
          <w:rFonts w:ascii="Times New Roman" w:hAnsi="Times New Roman" w:eastAsia="Times New Roman"/>
          <w:sz w:val="24"/>
          <w:lang w:eastAsia="ru-RU"/>
        </w:rPr>
        <w:t xml:space="preserve">отдел экономического развития </w:t>
      </w:r>
      <w:r>
        <w:rPr>
          <w:rFonts w:ascii="Times New Roman" w:hAnsi="Times New Roman" w:eastAsia="Times New Roman"/>
          <w:sz w:val="24"/>
          <w:lang w:eastAsia="ru-RU"/>
        </w:rPr>
        <w:t xml:space="preserve">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lang w:eastAsia="ru-RU"/>
        </w:rPr>
        <w:sectPr>
          <w:footnotePr/>
          <w:endnotePr/>
          <w:type w:val="nextPage"/>
          <w:pgSz w:w="11905" w:h="16838" w:orient="portrait"/>
          <w:pgMar w:top="1135" w:right="993" w:bottom="1701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  <w:r>
        <w:rPr>
          <w:rFonts w:ascii="Times New Roman" w:hAnsi="Times New Roman" w:eastAsia="Times New Roman"/>
          <w:sz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. Сведения об источниках и методике расчета значений показателей муниципальной программы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709"/>
        <w:jc w:val="center"/>
        <w:spacing w:after="0" w:line="288" w:lineRule="atLeas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990"/>
        <w:gridCol w:w="1121"/>
        <w:gridCol w:w="1559"/>
        <w:gridCol w:w="2693"/>
        <w:gridCol w:w="2410"/>
        <w:gridCol w:w="1276"/>
        <w:gridCol w:w="14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 № п/п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Единица измерения, временная характеристика</w:t>
            </w:r>
            <w:r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Метод сбора информации,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код формы отчетности</w:t>
            </w:r>
            <w:r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66" w:type="dxa"/>
            <w:vAlign w:val="center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Муниципальная программа «Обеспечение социальной стабильности»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граждан, получивших социальную поддержку, от общего числа граждан, которым назначена социальная поддержка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 = (Пмсп/Дмсп)*100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Пмсп-количество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граждан,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получивших соц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иальную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поддержк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человек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годовой отчет ОРН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декабрь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Дмсп – количество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граждан, которым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назначен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соц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иальная поддержка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человек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муниципальных служащих своевременно получающих пенсию за выслугу лет от общей численности муниципальных служащих, которым назначена пенсия за вы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лугу лет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Д= (Чмсн/Чмсп)*100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Чмсп – численность муниципальных служащих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которые получили пенсию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за выслугу лет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человек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 (годовой отчет сектора муниципальной службы и кадров)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январь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сектор муниципальной службы и кадров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765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Чмсн-численность муниципальных служащих, которым назначена пенсия за выслугу лет, человек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222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граждан г. 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аполярный, граждан, награжденных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почетным знаком «За заслуги перед Печенгским округом», граждан, которым присвоено почетное звание «Почетный гражданин «Печенгского муниципального округа», своевременно получивших социальную поддержку от общего числа граждан, которым присвоены такие звания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Сид=(Пв/Кп)*100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Пв – количество граждан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получившие меры соц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иальной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поддержки, человек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 годовой отчет</w:t>
            </w:r>
            <w:r>
              <w:t xml:space="preserve">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жегодно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14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Кп- количество граждан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которым присвоены звания, человек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Выполнение мероприятий, связанных с захоронением погибших в ходе специальной военной операции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декабрь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Управляющий делами администрации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Численность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приоритетных объектов социальной инфраструкт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уры (далее – ОСИ) Печенгского муниципального округа занесенных в электронный реестр ОСИ Мурманской области, а также размещенных на электронной карте доступности интернет-портала «Жить вместе» государственной программы Российской Федерации «Доступная среда»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= (Чпр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Чпо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)*100</w:t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Чпр – численность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приоритетных объектов ОСИ Печенгского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размещенных на электронной карте доступности интернет-портала «Жить вместе» государственной программы Российской Федерации «Доступная среда», единиц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Министерства социального развития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Мурманской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</w:t>
            </w:r>
            <w:hyperlink r:id="rId11" w:tooltip="https://minsoc.gov-murman.ru/activities/dost_sreda/registryosi/" w:history="1"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https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://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minsoc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.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gov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-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murman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.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ru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/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activities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/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dost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_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sreda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/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registryosi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/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</w:t>
            </w:r>
            <w:hyperlink r:id="rId12" w:tooltip="http://zhit-vmeste.ru/map/" w:history="1"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http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://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zhit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-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vmeste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.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ru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/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 xml:space="preserve">map</w:t>
              </w:r>
              <w:r>
                <w:rPr>
                  <w:rStyle w:val="962"/>
                  <w:rFonts w:ascii="Times New Roman" w:hAnsi="Times New Roman"/>
                  <w:color w:val="auto"/>
                  <w:sz w:val="16"/>
                  <w:szCs w:val="16"/>
                </w:rPr>
                <w:t xml:space="preserve">/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февраль</w:t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99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trike/>
                <w:sz w:val="20"/>
                <w:szCs w:val="20"/>
              </w:rPr>
            </w:r>
            <w:r>
              <w:rPr>
                <w:rFonts w:ascii="Times New Roman" w:hAnsi="Times New Roman"/>
                <w:strike/>
                <w:sz w:val="20"/>
                <w:szCs w:val="20"/>
              </w:rPr>
            </w:r>
            <w:r>
              <w:rPr>
                <w:rFonts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Чпо - общая численность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приоритетных объектов ОСИ Печенгского округа, единиц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Доля исполненных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обоснованных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заявлений (обращений) по обеспечению доступности в МКД, в которых проживают инвалиды от общего числа поступивших заявлений (обращений)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Д=(Из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)*100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Из – количество исполненных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обоснованных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заявлений (обращений) по обеспечению доступности в МКД, в которых проживают инвалиды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(акты комиссионного обследования, заключение муниципальной комиссии)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Пз – общее количество  поступивших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обоснованных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заявлений (обращений) по обеспечению доступности в МКД, единиц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Число семей участников  Государственной программы  получивших социальную выплату на приобретение (строительство) жилья от общего числа семей обратившихся за получением меры социальной  поддержки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Д=(Оп/Омс)*100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число семей,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обратившихся за соц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иальной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выплатой,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семей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Омс - общее количество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семей,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имеющих право на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социальную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выплату,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семей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отчет ОС и ЖКХ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ОС 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ЖКХ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both"/>
        <w:spacing w:after="0" w:line="288" w:lineRule="atLeast"/>
        <w:rPr>
          <w:rFonts w:ascii="Times New Roman" w:hAnsi="Times New Roman" w:eastAsia="Times New Roman"/>
          <w:sz w:val="16"/>
          <w:szCs w:val="16"/>
          <w:lang w:eastAsia="ru-RU"/>
        </w:rPr>
      </w:pPr>
      <w:r/>
      <w:bookmarkStart w:id="3" w:name="p124"/>
      <w:r/>
      <w:bookmarkEnd w:id="3"/>
      <w:r>
        <w:rPr>
          <w:rFonts w:ascii="Times New Roman" w:hAnsi="Times New Roman" w:eastAsia="Times New Roman"/>
          <w:sz w:val="16"/>
          <w:szCs w:val="16"/>
          <w:vertAlign w:val="superscript"/>
          <w:lang w:eastAsia="ru-RU"/>
        </w:rPr>
        <w:t xml:space="preserve">4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contextualSpacing/>
        <w:jc w:val="both"/>
        <w:spacing w:before="168" w:after="0" w:line="288" w:lineRule="atLeast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contextualSpacing/>
        <w:jc w:val="both"/>
        <w:spacing w:before="168" w:after="0" w:line="288" w:lineRule="atLeast"/>
        <w:rPr>
          <w:rFonts w:ascii="Times New Roman" w:hAnsi="Times New Roman" w:eastAsia="Times New Roman"/>
          <w:b/>
          <w:sz w:val="16"/>
          <w:szCs w:val="16"/>
          <w:highlight w:val="yellow"/>
          <w:lang w:eastAsia="ru-RU"/>
        </w:rPr>
        <w:sectPr>
          <w:footnotePr/>
          <w:endnotePr/>
          <w:type w:val="nextPage"/>
          <w:pgSz w:w="16838" w:h="11905" w:orient="landscape"/>
          <w:pgMar w:top="993" w:right="851" w:bottom="993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b/>
          <w:sz w:val="16"/>
          <w:szCs w:val="16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highlight w:val="yellow"/>
          <w:lang w:eastAsia="ru-RU"/>
        </w:rPr>
      </w:r>
    </w:p>
    <w:p>
      <w:r/>
    </w:p>
    <w:sectPr>
      <w:footnotePr/>
      <w:endnotePr/>
      <w:type w:val="nextPage"/>
      <w:pgSz w:w="11905" w:h="16838" w:orient="portrait"/>
      <w:pgMar w:top="851" w:right="993" w:bottom="1701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1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8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5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2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4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16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278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1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8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15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7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5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7">
    <w:name w:val="Heading 1"/>
    <w:basedOn w:val="706"/>
    <w:link w:val="91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708">
    <w:name w:val="Heading 2"/>
    <w:basedOn w:val="706"/>
    <w:next w:val="706"/>
    <w:link w:val="914"/>
    <w:qFormat/>
    <w:pPr>
      <w:keepNext/>
      <w:spacing w:before="240" w:after="60" w:line="240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eastAsia="ru-RU"/>
    </w:rPr>
  </w:style>
  <w:style w:type="paragraph" w:styleId="709">
    <w:name w:val="Heading 3"/>
    <w:basedOn w:val="706"/>
    <w:next w:val="706"/>
    <w:link w:val="915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10">
    <w:name w:val="Heading 4"/>
    <w:basedOn w:val="706"/>
    <w:next w:val="706"/>
    <w:link w:val="73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3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3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3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3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3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6"/>
    <w:uiPriority w:val="10"/>
    <w:rPr>
      <w:sz w:val="48"/>
      <w:szCs w:val="48"/>
    </w:rPr>
  </w:style>
  <w:style w:type="character" w:styleId="726" w:customStyle="1">
    <w:name w:val="Subtitle Char"/>
    <w:basedOn w:val="716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Heading 1 Char"/>
    <w:basedOn w:val="716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706"/>
    <w:next w:val="706"/>
    <w:link w:val="741"/>
    <w:uiPriority w:val="10"/>
    <w:qFormat/>
    <w:pPr>
      <w:contextualSpacing/>
      <w:spacing w:before="300"/>
    </w:pPr>
    <w:rPr>
      <w:sz w:val="48"/>
      <w:szCs w:val="48"/>
    </w:rPr>
  </w:style>
  <w:style w:type="character" w:styleId="741" w:customStyle="1">
    <w:name w:val="Заголовок Знак"/>
    <w:basedOn w:val="716"/>
    <w:link w:val="740"/>
    <w:uiPriority w:val="10"/>
    <w:rPr>
      <w:sz w:val="48"/>
      <w:szCs w:val="48"/>
    </w:rPr>
  </w:style>
  <w:style w:type="paragraph" w:styleId="742">
    <w:name w:val="Subtitle"/>
    <w:basedOn w:val="706"/>
    <w:next w:val="706"/>
    <w:link w:val="743"/>
    <w:uiPriority w:val="11"/>
    <w:qFormat/>
    <w:pPr>
      <w:spacing w:before="200"/>
    </w:pPr>
    <w:rPr>
      <w:sz w:val="24"/>
      <w:szCs w:val="24"/>
    </w:rPr>
  </w:style>
  <w:style w:type="character" w:styleId="743" w:customStyle="1">
    <w:name w:val="Подзаголовок Знак"/>
    <w:basedOn w:val="716"/>
    <w:link w:val="742"/>
    <w:uiPriority w:val="11"/>
    <w:rPr>
      <w:sz w:val="24"/>
      <w:szCs w:val="24"/>
    </w:rPr>
  </w:style>
  <w:style w:type="paragraph" w:styleId="744">
    <w:name w:val="Quote"/>
    <w:basedOn w:val="706"/>
    <w:next w:val="70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6"/>
    <w:next w:val="706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16"/>
    <w:uiPriority w:val="99"/>
  </w:style>
  <w:style w:type="character" w:styleId="749" w:customStyle="1">
    <w:name w:val="Footer Char"/>
    <w:basedOn w:val="716"/>
    <w:uiPriority w:val="99"/>
  </w:style>
  <w:style w:type="character" w:styleId="750" w:customStyle="1">
    <w:name w:val="Caption Char"/>
    <w:uiPriority w:val="99"/>
  </w:style>
  <w:style w:type="table" w:styleId="751" w:customStyle="1">
    <w:name w:val="Table Grid Light"/>
    <w:basedOn w:val="71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 w:customStyle="1">
    <w:name w:val="Таблица простая 11"/>
    <w:basedOn w:val="71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21"/>
    <w:basedOn w:val="71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Таблица простая 3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Таблица простая 4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Таблица простая 5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1 светлая1"/>
    <w:basedOn w:val="71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Таблица-сетка 21"/>
    <w:basedOn w:val="71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31"/>
    <w:basedOn w:val="71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41"/>
    <w:basedOn w:val="71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1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1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1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1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1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Таблица-сетка 5 темная1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Таблица-сетка 6 цветная1"/>
    <w:basedOn w:val="71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1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1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1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Таблица-сетка 7 цветная1"/>
    <w:basedOn w:val="71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basedOn w:val="71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basedOn w:val="71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basedOn w:val="71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basedOn w:val="71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basedOn w:val="71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basedOn w:val="71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Список-таблица 1 светлая1"/>
    <w:basedOn w:val="71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Список-таблица 21"/>
    <w:basedOn w:val="71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Список-таблица 31"/>
    <w:basedOn w:val="71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Список-таблица 41"/>
    <w:basedOn w:val="71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5 темная1"/>
    <w:basedOn w:val="71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Список-таблица 6 цветная1"/>
    <w:basedOn w:val="71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1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1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1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Список-таблица 7 цветная1"/>
    <w:basedOn w:val="71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basedOn w:val="71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basedOn w:val="71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basedOn w:val="71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basedOn w:val="71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basedOn w:val="71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basedOn w:val="71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1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1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1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1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1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1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1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1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1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1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1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1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6">
    <w:name w:val="footnote text"/>
    <w:basedOn w:val="706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16"/>
    <w:uiPriority w:val="99"/>
    <w:unhideWhenUsed/>
    <w:rPr>
      <w:vertAlign w:val="superscript"/>
    </w:rPr>
  </w:style>
  <w:style w:type="paragraph" w:styleId="879">
    <w:name w:val="endnote text"/>
    <w:basedOn w:val="706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6"/>
    <w:uiPriority w:val="99"/>
    <w:semiHidden/>
    <w:unhideWhenUsed/>
    <w:rPr>
      <w:vertAlign w:val="superscript"/>
    </w:rPr>
  </w:style>
  <w:style w:type="paragraph" w:styleId="882">
    <w:name w:val="toc 1"/>
    <w:basedOn w:val="706"/>
    <w:next w:val="706"/>
    <w:uiPriority w:val="39"/>
    <w:unhideWhenUsed/>
    <w:pPr>
      <w:spacing w:after="57"/>
    </w:pPr>
  </w:style>
  <w:style w:type="paragraph" w:styleId="883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84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85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86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7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8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9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90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6"/>
    <w:next w:val="706"/>
    <w:uiPriority w:val="99"/>
    <w:unhideWhenUsed/>
    <w:pPr>
      <w:spacing w:after="0"/>
    </w:pPr>
  </w:style>
  <w:style w:type="paragraph" w:styleId="893" w:customStyle="1">
    <w:name w:val="ConsPlusNormal"/>
    <w:pPr>
      <w:widowControl w:val="off"/>
    </w:pPr>
    <w:rPr>
      <w:rFonts w:eastAsia="Times New Roman" w:cs="Calibri"/>
      <w:sz w:val="22"/>
      <w:szCs w:val="22"/>
    </w:rPr>
  </w:style>
  <w:style w:type="paragraph" w:styleId="89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95" w:customStyle="1">
    <w:name w:val="ConsPlusTitle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96" w:customStyle="1">
    <w:name w:val="ConsPlusCell"/>
    <w:uiPriority w:val="99"/>
    <w:pPr>
      <w:widowControl w:val="off"/>
    </w:pPr>
    <w:rPr>
      <w:rFonts w:eastAsia="Times New Roman" w:cs="Calibri"/>
      <w:sz w:val="22"/>
      <w:szCs w:val="22"/>
    </w:rPr>
  </w:style>
  <w:style w:type="character" w:styleId="897" w:customStyle="1">
    <w:name w:val="МОН Знак"/>
    <w:link w:val="898"/>
    <w:rPr>
      <w:sz w:val="24"/>
      <w:szCs w:val="24"/>
    </w:rPr>
  </w:style>
  <w:style w:type="paragraph" w:styleId="898" w:customStyle="1">
    <w:name w:val="МОН"/>
    <w:basedOn w:val="706"/>
    <w:link w:val="897"/>
    <w:pPr>
      <w:ind w:firstLine="709"/>
      <w:jc w:val="both"/>
      <w:spacing w:after="0" w:line="360" w:lineRule="auto"/>
    </w:pPr>
    <w:rPr>
      <w:sz w:val="24"/>
      <w:szCs w:val="24"/>
    </w:rPr>
  </w:style>
  <w:style w:type="character" w:styleId="899">
    <w:name w:val="Strong"/>
    <w:qFormat/>
    <w:rPr>
      <w:b/>
      <w:bCs/>
    </w:rPr>
  </w:style>
  <w:style w:type="paragraph" w:styleId="900">
    <w:name w:val="List Paragraph"/>
    <w:basedOn w:val="706"/>
    <w:link w:val="966"/>
    <w:uiPriority w:val="99"/>
    <w:qFormat/>
    <w:pPr>
      <w:contextualSpacing/>
      <w:ind w:left="720"/>
    </w:pPr>
  </w:style>
  <w:style w:type="character" w:styleId="901" w:customStyle="1">
    <w:name w:val="Основной текст_"/>
    <w:link w:val="902"/>
    <w:rPr>
      <w:rFonts w:ascii="Times New Roman" w:hAnsi="Times New Roman" w:eastAsia="Times New Roman" w:cs="Times New Roman"/>
      <w:spacing w:val="-1"/>
      <w:sz w:val="26"/>
      <w:szCs w:val="26"/>
      <w:shd w:val="clear" w:color="auto" w:fill="ffffff"/>
    </w:rPr>
  </w:style>
  <w:style w:type="paragraph" w:styleId="902" w:customStyle="1">
    <w:name w:val="Основной текст2"/>
    <w:basedOn w:val="706"/>
    <w:link w:val="901"/>
    <w:pPr>
      <w:jc w:val="both"/>
      <w:spacing w:before="420" w:after="0" w:line="322" w:lineRule="exact"/>
      <w:shd w:val="clear" w:color="auto" w:fill="ffffff"/>
      <w:widowControl w:val="off"/>
    </w:pPr>
    <w:rPr>
      <w:rFonts w:ascii="Times New Roman" w:hAnsi="Times New Roman" w:eastAsia="Times New Roman"/>
      <w:spacing w:val="-1"/>
      <w:sz w:val="26"/>
      <w:szCs w:val="26"/>
    </w:rPr>
  </w:style>
  <w:style w:type="paragraph" w:styleId="903">
    <w:name w:val="Body Text 2"/>
    <w:basedOn w:val="706"/>
    <w:link w:val="904"/>
    <w:pPr>
      <w:jc w:val="both"/>
      <w:spacing w:after="0" w:line="240" w:lineRule="auto"/>
    </w:pPr>
    <w:rPr>
      <w:rFonts w:ascii="Times New Roman" w:hAnsi="Times New Roman" w:eastAsia="Times New Roman"/>
      <w:b/>
      <w:bCs/>
      <w:sz w:val="24"/>
      <w:szCs w:val="20"/>
      <w:lang w:eastAsia="fi-FI"/>
    </w:rPr>
  </w:style>
  <w:style w:type="character" w:styleId="904" w:customStyle="1">
    <w:name w:val="Основной текст 2 Знак"/>
    <w:link w:val="903"/>
    <w:rPr>
      <w:rFonts w:ascii="Times New Roman" w:hAnsi="Times New Roman" w:eastAsia="Times New Roman" w:cs="Times New Roman"/>
      <w:b/>
      <w:bCs/>
      <w:sz w:val="24"/>
      <w:szCs w:val="20"/>
      <w:lang w:eastAsia="fi-FI"/>
    </w:rPr>
  </w:style>
  <w:style w:type="paragraph" w:styleId="905">
    <w:name w:val="Footer"/>
    <w:basedOn w:val="706"/>
    <w:link w:val="906"/>
    <w:uiPriority w:val="99"/>
    <w:unhideWhenUsed/>
    <w:pPr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906" w:customStyle="1">
    <w:name w:val="Нижний колонтитул Знак"/>
    <w:link w:val="905"/>
    <w:uiPriority w:val="99"/>
    <w:rPr>
      <w:rFonts w:ascii="Times New Roman" w:hAnsi="Times New Roman" w:eastAsia="Calibri" w:cs="Times New Roman"/>
      <w:sz w:val="24"/>
      <w:szCs w:val="24"/>
    </w:rPr>
  </w:style>
  <w:style w:type="character" w:styleId="907" w:customStyle="1">
    <w:name w:val="Основной текст + 8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styleId="908" w:customStyle="1">
    <w:name w:val="32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9" w:customStyle="1">
    <w:name w:val="Основной текст + 10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910">
    <w:name w:val="Normal (Web)"/>
    <w:basedOn w:val="70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1">
    <w:name w:val="Body Text Indent"/>
    <w:basedOn w:val="706"/>
    <w:link w:val="912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2" w:customStyle="1">
    <w:name w:val="Основной текст с отступом Знак"/>
    <w:link w:val="911"/>
    <w:rPr>
      <w:rFonts w:ascii="Times New Roman" w:hAnsi="Times New Roman" w:eastAsia="Times New Roman" w:cs="Times New Roman"/>
      <w:sz w:val="24"/>
      <w:szCs w:val="24"/>
    </w:rPr>
  </w:style>
  <w:style w:type="character" w:styleId="913" w:customStyle="1">
    <w:name w:val="Заголовок 1 Знак"/>
    <w:link w:val="70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14" w:customStyle="1">
    <w:name w:val="Заголовок 2 Знак"/>
    <w:link w:val="708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915" w:customStyle="1">
    <w:name w:val="Заголовок 3 Знак"/>
    <w:link w:val="709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table" w:styleId="916">
    <w:name w:val="Table Grid"/>
    <w:basedOn w:val="717"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Balloon Text"/>
    <w:basedOn w:val="706"/>
    <w:link w:val="91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18" w:customStyle="1">
    <w:name w:val="Текст выноски Знак"/>
    <w:link w:val="917"/>
    <w:rPr>
      <w:rFonts w:ascii="Tahoma" w:hAnsi="Tahoma" w:eastAsia="Times New Roman" w:cs="Tahoma"/>
      <w:sz w:val="16"/>
      <w:szCs w:val="16"/>
      <w:lang w:eastAsia="ru-RU"/>
    </w:rPr>
  </w:style>
  <w:style w:type="paragraph" w:styleId="919">
    <w:name w:val="Header"/>
    <w:basedOn w:val="706"/>
    <w:link w:val="92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0" w:customStyle="1">
    <w:name w:val="Верхний колонтитул Знак"/>
    <w:link w:val="9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>
    <w:name w:val="Emphasis"/>
    <w:qFormat/>
    <w:rPr>
      <w:i/>
      <w:iCs/>
    </w:rPr>
  </w:style>
  <w:style w:type="paragraph" w:styleId="922" w:customStyle="1">
    <w:name w:val="Содержимое таблицы"/>
    <w:basedOn w:val="706"/>
    <w:pPr>
      <w:spacing w:after="0" w:line="240" w:lineRule="auto"/>
      <w:widowControl w:val="off"/>
      <w:suppressLineNumbers/>
    </w:pPr>
    <w:rPr>
      <w:rFonts w:ascii="Times New Roman" w:hAnsi="Times New Roman"/>
      <w:sz w:val="24"/>
      <w:szCs w:val="24"/>
      <w:lang w:eastAsia="ar-SA"/>
    </w:rPr>
  </w:style>
  <w:style w:type="paragraph" w:styleId="923" w:customStyle="1">
    <w:name w:val="consplusnormal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4" w:customStyle="1">
    <w:name w:val="a2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5" w:customStyle="1">
    <w:name w:val="15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6" w:customStyle="1">
    <w:name w:val="Знак Знак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h1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8" w:customStyle="1">
    <w:name w:val="msonospacing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9" w:customStyle="1">
    <w:name w:val="ac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>
    <w:name w:val="Body Text 3"/>
    <w:basedOn w:val="706"/>
    <w:link w:val="9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1" w:customStyle="1">
    <w:name w:val="Основной текст 3 Знак"/>
    <w:link w:val="93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>
    <w:name w:val="HTML Bottom of Form"/>
    <w:basedOn w:val="706"/>
    <w:next w:val="706"/>
    <w:link w:val="933"/>
    <w:hidden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/>
      <w:vanish/>
      <w:sz w:val="16"/>
      <w:szCs w:val="16"/>
      <w:lang w:eastAsia="ru-RU"/>
    </w:rPr>
  </w:style>
  <w:style w:type="character" w:styleId="933" w:customStyle="1">
    <w:name w:val="z-Конец формы Знак"/>
    <w:link w:val="932"/>
    <w:rPr>
      <w:rFonts w:ascii="Arial" w:hAnsi="Arial" w:eastAsia="Times New Roman" w:cs="Times New Roman"/>
      <w:vanish/>
      <w:sz w:val="16"/>
      <w:szCs w:val="16"/>
      <w:lang w:eastAsia="ru-RU"/>
    </w:rPr>
  </w:style>
  <w:style w:type="paragraph" w:styleId="934" w:customStyle="1">
    <w:name w:val="Style16"/>
    <w:basedOn w:val="706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5" w:customStyle="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936">
    <w:name w:val="Caption"/>
    <w:basedOn w:val="706"/>
    <w:next w:val="706"/>
    <w:qFormat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37">
    <w:name w:val="Body Text"/>
    <w:basedOn w:val="706"/>
    <w:link w:val="938"/>
    <w:uiPriority w:val="99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8" w:customStyle="1">
    <w:name w:val="Основной текст Знак"/>
    <w:link w:val="9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Body Text Indent 2"/>
    <w:basedOn w:val="706"/>
    <w:link w:val="940"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40" w:customStyle="1">
    <w:name w:val="Основной текст с отступом 2 Знак"/>
    <w:link w:val="9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customStyle="1">
    <w:name w:val="Заголовок №2_"/>
    <w:link w:val="942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42" w:customStyle="1">
    <w:name w:val="Заголовок №2"/>
    <w:basedOn w:val="706"/>
    <w:link w:val="941"/>
    <w:pPr>
      <w:ind w:hanging="4760"/>
      <w:spacing w:after="420" w:line="0" w:lineRule="atLeast"/>
      <w:shd w:val="clear" w:color="auto" w:fill="ffffff"/>
      <w:widowControl w:val="off"/>
      <w:outlineLvl w:val="1"/>
    </w:pPr>
    <w:rPr>
      <w:rFonts w:ascii="Times New Roman" w:hAnsi="Times New Roman" w:eastAsia="Times New Roman"/>
      <w:b/>
      <w:bCs/>
      <w:sz w:val="26"/>
      <w:szCs w:val="26"/>
    </w:rPr>
  </w:style>
  <w:style w:type="paragraph" w:styleId="943">
    <w:name w:val="No Spacing"/>
    <w:uiPriority w:val="1"/>
    <w:qFormat/>
    <w:rPr>
      <w:sz w:val="22"/>
      <w:szCs w:val="22"/>
      <w:lang w:eastAsia="en-US"/>
    </w:rPr>
  </w:style>
  <w:style w:type="paragraph" w:styleId="944" w:customStyle="1">
    <w:name w:val="Default"/>
    <w:rPr>
      <w:rFonts w:ascii="Arial" w:hAnsi="Arial" w:cs="Arial"/>
      <w:color w:val="000000"/>
      <w:sz w:val="24"/>
      <w:szCs w:val="24"/>
    </w:rPr>
  </w:style>
  <w:style w:type="paragraph" w:styleId="945" w:customStyle="1">
    <w:name w:val="msonormalcxspmiddle"/>
    <w:basedOn w:val="70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946" w:customStyle="1">
    <w:name w:val="Нет списка1"/>
    <w:next w:val="718"/>
    <w:semiHidden/>
    <w:unhideWhenUsed/>
  </w:style>
  <w:style w:type="table" w:styleId="947" w:customStyle="1">
    <w:name w:val="Сетка таблицы1"/>
    <w:basedOn w:val="717"/>
    <w:next w:val="916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 w:customStyle="1">
    <w:name w:val="Абзац списка1"/>
    <w:basedOn w:val="706"/>
    <w:pPr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9" w:customStyle="1">
    <w:name w:val="Знак Знак2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0" w:customStyle="1">
    <w:name w:val="ConsNonformat"/>
    <w:pPr>
      <w:ind w:right="19772"/>
      <w:widowControl w:val="off"/>
    </w:pPr>
    <w:rPr>
      <w:rFonts w:ascii="Courier New" w:hAnsi="Courier New" w:eastAsia="Times New Roman" w:cs="Courier New"/>
    </w:rPr>
  </w:style>
  <w:style w:type="paragraph" w:styleId="951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952" w:customStyle="1">
    <w:name w:val="Обычный (веб)18"/>
    <w:basedOn w:val="706"/>
    <w:pPr>
      <w:jc w:val="both"/>
      <w:spacing w:after="0" w:line="240" w:lineRule="auto"/>
    </w:pPr>
    <w:rPr>
      <w:rFonts w:ascii="Times New Roman" w:hAnsi="Times New Roman" w:eastAsia="Times New Roman"/>
      <w:bCs/>
      <w:color w:val="000000"/>
      <w:sz w:val="28"/>
      <w:szCs w:val="28"/>
      <w:lang w:eastAsia="ar-SA"/>
    </w:rPr>
  </w:style>
  <w:style w:type="paragraph" w:styleId="953" w:customStyle="1">
    <w:name w:val="Знак Знак2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4" w:customStyle="1">
    <w:name w:val="Знак Знак2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5" w:customStyle="1">
    <w:name w:val="Знак Знак2 Знак Знак Знак Знак Знак Знак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6" w:customStyle="1">
    <w:name w:val="Знак Знак2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7" w:customStyle="1">
    <w:name w:val="Знак Знак2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8" w:customStyle="1">
    <w:name w:val="Знак Знак2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59">
    <w:name w:val="Body Text Indent 3"/>
    <w:basedOn w:val="706"/>
    <w:link w:val="96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60" w:customStyle="1">
    <w:name w:val="Основной текст с отступом 3 Знак"/>
    <w:link w:val="959"/>
    <w:uiPriority w:val="99"/>
    <w:semiHidden/>
    <w:rPr>
      <w:sz w:val="16"/>
      <w:szCs w:val="16"/>
    </w:rPr>
  </w:style>
  <w:style w:type="paragraph" w:styleId="961" w:customStyle="1">
    <w:name w:val="1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styleId="962">
    <w:name w:val="Hyperlink"/>
    <w:rPr>
      <w:strike w:val="0"/>
      <w:color w:val="808080"/>
      <w:u w:val="none"/>
    </w:rPr>
  </w:style>
  <w:style w:type="character" w:styleId="963" w:customStyle="1">
    <w:name w:val="blk"/>
  </w:style>
  <w:style w:type="character" w:styleId="964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styleId="965" w:customStyle="1">
    <w:name w:val="Знак Знак2 Знак Знак Знак Знак Знак Знак Знак Знак Знак Знак Знак Знак Знак Знак Знак Знак"/>
    <w:basedOn w:val="70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styleId="966" w:customStyle="1">
    <w:name w:val="Абзац списка Знак"/>
    <w:link w:val="900"/>
    <w:uiPriority w:val="99"/>
    <w:rPr>
      <w:sz w:val="22"/>
      <w:szCs w:val="22"/>
      <w:lang w:eastAsia="en-US"/>
    </w:rPr>
  </w:style>
  <w:style w:type="character" w:styleId="967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968">
    <w:name w:val="annotation text"/>
    <w:basedOn w:val="706"/>
    <w:link w:val="96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9" w:customStyle="1">
    <w:name w:val="Текст примечания Знак"/>
    <w:basedOn w:val="716"/>
    <w:link w:val="968"/>
    <w:uiPriority w:val="99"/>
    <w:semiHidden/>
    <w:rPr>
      <w:lang w:eastAsia="en-US"/>
    </w:rPr>
  </w:style>
  <w:style w:type="paragraph" w:styleId="970">
    <w:name w:val="annotation subject"/>
    <w:basedOn w:val="968"/>
    <w:next w:val="968"/>
    <w:link w:val="971"/>
    <w:uiPriority w:val="99"/>
    <w:semiHidden/>
    <w:unhideWhenUsed/>
    <w:rPr>
      <w:b/>
      <w:bCs/>
    </w:rPr>
  </w:style>
  <w:style w:type="character" w:styleId="971" w:customStyle="1">
    <w:name w:val="Тема примечания Знак"/>
    <w:basedOn w:val="969"/>
    <w:link w:val="9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minsoc.gov-murman.ru/activities/dost_sreda/registryosi/" TargetMode="External"/><Relationship Id="rId12" Type="http://schemas.openxmlformats.org/officeDocument/2006/relationships/hyperlink" Target="http://zhit-vmeste.ru/map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1C32-4A1D-4982-94AE-654E3F83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АПР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revision>10</cp:revision>
  <dcterms:created xsi:type="dcterms:W3CDTF">2025-11-12T17:21:00Z</dcterms:created>
  <dcterms:modified xsi:type="dcterms:W3CDTF">2025-11-19T09:55:04Z</dcterms:modified>
</cp:coreProperties>
</file>