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2F" w:rsidRDefault="00CF24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CF242F" w:rsidRDefault="00184D3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CF242F" w:rsidRDefault="00184D3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1840</w:t>
      </w: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Образование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2026 - 2028 годы</w:t>
      </w:r>
    </w:p>
    <w:p w:rsidR="00CF242F" w:rsidRPr="006703F9" w:rsidRDefault="006703F9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 w:rsidR="00091884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й</w:t>
      </w: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0</w:t>
      </w:r>
      <w:r w:rsidR="00CB726F" w:rsidRPr="00CB726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2</w:t>
      </w: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.02.2026 № </w:t>
      </w:r>
      <w:r w:rsidR="00CB726F" w:rsidRPr="00CB726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158</w:t>
      </w:r>
      <w:r w:rsidR="00143526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091884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19.03.2026 № 375</w:t>
      </w:r>
      <w:r w:rsidR="00352DD7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143526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08.04.2026 № 53</w:t>
      </w:r>
      <w:r w:rsidR="00B0256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, </w:t>
      </w:r>
      <w:r w:rsidR="00352DD7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от 29.04.2026 № 659</w:t>
      </w:r>
      <w:r w:rsidR="00E812F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B0256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07.05.2026 № 748</w:t>
      </w:r>
      <w:r w:rsidR="00E812F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08.06.2026 № 1041</w:t>
      </w: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F242F" w:rsidRDefault="00184D33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Федеральным Законом </w:t>
      </w:r>
      <w:r>
        <w:rPr>
          <w:rFonts w:ascii="Times New Roman" w:hAnsi="Times New Roman"/>
          <w:sz w:val="24"/>
          <w:szCs w:val="24"/>
          <w:lang w:eastAsia="ru-RU"/>
        </w:rPr>
        <w:t xml:space="preserve">от 29.12.2012 № 273-ФЗ «Об образовании в Российской Федерации», Законом Мурманской области от 28.06.2013 № 1649-01-ЗМО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«Об образовании в Мурманской области», </w:t>
      </w:r>
      <w:r>
        <w:rPr>
          <w:rFonts w:ascii="Times New Roman" w:hAnsi="Times New Roman"/>
          <w:sz w:val="24"/>
          <w:szCs w:val="24"/>
        </w:rPr>
        <w:t xml:space="preserve">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1488, </w:t>
      </w:r>
      <w:r>
        <w:rPr>
          <w:rFonts w:ascii="Times New Roman" w:hAnsi="Times New Roman"/>
          <w:sz w:val="24"/>
          <w:szCs w:val="24"/>
          <w:lang w:eastAsia="ru-RU"/>
        </w:rPr>
        <w:t>в целях осуществления комплекса мероприятий, направленных на создание условий для повышения качества, доступности и конкурентоспособности образования в Печенгском муниципальном округе,</w:t>
      </w:r>
    </w:p>
    <w:p w:rsidR="00CF242F" w:rsidRDefault="00CF242F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CF242F" w:rsidRDefault="00184D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CF242F" w:rsidRDefault="00CF24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CF242F" w:rsidRDefault="00184D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«Образование» на 2026 - 2028 годы согласно приложению к настоящему постановлению.</w:t>
      </w:r>
    </w:p>
    <w:p w:rsidR="00CF242F" w:rsidRDefault="00184D3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CF242F" w:rsidRDefault="00184D3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CF242F" w:rsidRDefault="00184D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CF242F" w:rsidRDefault="00CF242F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CF242F" w:rsidRDefault="00CF242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CF242F" w:rsidRDefault="00184D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184D33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Никитина И.В., 5-05-72</w:t>
      </w:r>
    </w:p>
    <w:p w:rsidR="00CF242F" w:rsidRDefault="00CF242F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F242F" w:rsidRDefault="00184D33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CF242F" w:rsidRDefault="00184D33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CF242F" w:rsidRDefault="00184D33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12.11.2025 № </w:t>
      </w:r>
      <w:r>
        <w:rPr>
          <w:rFonts w:ascii="Times New Roman" w:hAnsi="Times New Roman"/>
          <w:color w:val="000000" w:themeColor="text1"/>
          <w:sz w:val="24"/>
          <w:szCs w:val="24"/>
        </w:rPr>
        <w:t>1840</w:t>
      </w:r>
    </w:p>
    <w:p w:rsidR="006703F9" w:rsidRPr="006703F9" w:rsidRDefault="00CB726F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09188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02.02.2026 № </w:t>
      </w:r>
      <w:r w:rsidRPr="0009188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158</w:t>
      </w:r>
      <w:r w:rsidR="0014352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09188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19.03.2026 № 375</w:t>
      </w:r>
      <w:r w:rsidR="00352DD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14352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08.04.2026 № 539</w:t>
      </w:r>
      <w:r w:rsidR="00B0256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352DD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29.04.2026 № 659</w:t>
      </w:r>
      <w:r w:rsidR="00E812F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B0256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07.05.2026 № 748</w:t>
      </w:r>
      <w:r w:rsidR="00E812F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</w:t>
      </w:r>
      <w:r w:rsidR="00E812F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и от 08.06.2026 № 1041</w:t>
      </w:r>
      <w:r w:rsidR="006703F9" w:rsidRPr="006703F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CF242F" w:rsidRPr="006703F9" w:rsidRDefault="00CF242F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CF242F" w:rsidRDefault="00CF24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F242F" w:rsidRDefault="00CF24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F242F" w:rsidRDefault="00184D3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CF242F" w:rsidRDefault="00184D3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CF242F" w:rsidRDefault="00CF24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F242F" w:rsidRDefault="00184D3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«Образование»</w:t>
      </w: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184D3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F9" w:rsidRDefault="006703F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42F" w:rsidRPr="00352DD7" w:rsidRDefault="00184D33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DD7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исполнитель муниципальной программы – </w:t>
      </w:r>
    </w:p>
    <w:p w:rsidR="00CF242F" w:rsidRPr="00352DD7" w:rsidRDefault="00184D33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52DD7">
        <w:rPr>
          <w:rFonts w:ascii="Times New Roman" w:eastAsia="Times New Roman" w:hAnsi="Times New Roman"/>
          <w:b/>
          <w:sz w:val="26"/>
          <w:szCs w:val="26"/>
          <w:lang w:eastAsia="ru-RU"/>
        </w:rPr>
        <w:t>Отдел образования администрации Печенгского муниципального округа</w:t>
      </w:r>
    </w:p>
    <w:p w:rsidR="00CF242F" w:rsidRDefault="00CF24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F242F" w:rsidRDefault="00CF242F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CF242F" w:rsidRDefault="00CF24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«Образование»</w:t>
      </w:r>
    </w:p>
    <w:p w:rsidR="00CF242F" w:rsidRDefault="00CF24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CF242F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1. Развитие муниципальных учреждений образования.</w:t>
            </w:r>
          </w:p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образования администрации Печенгского муниципального округа (далее – Отдел образования)</w:t>
            </w:r>
          </w:p>
        </w:tc>
      </w:tr>
      <w:tr w:rsidR="00CF242F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42F" w:rsidRDefault="00CF24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Направление (подпрограмма) 2. Положение детей–сирот в современном обществе.</w:t>
            </w:r>
          </w:p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образования</w:t>
            </w:r>
          </w:p>
        </w:tc>
      </w:tr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CF242F" w:rsidRDefault="00CF24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42F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 w:rsidRPr="00E812FD">
              <w:rPr>
                <w:rFonts w:ascii="Times New Roman" w:hAnsi="Times New Roman"/>
                <w:b/>
                <w:sz w:val="24"/>
                <w:szCs w:val="24"/>
              </w:rPr>
              <w:t>7 053 357 345,25 рублей,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МБ: 1 863 920 285,71 рублей, из них: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2026 год: 641 996 985,71 рублей,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2027 год: 628 191 000,00 рублей,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2028 год: 593 732 300,00 рублей.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ОБ: 3 278 999 628,00 рублей, из них: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2026 год: 1 122 507 876,00 рублей,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2027 год: 1 075 845 076,00 рублей,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2028 год: 1 080 646 676,00 рублей.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ФБ: 1 807 987 431,54 рублей, из них: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2026 год: 1 545 386 188,30 рублей,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2027 год: 156 026 443,24 рублей,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2028 год: 106 574 800,00 рублей.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ВБС: 102 450 000,00 рублей, из них: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2026 год: 34 350 000,00 рублей,</w:t>
            </w:r>
          </w:p>
          <w:p w:rsidR="00E812FD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2027 год: 34 050 000,00 рублей,</w:t>
            </w:r>
          </w:p>
          <w:p w:rsidR="00CF242F" w:rsidRPr="00E812FD" w:rsidRDefault="00E812FD" w:rsidP="00E812FD">
            <w:pPr>
              <w:spacing w:after="0"/>
              <w:ind w:left="-57" w:right="-57"/>
              <w:jc w:val="both"/>
              <w:rPr>
                <w:rFonts w:ascii="Times New Roman" w:hAnsi="Times New Roman"/>
              </w:rPr>
            </w:pPr>
            <w:r w:rsidRPr="00E812FD">
              <w:rPr>
                <w:rFonts w:ascii="Times New Roman" w:hAnsi="Times New Roman"/>
                <w:sz w:val="24"/>
                <w:szCs w:val="24"/>
              </w:rPr>
              <w:t>2028 год: 34 050 000,00 рублей.</w:t>
            </w:r>
          </w:p>
        </w:tc>
      </w:tr>
      <w:tr w:rsidR="00CF242F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100 % доступности дошкольного образования для детей в возрасте от 1 до 6 лет и ее сохранение до 2029 года;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доля выпускников общеобразовательных организаций, не получивших аттестат о среднем (полном) образовании – 0 %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увеличение доли детей в возрасте от 5 до 18 лет, охваченных дополнительным образованием, в общей численности детей в возрасте от 5 до 18 лет – до 81,9 %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увеличение доли отдохнувших и оздоровленных детей и подростков в оздоровительных учреждениях и на базе образовательных организаций – ежегодно до 32,3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 на уровне 100 %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 на уровне 100 %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 на уровне 100 %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учреждений системы образования, в которых реализованы запланированные мероприятия, направленные на обеспечение материально-технической базы на уровне 100 % ежегодно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 на уровне 100 % ежегодно к 2029 году</w:t>
            </w:r>
          </w:p>
        </w:tc>
      </w:tr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</w:tr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образования; Муниципальное бюджетное учреждение «Ремонтно-эксплуатационная служба» (далее - МБУ «РЭС»);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 имени Героя Российской Федерации М.С. Попова» (далее – МБОУ СОШ № 5);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 № 2» (далее – МБУ ДО ДДТ № 2)</w:t>
            </w:r>
          </w:p>
        </w:tc>
      </w:tr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«Образование и наука».</w:t>
            </w:r>
          </w:p>
          <w:p w:rsidR="00CF242F" w:rsidRDefault="00184D33">
            <w:pPr>
              <w:pStyle w:val="ConsPlusTitle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«Комфортное жилье и городская среда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».</w:t>
            </w:r>
          </w:p>
          <w:p w:rsidR="00CF242F" w:rsidRDefault="00184D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формирования на 2024 - 2026 годы».</w:t>
            </w:r>
          </w:p>
          <w:p w:rsidR="00CF242F" w:rsidRDefault="00184D33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«Все лучшее детям».</w:t>
            </w:r>
          </w:p>
          <w:p w:rsidR="00CF242F" w:rsidRDefault="00184D33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«Педагоги и наставники».</w:t>
            </w:r>
          </w:p>
        </w:tc>
      </w:tr>
    </w:tbl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184D33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«Образование»</w:t>
      </w:r>
    </w:p>
    <w:p w:rsidR="00CF242F" w:rsidRDefault="00CF2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документами, определяющими стратегию развития системы образования в Печенгском муниципальном округе, являются: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указы Президента Российской Федерации: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07.05.2012 № 599 «О мерах по реализации государственной политики в области образования и науки»;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28.12.2012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29.05.2017 № 240 «Об объявлении в Российской Федерации Десятилетия детства»;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07.05.2024 №309 «О национальных целях развития Российской Федерации на период до 2030 года и на перспективу до 2036 года»;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Федеральный закон от 29.12.2012 № 273-ФЗ «Об образовании в Российской Федерации»;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иные нормативные правовые документы федерального и регионального законодательства органов исполнительной власти, касающихся управления в сфере образовательной деятельности.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приоритетами образовательной политики являются: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в сфере дошкольного образования: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100 % доступности дошкольного образования для детей в возрасте от 3 до 7 лет;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мероприятий, направленных на создание дополнительных мест в организациях, реализующих образовательные программы дошкольного образования для детей в возрасте от 2 месяцев до 3 лет;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вариативных форм дошкольного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в сфере общего образования: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в общеобразовательных организациях федеральных государственных образовательных стандартов начального, основного и среднего общего образования, в том числе для детей с ограниченными возможностями здоровья;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предоставление обучающимся детям - инвалидам и детям с ограниченными возможностями здоровья возможностей доступа к образовательным ресурсам, выбора варианта освоения программ общего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выявления и развития творческих и интеллектуальных способностей талантливых детей;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системы комплексного мониторинга качества образования, внешней независимой системы оценки качества образования с участием общественности;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в сфере дополнительного образования детей, организации летнего отдыха и оздоровления: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совершенствование материально-технической базы организаций дополнительного образования детей;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и укрепление здоровья школьников;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развитие детских общественных объединений;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в сфере развития кадрового потенциала: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роста престижа профессии педагогических и руководящих работников системы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в сфере создания современных условий обучения и воспитания: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продолжение модернизации инфраструктуры общеобразовательных организаций, направленной на обеспечение современных условий обучения, в том числе через участие в приоритетных федеральных и региональных проектах по обеспечению доступности образования детям раннего возраста, развитию спортивных клубов;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  <w:t>в сфере защиты прав детей - сирот и детей, оставшихся без попечения родителей: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системы замещающего семейного устройства детей - сирот и детей, оставшихся без попечения родителей;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межведомственного взаимодействия при организации работы по профилактике социального сиротства.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образования в Печенгском муниципальном округе в трехлетней перспективе осуществляется в соответствии с требованиями времени, новыми технологиями при использовании потенциала различных институций, сформированных с учетом тенденций развития экономики района, образования в целом.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«Образование» (далее - Программа) является 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будет способствовать осуществлению стратегической цели социально-экономического развития Печенгского муниципального округа, повышению качества человеческого капитала, пространственное развитие, инфраструктурное развитие.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эффект выражается в росте эффективности сферы развития человеческого и социального потенциала возложенного на сферу образования в Печенгском муниципальном округе. В этой связи образование начинает рассматриваться не как затратная отрасль, а как сфера для стратегических инвестиций.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Ожидаемая экономическая эффективность выражается в эффективном использовании бюджетных средств в ходе реализации комплексов процессных и проектных мероприятий Программы.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планируется решение следующих задач: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сети и инфраструктуры образовательных организаций, обеспечивающих доступ населения Печенгского муниципального округа к качественным услугам дошкольного, общего и дополнительного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современных механизмов, содержания и технологий образовательного процесса;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мер социальной поддержки воспитанников, обучающихся и работников муниципальных учреждений, подведомственных отделу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защиты прав и интересов детей - сирот, детей, оставшихся без попечения родителей, содействие их семейному устройству и интеграции в общество;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создание в муниципальных учреждениях, подведомственных отделу образования, условий, обеспечивающих безопасность воспитанников, учеников и работников образовательных учреждений.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высокого качества образования связано с созданием не только организационных, кадровых, инфраструктурных, материально-технических и учебно-методических условий, но и объективной, охватывающей все уровни образования системы оценки качества, на ее формирование и развитие, участие в исследованиях качества образования, включение общественности в управление образовательными организациями, повышение качества контроля за реализацией образовательных программ направлены все мероприятия Программы.</w:t>
      </w:r>
    </w:p>
    <w:p w:rsidR="00CF242F" w:rsidRDefault="00CF2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242F" w:rsidRDefault="00CF2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242F" w:rsidRDefault="00CF242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F242F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728"/>
        <w:gridCol w:w="1139"/>
        <w:gridCol w:w="1528"/>
        <w:gridCol w:w="977"/>
        <w:gridCol w:w="1028"/>
        <w:gridCol w:w="11"/>
        <w:gridCol w:w="1053"/>
        <w:gridCol w:w="1062"/>
        <w:gridCol w:w="16"/>
        <w:gridCol w:w="1018"/>
        <w:gridCol w:w="1675"/>
      </w:tblGrid>
      <w:tr w:rsidR="00CF242F"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 (подпрограммы), цели, показатели 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CF242F"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42F"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«Образование»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 муниципальной программы: П</w:t>
            </w:r>
            <w:r>
              <w:rPr>
                <w:rFonts w:ascii="Times New Roman" w:hAnsi="Times New Roman"/>
              </w:rPr>
              <w:t>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Доступность дошкольного образования для детей в возрасте от 1 до 6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8,45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выпускников общеобразовательных организаций, не получивших аттестат о среднем (полном) образовании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79,16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81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CF24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0.9.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детей - 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«Развитие муниципальных учреждений образования»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CF242F" w:rsidRDefault="00184D33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Эффективная организация предоставления общедоступного бесплатного дошкольного, общего и дополнительного образования детей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1.2 .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(-1)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 образования 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1.5.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rPr>
          <w:trHeight w:val="543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объектов дошкольного и общего образования, в отношении которых осуществлено строительство, проведен капитальный ремонт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МБУ «РЭС», 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5</w:t>
            </w:r>
          </w:p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2.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«Положение детей - сирот в современном обществе»</w:t>
            </w:r>
          </w:p>
          <w:p w:rsidR="00CF242F" w:rsidRDefault="00184D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Социальная адаптация детей - сирот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обеспеченных жилыми помещениями детей - сирот и детей, оставшихся без попечения родителей в общем объеме нуждающихся в таких помещениях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- 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</w:tbl>
    <w:p w:rsidR="00CF242F" w:rsidRDefault="00184D33">
      <w:pPr>
        <w:pStyle w:val="af8"/>
        <w:spacing w:before="0" w:beforeAutospacing="0" w:after="0" w:afterAutospacing="0"/>
        <w:jc w:val="both"/>
        <w:rPr>
          <w:sz w:val="18"/>
          <w:szCs w:val="18"/>
        </w:rPr>
      </w:pPr>
      <w:bookmarkStart w:id="2" w:name="p125"/>
      <w:bookmarkEnd w:id="2"/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 xml:space="preserve">Направленность показателя обозначается: </w:t>
      </w:r>
    </w:p>
    <w:p w:rsidR="00CF242F" w:rsidRDefault="00184D33">
      <w:pPr>
        <w:pStyle w:val="af8"/>
        <w:spacing w:before="168" w:beforeAutospacing="0" w:after="0" w:afterAutospacing="0"/>
        <w:ind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направленность на рост; </w:t>
      </w:r>
    </w:p>
    <w:p w:rsidR="00CF242F" w:rsidRDefault="00184D33">
      <w:pPr>
        <w:pStyle w:val="af8"/>
        <w:spacing w:before="168" w:beforeAutospacing="0" w:after="0" w:afterAutospacing="0"/>
        <w:ind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(-1) – направленность на снижение; </w:t>
      </w:r>
    </w:p>
    <w:p w:rsidR="00CF242F" w:rsidRDefault="00184D33">
      <w:pPr>
        <w:pStyle w:val="af8"/>
        <w:numPr>
          <w:ilvl w:val="0"/>
          <w:numId w:val="16"/>
        </w:numPr>
        <w:spacing w:before="168" w:beforeAutospacing="0" w:after="0" w:afterAutospac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– направленность на достижение конкретного значения. </w:t>
      </w:r>
    </w:p>
    <w:p w:rsidR="00CF242F" w:rsidRDefault="00CF242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F242F" w:rsidRDefault="00CF24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F242F" w:rsidRDefault="00184D33">
      <w:pPr>
        <w:pStyle w:val="af4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841"/>
        <w:gridCol w:w="992"/>
        <w:gridCol w:w="993"/>
        <w:gridCol w:w="271"/>
        <w:gridCol w:w="1146"/>
        <w:gridCol w:w="1701"/>
        <w:gridCol w:w="1134"/>
        <w:gridCol w:w="1701"/>
        <w:gridCol w:w="1696"/>
        <w:gridCol w:w="1423"/>
        <w:gridCol w:w="1275"/>
      </w:tblGrid>
      <w:tr w:rsidR="00CF242F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Программы (наименования показателей) </w:t>
            </w:r>
          </w:p>
        </w:tc>
      </w:tr>
      <w:tr w:rsidR="00CF242F">
        <w:trPr>
          <w:trHeight w:val="38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«Развитие муниципальных учреждений образования»</w:t>
            </w:r>
          </w:p>
        </w:tc>
      </w:tr>
      <w:tr w:rsidR="00CF242F">
        <w:trPr>
          <w:trHeight w:val="56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0.3. Доля детей в возрасте от 5 до 18 лет, охваченных дополнительным образованием, в общей численности детей в возрасте от 5 до 18 лет;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0.7. 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 Доля выпускников общеобразовательных организаций, не получивших аттестат о среднем (полном) образовании;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Доступность дошкольного образования для детей в возрасте от 1 до 6 лет;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 Доля отдохнувших и оздоровленных детей и подростков в оздоровительных учреждениях и на базе образовательных организаций.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 Доля обучающихся, обеспеченных бесплатным питанием в образовательных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организациях, в общей численности обучающихся, имеющих право на обеспечение бесплатным питанием;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 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 образовательная среда»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 Доля организаций системы образования, в которых реализованы запланированные мероприятия, направленные на обеспечение материально-технической базы.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«Все лучшее детям»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 Доля организаций системы образования, в которых реализованы запланированные мероприятия, направленные на обеспечение материально-технической базы.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Количество объектов дошкольного и общего образования, в отношении которых осуществлено строительство, проведен капитальный ремонт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 Доступность дошкольного образования для детей в возрасте от 1 до 6 лет.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Количество объектов дошкольного и общего образования, в отношении которых осуществлено строительство, проведен капитальный ремонт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2. «Положение детей-сирот в современном обществе»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29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8</w:t>
            </w:r>
          </w:p>
          <w:p w:rsidR="00CF242F" w:rsidRDefault="00297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</w:t>
            </w:r>
            <w:r w:rsidR="00184D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-сирот, детей, оставшихся без попечения родителей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ДО ДДТ № 2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 Доля детей - 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родителей.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Доля обеспеченных жилыми помещениями детей - сирот и детей, оставшихся без попечения родителей в общем объеме нуждающихся в таких помещениях;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Доля детей - 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</w:tr>
      <w:tr w:rsidR="00CF242F">
        <w:trPr>
          <w:trHeight w:val="600"/>
        </w:trPr>
        <w:tc>
          <w:tcPr>
            <w:tcW w:w="14884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 Перечень объектов капитального строительства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CF242F" w:rsidTr="00AB121E">
        <w:trPr>
          <w:trHeight w:val="134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Соисполнитель, заказчик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141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Сроки и этапы выполнения работ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Общая стоимость объекта, рублей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Объемы и источники финансирования, рублей </w:t>
            </w:r>
          </w:p>
        </w:tc>
      </w:tr>
      <w:tr w:rsidR="00CF242F" w:rsidTr="00AB121E">
        <w:trPr>
          <w:trHeight w:val="67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Год/Источник 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CF242F">
        <w:trPr>
          <w:trHeight w:val="351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944" w:type="dxa"/>
            <w:gridSpan w:val="6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Pr="00AB121E" w:rsidRDefault="00184D33" w:rsidP="00AB12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1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«Образование»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1 515 547 225,38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1 442 167 400,81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73 379 824,57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 w:rsidTr="00AB121E">
        <w:trPr>
          <w:trHeight w:val="34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31 381 903,84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144 112,51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31 237 791,33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1 484 165 321,54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1 442 023 288,30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42 142 033,24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 w:rsidTr="00AB121E">
        <w:trPr>
          <w:trHeight w:val="33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>
        <w:trPr>
          <w:trHeight w:val="337"/>
        </w:trPr>
        <w:tc>
          <w:tcPr>
            <w:tcW w:w="7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3" w:type="dxa"/>
            <w:gridSpan w:val="1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F242F" w:rsidRDefault="00AB12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Направление (подпрограмма) 1</w:t>
            </w:r>
            <w:r w:rsidR="00184D3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184D3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«Развитие муниципальных учреждений образования»</w:t>
            </w:r>
          </w:p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CF242F" w:rsidTr="00AB121E">
        <w:trPr>
          <w:gridAfter w:val="1"/>
          <w:wAfter w:w="1275" w:type="dxa"/>
          <w:trHeight w:val="315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капитального ремонта кровли МБОУ СОШ № 5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41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73 379 824,57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73 379 824,57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73 379 824,57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31 237 791,33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31 237 791,33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42 142 033,24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42 142 033,24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33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проектированию, строительству и вводу в эксплуатацию объекта капитального строительства «Детский сад на 350 мест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п.г.т. Печенга»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мест</w:t>
            </w:r>
          </w:p>
        </w:tc>
        <w:tc>
          <w:tcPr>
            <w:tcW w:w="141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Пусконаладочные работы:   15.11.2026-30.11.2026;          Ввод объекта в эксплуатацию: (20.11.2026- 10.12.2026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E24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684 228 960,00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684 228 960,00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684 228 960,00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68 392,36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68 392,36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684 160 567,64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684 160 567,64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1014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8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и строительство здания детского сада на 250 мест в п. Корзуново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мест</w:t>
            </w:r>
          </w:p>
        </w:tc>
        <w:tc>
          <w:tcPr>
            <w:tcW w:w="141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1E5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 Пусконаладочные работы:    15.11.2026-30.11.2026;         Ввод объекта в эксплуатацию: 20.11.2026– 10.12.2026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757 938 440,81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757 938 440,81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757 938 440,81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F242F" w:rsidTr="00AB121E">
        <w:trPr>
          <w:trHeight w:val="281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75 720,15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75 720,15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242F" w:rsidTr="00AB121E">
        <w:trPr>
          <w:trHeight w:val="319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242F" w:rsidTr="00AB121E">
        <w:trPr>
          <w:trHeight w:val="37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757 862 720,66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757 862 720,66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242F" w:rsidTr="00AB121E">
        <w:trPr>
          <w:trHeight w:val="1546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242F" w:rsidRDefault="00CF242F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мер финансовой поддержки в сфере реализации муниципальной программы </w:t>
      </w: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017"/>
        <w:gridCol w:w="2410"/>
        <w:gridCol w:w="3260"/>
        <w:gridCol w:w="2410"/>
        <w:gridCol w:w="3118"/>
      </w:tblGrid>
      <w:tr w:rsidR="00CF242F">
        <w:trPr>
          <w:trHeight w:val="9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финансовой поддержки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предоставления финансовой поддержки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Нормативный правовой 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исполнитель, Соисполнитель, ответственный за предоставление меры финансовой поддержки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CF2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4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9A0A24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</w:t>
            </w:r>
            <w:r w:rsidR="00184D3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«Развитие муниципальных учреждений образования» </w:t>
            </w:r>
          </w:p>
        </w:tc>
      </w:tr>
      <w:tr w:rsidR="00CF2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в целях финансового обеспечения муниципального социального заказа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 дополнительных общеразвивающих программ для детей, включенных в муниципальный социальный заказ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Совета депутатов Печенгского муниципального округа от 20.12.2024 № 515 (Приложение 7); </w:t>
            </w:r>
          </w:p>
          <w:p w:rsidR="00CF242F" w:rsidRDefault="00184D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отдела образования администрации Печенгского муниципального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28.12.2024г. № 773/1                               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утверждении муниципального социального заказа на оказание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социальной сфере на 2025 год и плановый период 2026 – 2027 годов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Печенгском муниципальном округе»</w:t>
            </w:r>
          </w:p>
          <w:p w:rsidR="00CF242F" w:rsidRDefault="00CF24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</w:tr>
    </w:tbl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5.2. Перечень мер налогового регулирования (налоговых расходов) в сфере реализации муниципальной программы </w:t>
      </w:r>
    </w:p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1275"/>
        <w:gridCol w:w="1134"/>
        <w:gridCol w:w="2410"/>
        <w:gridCol w:w="5245"/>
      </w:tblGrid>
      <w:tr w:rsidR="00CF242F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Объем выпадающих доходов бюджета округа (руб.)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CF242F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1 «Развитие муниципальных учреждений образования»</w:t>
            </w:r>
          </w:p>
        </w:tc>
      </w:tr>
      <w:tr w:rsidR="00CF242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Освобождение от уплаты земельного налога учреждений образования,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функций, от уплаты земельного налога</w:t>
            </w:r>
          </w:p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Подпункт 4.1 пункта 4 решения Совета депутатов Печенгского муниципального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23.10.2020 № 39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rFonts w:ascii="Times New Roman" w:hAnsi="Times New Roman"/>
                <w:sz w:val="20"/>
                <w:szCs w:val="20"/>
              </w:rPr>
              <w:t>(в ред. от 22.11.2024)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округа;</w:t>
            </w:r>
          </w:p>
          <w:p w:rsidR="00CF242F" w:rsidRDefault="00184D3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0.8. 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</w:tr>
    </w:tbl>
    <w:p w:rsidR="00CF242F" w:rsidRDefault="00CF242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42F" w:rsidRDefault="00CF242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Сведения об объемах финансирования муниципальной программы</w:t>
      </w:r>
    </w:p>
    <w:p w:rsidR="00CF242F" w:rsidRDefault="00CF242F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3" w:name="_GoBack"/>
      <w:bookmarkEnd w:id="3"/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993"/>
        <w:gridCol w:w="1701"/>
        <w:gridCol w:w="1842"/>
        <w:gridCol w:w="1701"/>
        <w:gridCol w:w="1701"/>
        <w:gridCol w:w="1985"/>
      </w:tblGrid>
      <w:tr w:rsidR="00CF242F" w:rsidTr="00143526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79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F242F" w:rsidTr="00143526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Муниципальная программа «Образование»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7 053 357 345,25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3 344 241 050,01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1 894 112 519,24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1 815 003 776,00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«РЭС»,</w:t>
            </w:r>
          </w:p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СОШ № 5, </w:t>
            </w:r>
          </w:p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ДДТ № 2</w:t>
            </w: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1 863 920 285,71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641 996 985,71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628 191 000,00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593 732 300,00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3 278 999 628,00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1 122 507 876,00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1 075 845 076,00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1 080  646 676,00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1 807 987 431,54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1 545 386 188,30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156 026 443,24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106 574 800,00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102 450 000,00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34 350 000,00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34 050 000,00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C7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  <w:r w:rsidRPr="008C76C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Pr="000B3DD3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B3D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1 457 871 228,81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1 449 263 576,81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2 628 376,00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5 979 276,00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144 112,51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144 112,51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15 703 828,00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7 096 176,00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2 628 376,00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5 979 276,00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1 442 023 288,30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1 442 023 288,30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Pr="008C76C2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5 595 486 116,44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1 894 977 473,20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1 891 484 143,24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1 809 024 500,00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1 863 776 173,20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641 852 873,20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628 191 000,00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593 732 300,00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3 263 295 800,00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1 115 411 700,00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1 073 216 700,00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1 074 667 400,00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365 964 143,24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103 362 900,00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156 026 443,24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106 574 800,00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102 450 000,00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34 350 000,00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34 050 000,00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34 050 000,00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«Развитие муниципальных учреждений образования 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6 844 718 517,25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3 274 994 574,01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1 827 132 743,24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1 742 591 200,00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МБУ «РЭС», МБОУ СОШ № 5 </w:t>
            </w: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1 863 711 785,71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641 927 485,71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628 121 500,00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593 662 800,00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3 070 569 300,00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1 053 330 900,00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1 008 934 800,00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1 008 303 600,00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1 807 987 431,54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1 545 386 188,30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156 026 443,24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106 574 800,00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102 450 000,00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34 350 000,00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34 050 000,00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</w:p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4 270 217 209,94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1 437 480 861,97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1 414 873 447,97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1 417 862 900,00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1 314 356 609,94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427 138 061,97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442 114 547,97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445 104 000,00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2 853 710 600,00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976 292 800,00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938 708 900,00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938 708 900,00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102 150 000,00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34 050 000,00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34 050 000,00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Pr="008963A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63A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315 461 200,00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101 471 600,00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106 938 100,00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107 051 500,00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313 844 200,00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100 932 600,00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106 399 100,00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106 512 500,00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1 617 000,00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539 000,00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539 000,00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539 000,00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234 772 600,00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77 680 800,00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78 517 800,00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78 574 000,00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9 530 600,00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3 156 000,00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3 187 300,00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3 187 300,00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225 242 000,00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74 524 800,00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75 330 500,00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75 386 700,00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357 074 150,00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131 460 050,00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112 511 300,00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113 102 800,00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образования, </w:t>
            </w:r>
          </w:p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66 347 050,00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34 278 850,00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16 021 900,00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16 046 300,00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200 711 100,00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68 343 100,00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66 499 600,00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65 868 400,00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90 016 000,00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28 838 100,00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29 989 800,00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31 188 100,00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</w:t>
            </w:r>
            <w:r w:rsidRPr="00202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среда»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151 646 131,93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84 733 861,23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40 912 270,70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26 000 000,00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137 782 021,93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79 433 861,23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32 348 160,70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26 000 000,00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5 000 000,00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5 000 000,00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8 564 110,00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8 564 110,00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региональной программы «Все лучшее детям»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Pr="0025507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50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73 379 824,57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73 379 824,57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31 237 791,33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31 237 791,33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42 142 033,24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42 142 033,24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1 442 167 400,81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iCs/>
                <w:sz w:val="20"/>
                <w:szCs w:val="20"/>
                <w:lang w:bidi="en-US"/>
              </w:rPr>
              <w:t>1 442 167 400,81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144 112,51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144 112,51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1 442 023 288,30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1 442 023 288,30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2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«Положение детей-сирот в современном обществе»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208 638 828,00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69 246 476,00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66 979 776,00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72 412 576,00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ДО ДДТ № 2</w:t>
            </w: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208 500,00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69 500,00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208 430 328,00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69 176 976,00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66 910 276,00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72 343 076,00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8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детей-сирот, детей,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208 638 828,00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69 246 476,00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66 979 776,00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72 412 576,00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МБУ ДО ДДТ № 2 </w:t>
            </w: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208 500,00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69 500,00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208 430 328,00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69 176 976,00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66 910 276,00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72 343 076,00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2FD" w:rsidTr="00E812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812FD" w:rsidRPr="00E812FD" w:rsidRDefault="00E812FD" w:rsidP="00E812FD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bidi="en-US"/>
              </w:rPr>
            </w:pPr>
            <w:r w:rsidRPr="00E812FD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812FD" w:rsidRDefault="00E812FD" w:rsidP="00E812F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CF242F" w:rsidRDefault="00CF242F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Механизмы управления рисками</w:t>
      </w:r>
    </w:p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83" w:type="pct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689"/>
        <w:gridCol w:w="3537"/>
        <w:gridCol w:w="3446"/>
        <w:gridCol w:w="3364"/>
        <w:gridCol w:w="2098"/>
      </w:tblGrid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 (результатов), обязательств в связи с данными изменениями, что окажет влияние на конечные результаты Программы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Недостижение запланированных значений показателей Программы,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невыполнение мероприятий результатов в срок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Сбалансированное распределение финансовых средств по структурным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элементам Программы в соответствии с ожидаемыми конечными результатами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Уточнение объемов финансовых средств, предусмотренных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CF242F" w:rsidRDefault="00CF242F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CF242F" w:rsidRDefault="00CF242F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CF242F" w:rsidRDefault="00CF24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CF242F">
          <w:pgSz w:w="16838" w:h="11905" w:orient="landscape"/>
          <w:pgMar w:top="851" w:right="678" w:bottom="993" w:left="1701" w:header="720" w:footer="720" w:gutter="0"/>
          <w:cols w:space="720"/>
          <w:docGrid w:linePitch="360"/>
        </w:sectPr>
      </w:pPr>
    </w:p>
    <w:p w:rsidR="00CF242F" w:rsidRDefault="00184D3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CF242F" w:rsidRDefault="00CF242F">
      <w:pPr>
        <w:spacing w:after="0" w:line="240" w:lineRule="auto"/>
        <w:rPr>
          <w:highlight w:val="yellow"/>
        </w:rPr>
      </w:pPr>
      <w:bookmarkStart w:id="4" w:name="Par3713"/>
      <w:bookmarkEnd w:id="4"/>
    </w:p>
    <w:p w:rsidR="00CF242F" w:rsidRDefault="00184D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Отделом образования, который: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Соисполнителями муниципальной программы являются МБУ «РЭС», которые: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Финансовому управлению соответствующие предложения;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образования 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муниципальной программы:</w:t>
      </w:r>
    </w:p>
    <w:p w:rsidR="00CF242F" w:rsidRDefault="00184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осуществляют реализацию мероприятий муниципальной программы, участниками которых они являются;</w:t>
      </w:r>
    </w:p>
    <w:p w:rsidR="00CF242F" w:rsidRDefault="00184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CF242F" w:rsidRDefault="00184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CF242F" w:rsidRDefault="00184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CF242F" w:rsidRDefault="00CF24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CF242F">
          <w:pgSz w:w="11905" w:h="16838"/>
          <w:pgMar w:top="1134" w:right="706" w:bottom="1701" w:left="1418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CF242F">
        <w:tc>
          <w:tcPr>
            <w:tcW w:w="222" w:type="dxa"/>
            <w:shd w:val="clear" w:color="auto" w:fill="auto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CF242F" w:rsidRDefault="00184D3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Сведения об источниках и методике расчета значений показателей муниципальной программы</w:t>
      </w:r>
    </w:p>
    <w:tbl>
      <w:tblPr>
        <w:tblW w:w="14601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976"/>
        <w:gridCol w:w="1134"/>
        <w:gridCol w:w="1560"/>
        <w:gridCol w:w="2976"/>
        <w:gridCol w:w="2268"/>
        <w:gridCol w:w="1418"/>
        <w:gridCol w:w="1559"/>
      </w:tblGrid>
      <w:tr w:rsidR="00CF242F" w:rsidTr="00F876E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CF242F" w:rsidTr="00F876ED">
        <w:trPr>
          <w:trHeight w:val="5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«Образование» </w:t>
            </w:r>
          </w:p>
        </w:tc>
      </w:tr>
      <w:tr w:rsidR="00CF242F" w:rsidTr="00F876ED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Чдо / (Чдо + Чду) x 100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Чдо – число детей в возрасте от 1 до 6 лет в организациях, осуществляющих образовательную деятельность по образовательным программам дошкольного образования, человек;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85-К;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АИС «Электронный детский сад сайт»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9 по 24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</w:tr>
      <w:tr w:rsidR="00CF242F" w:rsidTr="00F876ED">
        <w:trPr>
          <w:trHeight w:val="303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Чду – численность детей в возрасте от 1 до 6 лет, не обеспеченных местом, нуждающихся в получении места в организациях, осуществляющих образовательную деятельность по образовательным программам дошкольного образования,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594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100-(Чо / Чоа x 100)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Чоа – число обучающихся, допущенных к государственной итоговой аттестации,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 - 1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учреждения </w:t>
            </w:r>
          </w:p>
        </w:tc>
      </w:tr>
      <w:tr w:rsidR="00CF242F" w:rsidTr="00F876ED">
        <w:trPr>
          <w:trHeight w:val="135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 – число обучающихся, допущенных к государственной итоговой аттестации, и получивших аттестат,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118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Д=ЧдП/Чд*100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ЧдП - Численность детей в возрасте от 5 до 18 лет, охваченных услугами дополнительного образования  человек;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</w:tc>
      </w:tr>
      <w:tr w:rsidR="00CF242F" w:rsidTr="00F876ED">
        <w:trPr>
          <w:trHeight w:val="7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 – Численность детей в возрасте от 5 до 18 лет, проживающих в Печенгском муниципальном округе, человек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72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ОЧД / ОЧДОО x 100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ОЧД – общая численность детей и подростков, охваченных отдыхом и оздоровлением за счет средств бюджета округа;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образования;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ОО-1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учреждения </w:t>
            </w:r>
          </w:p>
        </w:tc>
      </w:tr>
      <w:tr w:rsidR="00CF242F" w:rsidTr="00F876ED">
        <w:trPr>
          <w:trHeight w:val="72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ОЧДОО – общая численность детей и подростков от 6 до 18 лет, обучающихся в общеобразовательных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720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FOT597-1 - Сведения об объемах фондов оплаты труда и начислений на фонды оплаты труда работников государственных областных и муниципальных учреждений в разрезе категорий работников (далее – 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720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наѐмных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CF242F" w:rsidTr="00F876ED">
        <w:trPr>
          <w:trHeight w:val="720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0.8.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У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Уф -количество образовательных учреждений, в которых реализованы запланированные мероприятия, единиц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отдела образования  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CF242F" w:rsidTr="00F876ED">
        <w:trPr>
          <w:trHeight w:val="72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 – количество образовательных учреждений, в которых запланированы мероприятия, направленные на обеспечение материально-технической базы, единиц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578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зс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/ДС*100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ДСзс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численность детей-сирот и детей, оставшихся без попечения родителей, устроенных в замещающие семьи (опекуны, попечители, патронат),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CF242F" w:rsidTr="00F876ED">
        <w:trPr>
          <w:trHeight w:val="577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 - Общая численность детей-сирот и детей, оставшихся без попечения родителей, в соответствии с списком,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268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38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1. «Развитие муниципальных учреждений образования»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CF242F" w:rsidTr="00F876ED">
        <w:trPr>
          <w:trHeight w:val="1253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Дбп = Чбпф / Чбп x 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Чбпф – численность обучающихся, обеспеченных бесплатным питанием в образовательных организациях, человек;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3-Обр, утвержденный приказом Министерства образования и науки Мурманской области от 28.03.2025 № 540,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CF242F" w:rsidTr="00F876ED">
        <w:trPr>
          <w:trHeight w:val="1115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Чбп – общая численность обучающихся, имеющих право на обеспечение бесплатным питанием в 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863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Д=УО / УОО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УО – количество общеобразовательных учреждений Печенгского округа, находящихся в аварийном состоянии и (или) требующих капитального ремонта, единиц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ОО-2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апреля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86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УОО – количество  общеобразовательных учреждений Печенгского округа всего, единиц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родителям которых назначена компенсация части родительской платы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8 - Обр, утвержденный приказом Министерства образования и науки Мурманской области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 28.03.2025 № 540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CF242F" w:rsidTr="00F876ED">
        <w:trPr>
          <w:trHeight w:val="305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 = A / C x 100 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 – численность педагогических работников общеобразовательных учреждений, прошедших повышение квалификации по программам, включенным в Федеральный реестр дополнительных профессиональных педагогических программ,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 - 1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ведомственный мониторинг отдела образования</w:t>
            </w:r>
          </w:p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305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 – общая численность педагогических работников общеобразовательных учреждений,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объектов дошкольного и общего образования, в отношении которых осуществлено строительство, проведен капитальный ремонт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 2026 - 2027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CF242F" w:rsidRDefault="00184D3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«РЭС», МБОУ СОШ № 5 (количество объектов введенных в эксплуатацию, количество объектов в отношении которых выполнен капитальный ремонт)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15 января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«РЭС», МБОУ СОШ № 5</w:t>
            </w: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38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(подпрограмма) 2.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«Положение детей - сирот в современном обществе»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CF242F" w:rsidTr="00F876ED">
        <w:trPr>
          <w:trHeight w:val="578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обеспеченных жилыми помещениями детей - сирот и детей, оставшихся без попечения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родителей в общем объеме нуждающихся в таких помещениях 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Процент,</w:t>
            </w: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кв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/ДСквн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ДСкв – численность обеспеченных жилыми помещениями детей-сирот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детей, оставшихся без попечения родителей,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образования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577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ДСквн – общая численность детей-сирот и детей, оставшихся без попечения родителей, нуждающихся жилых помещениях, согласно списка,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690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которым был осуществлен текущий ремонт жилого помещения, в общем объеме нуждающихся в таком ремонте согласно списку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Д=ДСркв /ДСнркв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ДСркв – Численность детей-сирот и детей, оставшихся без попечения родителей, которым был осуществлен текущий  ремонт жилого помещения,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CF242F" w:rsidTr="00F876ED">
        <w:trPr>
          <w:trHeight w:val="69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ДСнркв – Численность детей-сирот и детей, оставшихся без попечения родителей, нуждающимся в текущем ремонте жилого помещения согласно списку,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242F" w:rsidRDefault="00CF242F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bookmarkStart w:id="5" w:name="p124"/>
      <w:bookmarkEnd w:id="5"/>
    </w:p>
    <w:p w:rsidR="00CF242F" w:rsidRDefault="00184D33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CF242F" w:rsidRDefault="00184D33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CF242F" w:rsidRDefault="00CF24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CF242F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CF242F" w:rsidRDefault="00CF242F" w:rsidP="00E07CA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sectPr w:rsidR="00CF242F" w:rsidSect="00E07CA0">
      <w:pgSz w:w="11905" w:h="16838"/>
      <w:pgMar w:top="1701" w:right="851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2A" w:rsidRDefault="0021552A">
      <w:pPr>
        <w:spacing w:after="0" w:line="240" w:lineRule="auto"/>
      </w:pPr>
      <w:r>
        <w:separator/>
      </w:r>
    </w:p>
  </w:endnote>
  <w:endnote w:type="continuationSeparator" w:id="0">
    <w:p w:rsidR="0021552A" w:rsidRDefault="0021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2A" w:rsidRDefault="0021552A">
      <w:pPr>
        <w:spacing w:after="0" w:line="240" w:lineRule="auto"/>
      </w:pPr>
      <w:r>
        <w:separator/>
      </w:r>
    </w:p>
  </w:footnote>
  <w:footnote w:type="continuationSeparator" w:id="0">
    <w:p w:rsidR="0021552A" w:rsidRDefault="0021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203F"/>
    <w:multiLevelType w:val="hybridMultilevel"/>
    <w:tmpl w:val="7188C74A"/>
    <w:lvl w:ilvl="0" w:tplc="DDEC6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025AAA">
      <w:start w:val="1"/>
      <w:numFmt w:val="lowerLetter"/>
      <w:lvlText w:val="%2."/>
      <w:lvlJc w:val="left"/>
      <w:pPr>
        <w:ind w:left="1440" w:hanging="360"/>
      </w:pPr>
    </w:lvl>
    <w:lvl w:ilvl="2" w:tplc="C57CB802">
      <w:start w:val="1"/>
      <w:numFmt w:val="lowerRoman"/>
      <w:lvlText w:val="%3."/>
      <w:lvlJc w:val="right"/>
      <w:pPr>
        <w:ind w:left="2160" w:hanging="180"/>
      </w:pPr>
    </w:lvl>
    <w:lvl w:ilvl="3" w:tplc="D9B8F4A8">
      <w:start w:val="1"/>
      <w:numFmt w:val="decimal"/>
      <w:lvlText w:val="%4."/>
      <w:lvlJc w:val="left"/>
      <w:pPr>
        <w:ind w:left="2880" w:hanging="360"/>
      </w:pPr>
    </w:lvl>
    <w:lvl w:ilvl="4" w:tplc="90EE8256">
      <w:start w:val="1"/>
      <w:numFmt w:val="lowerLetter"/>
      <w:lvlText w:val="%5."/>
      <w:lvlJc w:val="left"/>
      <w:pPr>
        <w:ind w:left="3600" w:hanging="360"/>
      </w:pPr>
    </w:lvl>
    <w:lvl w:ilvl="5" w:tplc="ACF4BDCA">
      <w:start w:val="1"/>
      <w:numFmt w:val="lowerRoman"/>
      <w:lvlText w:val="%6."/>
      <w:lvlJc w:val="right"/>
      <w:pPr>
        <w:ind w:left="4320" w:hanging="180"/>
      </w:pPr>
    </w:lvl>
    <w:lvl w:ilvl="6" w:tplc="887C67DA">
      <w:start w:val="1"/>
      <w:numFmt w:val="decimal"/>
      <w:lvlText w:val="%7."/>
      <w:lvlJc w:val="left"/>
      <w:pPr>
        <w:ind w:left="5040" w:hanging="360"/>
      </w:pPr>
    </w:lvl>
    <w:lvl w:ilvl="7" w:tplc="9DC86EA2">
      <w:start w:val="1"/>
      <w:numFmt w:val="lowerLetter"/>
      <w:lvlText w:val="%8."/>
      <w:lvlJc w:val="left"/>
      <w:pPr>
        <w:ind w:left="5760" w:hanging="360"/>
      </w:pPr>
    </w:lvl>
    <w:lvl w:ilvl="8" w:tplc="DC38DB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4A20"/>
    <w:multiLevelType w:val="hybridMultilevel"/>
    <w:tmpl w:val="C7F81F1A"/>
    <w:lvl w:ilvl="0" w:tplc="B0CC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14C65D8">
      <w:start w:val="1"/>
      <w:numFmt w:val="lowerLetter"/>
      <w:lvlText w:val="%2."/>
      <w:lvlJc w:val="left"/>
      <w:pPr>
        <w:ind w:left="1440" w:hanging="360"/>
      </w:pPr>
    </w:lvl>
    <w:lvl w:ilvl="2" w:tplc="A4967DC4">
      <w:start w:val="1"/>
      <w:numFmt w:val="lowerRoman"/>
      <w:lvlText w:val="%3."/>
      <w:lvlJc w:val="right"/>
      <w:pPr>
        <w:ind w:left="2160" w:hanging="180"/>
      </w:pPr>
    </w:lvl>
    <w:lvl w:ilvl="3" w:tplc="56440890">
      <w:start w:val="1"/>
      <w:numFmt w:val="decimal"/>
      <w:lvlText w:val="%4."/>
      <w:lvlJc w:val="left"/>
      <w:pPr>
        <w:ind w:left="2880" w:hanging="360"/>
      </w:pPr>
    </w:lvl>
    <w:lvl w:ilvl="4" w:tplc="D9B823C4">
      <w:start w:val="1"/>
      <w:numFmt w:val="lowerLetter"/>
      <w:lvlText w:val="%5."/>
      <w:lvlJc w:val="left"/>
      <w:pPr>
        <w:ind w:left="3600" w:hanging="360"/>
      </w:pPr>
    </w:lvl>
    <w:lvl w:ilvl="5" w:tplc="98A21A64">
      <w:start w:val="1"/>
      <w:numFmt w:val="lowerRoman"/>
      <w:lvlText w:val="%6."/>
      <w:lvlJc w:val="right"/>
      <w:pPr>
        <w:ind w:left="4320" w:hanging="180"/>
      </w:pPr>
    </w:lvl>
    <w:lvl w:ilvl="6" w:tplc="E626BDBA">
      <w:start w:val="1"/>
      <w:numFmt w:val="decimal"/>
      <w:lvlText w:val="%7."/>
      <w:lvlJc w:val="left"/>
      <w:pPr>
        <w:ind w:left="5040" w:hanging="360"/>
      </w:pPr>
    </w:lvl>
    <w:lvl w:ilvl="7" w:tplc="18C8045C">
      <w:start w:val="1"/>
      <w:numFmt w:val="lowerLetter"/>
      <w:lvlText w:val="%8."/>
      <w:lvlJc w:val="left"/>
      <w:pPr>
        <w:ind w:left="5760" w:hanging="360"/>
      </w:pPr>
    </w:lvl>
    <w:lvl w:ilvl="8" w:tplc="8BD60B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92D"/>
    <w:multiLevelType w:val="hybridMultilevel"/>
    <w:tmpl w:val="EB40B88A"/>
    <w:lvl w:ilvl="0" w:tplc="2ACAC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DBA5BBC">
      <w:start w:val="1"/>
      <w:numFmt w:val="lowerLetter"/>
      <w:lvlText w:val="%2."/>
      <w:lvlJc w:val="left"/>
      <w:pPr>
        <w:ind w:left="1440" w:hanging="360"/>
      </w:pPr>
    </w:lvl>
    <w:lvl w:ilvl="2" w:tplc="B268F426">
      <w:start w:val="1"/>
      <w:numFmt w:val="lowerRoman"/>
      <w:lvlText w:val="%3."/>
      <w:lvlJc w:val="right"/>
      <w:pPr>
        <w:ind w:left="2160" w:hanging="180"/>
      </w:pPr>
    </w:lvl>
    <w:lvl w:ilvl="3" w:tplc="13563296">
      <w:start w:val="1"/>
      <w:numFmt w:val="decimal"/>
      <w:lvlText w:val="%4."/>
      <w:lvlJc w:val="left"/>
      <w:pPr>
        <w:ind w:left="2880" w:hanging="360"/>
      </w:pPr>
    </w:lvl>
    <w:lvl w:ilvl="4" w:tplc="2F4AB2F6">
      <w:start w:val="1"/>
      <w:numFmt w:val="lowerLetter"/>
      <w:lvlText w:val="%5."/>
      <w:lvlJc w:val="left"/>
      <w:pPr>
        <w:ind w:left="3600" w:hanging="360"/>
      </w:pPr>
    </w:lvl>
    <w:lvl w:ilvl="5" w:tplc="125002D2">
      <w:start w:val="1"/>
      <w:numFmt w:val="lowerRoman"/>
      <w:lvlText w:val="%6."/>
      <w:lvlJc w:val="right"/>
      <w:pPr>
        <w:ind w:left="4320" w:hanging="180"/>
      </w:pPr>
    </w:lvl>
    <w:lvl w:ilvl="6" w:tplc="8424C9D0">
      <w:start w:val="1"/>
      <w:numFmt w:val="decimal"/>
      <w:lvlText w:val="%7."/>
      <w:lvlJc w:val="left"/>
      <w:pPr>
        <w:ind w:left="5040" w:hanging="360"/>
      </w:pPr>
    </w:lvl>
    <w:lvl w:ilvl="7" w:tplc="AE46328E">
      <w:start w:val="1"/>
      <w:numFmt w:val="lowerLetter"/>
      <w:lvlText w:val="%8."/>
      <w:lvlJc w:val="left"/>
      <w:pPr>
        <w:ind w:left="5760" w:hanging="360"/>
      </w:pPr>
    </w:lvl>
    <w:lvl w:ilvl="8" w:tplc="CDD04D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6885"/>
    <w:multiLevelType w:val="hybridMultilevel"/>
    <w:tmpl w:val="0262BB4E"/>
    <w:lvl w:ilvl="0" w:tplc="48FC73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1B6D7E0">
      <w:start w:val="1"/>
      <w:numFmt w:val="lowerLetter"/>
      <w:lvlText w:val="%2."/>
      <w:lvlJc w:val="left"/>
      <w:pPr>
        <w:ind w:left="1222" w:hanging="360"/>
      </w:pPr>
    </w:lvl>
    <w:lvl w:ilvl="2" w:tplc="45B8FB46">
      <w:start w:val="1"/>
      <w:numFmt w:val="lowerRoman"/>
      <w:lvlText w:val="%3."/>
      <w:lvlJc w:val="right"/>
      <w:pPr>
        <w:ind w:left="1942" w:hanging="180"/>
      </w:pPr>
    </w:lvl>
    <w:lvl w:ilvl="3" w:tplc="32B0F6C8">
      <w:start w:val="1"/>
      <w:numFmt w:val="decimal"/>
      <w:lvlText w:val="%4."/>
      <w:lvlJc w:val="left"/>
      <w:pPr>
        <w:ind w:left="2662" w:hanging="360"/>
      </w:pPr>
    </w:lvl>
    <w:lvl w:ilvl="4" w:tplc="F0188B22">
      <w:start w:val="1"/>
      <w:numFmt w:val="lowerLetter"/>
      <w:lvlText w:val="%5."/>
      <w:lvlJc w:val="left"/>
      <w:pPr>
        <w:ind w:left="3382" w:hanging="360"/>
      </w:pPr>
    </w:lvl>
    <w:lvl w:ilvl="5" w:tplc="F7C28C8E">
      <w:start w:val="1"/>
      <w:numFmt w:val="lowerRoman"/>
      <w:lvlText w:val="%6."/>
      <w:lvlJc w:val="right"/>
      <w:pPr>
        <w:ind w:left="4102" w:hanging="180"/>
      </w:pPr>
    </w:lvl>
    <w:lvl w:ilvl="6" w:tplc="9482EB6A">
      <w:start w:val="1"/>
      <w:numFmt w:val="decimal"/>
      <w:lvlText w:val="%7."/>
      <w:lvlJc w:val="left"/>
      <w:pPr>
        <w:ind w:left="4822" w:hanging="360"/>
      </w:pPr>
    </w:lvl>
    <w:lvl w:ilvl="7" w:tplc="BF8AA354">
      <w:start w:val="1"/>
      <w:numFmt w:val="lowerLetter"/>
      <w:lvlText w:val="%8."/>
      <w:lvlJc w:val="left"/>
      <w:pPr>
        <w:ind w:left="5542" w:hanging="360"/>
      </w:pPr>
    </w:lvl>
    <w:lvl w:ilvl="8" w:tplc="545CD14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A71749"/>
    <w:multiLevelType w:val="hybridMultilevel"/>
    <w:tmpl w:val="1ABC24A8"/>
    <w:lvl w:ilvl="0" w:tplc="9B5490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39EF0C4">
      <w:start w:val="1"/>
      <w:numFmt w:val="lowerLetter"/>
      <w:lvlText w:val="%2."/>
      <w:lvlJc w:val="left"/>
      <w:pPr>
        <w:ind w:left="1440" w:hanging="360"/>
      </w:pPr>
    </w:lvl>
    <w:lvl w:ilvl="2" w:tplc="143A6668">
      <w:start w:val="1"/>
      <w:numFmt w:val="lowerRoman"/>
      <w:lvlText w:val="%3."/>
      <w:lvlJc w:val="right"/>
      <w:pPr>
        <w:ind w:left="2160" w:hanging="180"/>
      </w:pPr>
    </w:lvl>
    <w:lvl w:ilvl="3" w:tplc="1568A882">
      <w:start w:val="1"/>
      <w:numFmt w:val="decimal"/>
      <w:lvlText w:val="%4."/>
      <w:lvlJc w:val="left"/>
      <w:pPr>
        <w:ind w:left="2880" w:hanging="360"/>
      </w:pPr>
    </w:lvl>
    <w:lvl w:ilvl="4" w:tplc="2F542596">
      <w:start w:val="1"/>
      <w:numFmt w:val="lowerLetter"/>
      <w:lvlText w:val="%5."/>
      <w:lvlJc w:val="left"/>
      <w:pPr>
        <w:ind w:left="3600" w:hanging="360"/>
      </w:pPr>
    </w:lvl>
    <w:lvl w:ilvl="5" w:tplc="6CD00994">
      <w:start w:val="1"/>
      <w:numFmt w:val="lowerRoman"/>
      <w:lvlText w:val="%6."/>
      <w:lvlJc w:val="right"/>
      <w:pPr>
        <w:ind w:left="4320" w:hanging="180"/>
      </w:pPr>
    </w:lvl>
    <w:lvl w:ilvl="6" w:tplc="C9A66472">
      <w:start w:val="1"/>
      <w:numFmt w:val="decimal"/>
      <w:lvlText w:val="%7."/>
      <w:lvlJc w:val="left"/>
      <w:pPr>
        <w:ind w:left="5040" w:hanging="360"/>
      </w:pPr>
    </w:lvl>
    <w:lvl w:ilvl="7" w:tplc="CB1ED7DC">
      <w:start w:val="1"/>
      <w:numFmt w:val="lowerLetter"/>
      <w:lvlText w:val="%8."/>
      <w:lvlJc w:val="left"/>
      <w:pPr>
        <w:ind w:left="5760" w:hanging="360"/>
      </w:pPr>
    </w:lvl>
    <w:lvl w:ilvl="8" w:tplc="A5F67F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03D2B"/>
    <w:multiLevelType w:val="hybridMultilevel"/>
    <w:tmpl w:val="DAAEE1FA"/>
    <w:lvl w:ilvl="0" w:tplc="DE749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500550">
      <w:start w:val="1"/>
      <w:numFmt w:val="lowerLetter"/>
      <w:lvlText w:val="%2."/>
      <w:lvlJc w:val="left"/>
      <w:pPr>
        <w:ind w:left="1440" w:hanging="360"/>
      </w:pPr>
    </w:lvl>
    <w:lvl w:ilvl="2" w:tplc="0F242AF2">
      <w:start w:val="1"/>
      <w:numFmt w:val="lowerRoman"/>
      <w:lvlText w:val="%3."/>
      <w:lvlJc w:val="right"/>
      <w:pPr>
        <w:ind w:left="2160" w:hanging="180"/>
      </w:pPr>
    </w:lvl>
    <w:lvl w:ilvl="3" w:tplc="F11EC9A6">
      <w:start w:val="1"/>
      <w:numFmt w:val="decimal"/>
      <w:lvlText w:val="%4."/>
      <w:lvlJc w:val="left"/>
      <w:pPr>
        <w:ind w:left="2880" w:hanging="360"/>
      </w:pPr>
    </w:lvl>
    <w:lvl w:ilvl="4" w:tplc="A0A450FC">
      <w:start w:val="1"/>
      <w:numFmt w:val="lowerLetter"/>
      <w:lvlText w:val="%5."/>
      <w:lvlJc w:val="left"/>
      <w:pPr>
        <w:ind w:left="3600" w:hanging="360"/>
      </w:pPr>
    </w:lvl>
    <w:lvl w:ilvl="5" w:tplc="3CA61C4A">
      <w:start w:val="1"/>
      <w:numFmt w:val="lowerRoman"/>
      <w:lvlText w:val="%6."/>
      <w:lvlJc w:val="right"/>
      <w:pPr>
        <w:ind w:left="4320" w:hanging="180"/>
      </w:pPr>
    </w:lvl>
    <w:lvl w:ilvl="6" w:tplc="8D2EAAD2">
      <w:start w:val="1"/>
      <w:numFmt w:val="decimal"/>
      <w:lvlText w:val="%7."/>
      <w:lvlJc w:val="left"/>
      <w:pPr>
        <w:ind w:left="5040" w:hanging="360"/>
      </w:pPr>
    </w:lvl>
    <w:lvl w:ilvl="7" w:tplc="B9DA7078">
      <w:start w:val="1"/>
      <w:numFmt w:val="lowerLetter"/>
      <w:lvlText w:val="%8."/>
      <w:lvlJc w:val="left"/>
      <w:pPr>
        <w:ind w:left="5760" w:hanging="360"/>
      </w:pPr>
    </w:lvl>
    <w:lvl w:ilvl="8" w:tplc="1F1A6B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E499B"/>
    <w:multiLevelType w:val="hybridMultilevel"/>
    <w:tmpl w:val="1DE8C39C"/>
    <w:lvl w:ilvl="0" w:tplc="F3689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730E59A">
      <w:start w:val="1"/>
      <w:numFmt w:val="lowerLetter"/>
      <w:lvlText w:val="%2."/>
      <w:lvlJc w:val="left"/>
      <w:pPr>
        <w:ind w:left="1440" w:hanging="360"/>
      </w:pPr>
    </w:lvl>
    <w:lvl w:ilvl="2" w:tplc="F160B532">
      <w:start w:val="1"/>
      <w:numFmt w:val="lowerRoman"/>
      <w:lvlText w:val="%3."/>
      <w:lvlJc w:val="right"/>
      <w:pPr>
        <w:ind w:left="2160" w:hanging="180"/>
      </w:pPr>
    </w:lvl>
    <w:lvl w:ilvl="3" w:tplc="BF64E21A">
      <w:start w:val="1"/>
      <w:numFmt w:val="decimal"/>
      <w:lvlText w:val="%4."/>
      <w:lvlJc w:val="left"/>
      <w:pPr>
        <w:ind w:left="2880" w:hanging="360"/>
      </w:pPr>
    </w:lvl>
    <w:lvl w:ilvl="4" w:tplc="8D58DFDE">
      <w:start w:val="1"/>
      <w:numFmt w:val="lowerLetter"/>
      <w:lvlText w:val="%5."/>
      <w:lvlJc w:val="left"/>
      <w:pPr>
        <w:ind w:left="3600" w:hanging="360"/>
      </w:pPr>
    </w:lvl>
    <w:lvl w:ilvl="5" w:tplc="FDDEB642">
      <w:start w:val="1"/>
      <w:numFmt w:val="lowerRoman"/>
      <w:lvlText w:val="%6."/>
      <w:lvlJc w:val="right"/>
      <w:pPr>
        <w:ind w:left="4320" w:hanging="180"/>
      </w:pPr>
    </w:lvl>
    <w:lvl w:ilvl="6" w:tplc="ADCCFF72">
      <w:start w:val="1"/>
      <w:numFmt w:val="decimal"/>
      <w:lvlText w:val="%7."/>
      <w:lvlJc w:val="left"/>
      <w:pPr>
        <w:ind w:left="5040" w:hanging="360"/>
      </w:pPr>
    </w:lvl>
    <w:lvl w:ilvl="7" w:tplc="4A3A26B4">
      <w:start w:val="1"/>
      <w:numFmt w:val="lowerLetter"/>
      <w:lvlText w:val="%8."/>
      <w:lvlJc w:val="left"/>
      <w:pPr>
        <w:ind w:left="5760" w:hanging="360"/>
      </w:pPr>
    </w:lvl>
    <w:lvl w:ilvl="8" w:tplc="3ADECF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77A53"/>
    <w:multiLevelType w:val="hybridMultilevel"/>
    <w:tmpl w:val="324AAD14"/>
    <w:lvl w:ilvl="0" w:tplc="8AE6444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ADCFE8C">
      <w:start w:val="1"/>
      <w:numFmt w:val="lowerLetter"/>
      <w:lvlText w:val="%2."/>
      <w:lvlJc w:val="left"/>
      <w:pPr>
        <w:ind w:left="1440" w:hanging="360"/>
      </w:pPr>
    </w:lvl>
    <w:lvl w:ilvl="2" w:tplc="C5F4D9CA">
      <w:start w:val="1"/>
      <w:numFmt w:val="lowerRoman"/>
      <w:lvlText w:val="%3."/>
      <w:lvlJc w:val="right"/>
      <w:pPr>
        <w:ind w:left="2160" w:hanging="180"/>
      </w:pPr>
    </w:lvl>
    <w:lvl w:ilvl="3" w:tplc="D898CC3A">
      <w:start w:val="1"/>
      <w:numFmt w:val="decimal"/>
      <w:lvlText w:val="%4."/>
      <w:lvlJc w:val="left"/>
      <w:pPr>
        <w:ind w:left="2880" w:hanging="360"/>
      </w:pPr>
    </w:lvl>
    <w:lvl w:ilvl="4" w:tplc="75B4022E">
      <w:start w:val="1"/>
      <w:numFmt w:val="lowerLetter"/>
      <w:lvlText w:val="%5."/>
      <w:lvlJc w:val="left"/>
      <w:pPr>
        <w:ind w:left="3600" w:hanging="360"/>
      </w:pPr>
    </w:lvl>
    <w:lvl w:ilvl="5" w:tplc="E2EACD8C">
      <w:start w:val="1"/>
      <w:numFmt w:val="lowerRoman"/>
      <w:lvlText w:val="%6."/>
      <w:lvlJc w:val="right"/>
      <w:pPr>
        <w:ind w:left="4320" w:hanging="180"/>
      </w:pPr>
    </w:lvl>
    <w:lvl w:ilvl="6" w:tplc="F6D25840">
      <w:start w:val="1"/>
      <w:numFmt w:val="decimal"/>
      <w:lvlText w:val="%7."/>
      <w:lvlJc w:val="left"/>
      <w:pPr>
        <w:ind w:left="5040" w:hanging="360"/>
      </w:pPr>
    </w:lvl>
    <w:lvl w:ilvl="7" w:tplc="2A30C0EE">
      <w:start w:val="1"/>
      <w:numFmt w:val="lowerLetter"/>
      <w:lvlText w:val="%8."/>
      <w:lvlJc w:val="left"/>
      <w:pPr>
        <w:ind w:left="5760" w:hanging="360"/>
      </w:pPr>
    </w:lvl>
    <w:lvl w:ilvl="8" w:tplc="F9F0F6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0444"/>
    <w:multiLevelType w:val="multilevel"/>
    <w:tmpl w:val="1AEAF71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color w:val="FF0000"/>
      </w:rPr>
    </w:lvl>
  </w:abstractNum>
  <w:abstractNum w:abstractNumId="9" w15:restartNumberingAfterBreak="0">
    <w:nsid w:val="3FC9392A"/>
    <w:multiLevelType w:val="hybridMultilevel"/>
    <w:tmpl w:val="782A4204"/>
    <w:lvl w:ilvl="0" w:tplc="142AE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6A0AA6E">
      <w:start w:val="1"/>
      <w:numFmt w:val="lowerLetter"/>
      <w:lvlText w:val="%2."/>
      <w:lvlJc w:val="left"/>
      <w:pPr>
        <w:ind w:left="1440" w:hanging="360"/>
      </w:pPr>
    </w:lvl>
    <w:lvl w:ilvl="2" w:tplc="CBCA9CC2">
      <w:start w:val="1"/>
      <w:numFmt w:val="lowerRoman"/>
      <w:lvlText w:val="%3."/>
      <w:lvlJc w:val="right"/>
      <w:pPr>
        <w:ind w:left="2160" w:hanging="180"/>
      </w:pPr>
    </w:lvl>
    <w:lvl w:ilvl="3" w:tplc="3AD0C906">
      <w:start w:val="1"/>
      <w:numFmt w:val="decimal"/>
      <w:lvlText w:val="%4."/>
      <w:lvlJc w:val="left"/>
      <w:pPr>
        <w:ind w:left="2880" w:hanging="360"/>
      </w:pPr>
    </w:lvl>
    <w:lvl w:ilvl="4" w:tplc="93F228A2">
      <w:start w:val="1"/>
      <w:numFmt w:val="lowerLetter"/>
      <w:lvlText w:val="%5."/>
      <w:lvlJc w:val="left"/>
      <w:pPr>
        <w:ind w:left="3600" w:hanging="360"/>
      </w:pPr>
    </w:lvl>
    <w:lvl w:ilvl="5" w:tplc="43BE4958">
      <w:start w:val="1"/>
      <w:numFmt w:val="lowerRoman"/>
      <w:lvlText w:val="%6."/>
      <w:lvlJc w:val="right"/>
      <w:pPr>
        <w:ind w:left="4320" w:hanging="180"/>
      </w:pPr>
    </w:lvl>
    <w:lvl w:ilvl="6" w:tplc="4CFCC17C">
      <w:start w:val="1"/>
      <w:numFmt w:val="decimal"/>
      <w:lvlText w:val="%7."/>
      <w:lvlJc w:val="left"/>
      <w:pPr>
        <w:ind w:left="5040" w:hanging="360"/>
      </w:pPr>
    </w:lvl>
    <w:lvl w:ilvl="7" w:tplc="597C638C">
      <w:start w:val="1"/>
      <w:numFmt w:val="lowerLetter"/>
      <w:lvlText w:val="%8."/>
      <w:lvlJc w:val="left"/>
      <w:pPr>
        <w:ind w:left="5760" w:hanging="360"/>
      </w:pPr>
    </w:lvl>
    <w:lvl w:ilvl="8" w:tplc="54A812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72421"/>
    <w:multiLevelType w:val="hybridMultilevel"/>
    <w:tmpl w:val="5B0C3C4E"/>
    <w:lvl w:ilvl="0" w:tplc="CEAAE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385072">
      <w:start w:val="1"/>
      <w:numFmt w:val="lowerLetter"/>
      <w:lvlText w:val="%2."/>
      <w:lvlJc w:val="left"/>
      <w:pPr>
        <w:ind w:left="1080" w:hanging="360"/>
      </w:pPr>
    </w:lvl>
    <w:lvl w:ilvl="2" w:tplc="8C4EED32">
      <w:start w:val="1"/>
      <w:numFmt w:val="lowerRoman"/>
      <w:lvlText w:val="%3."/>
      <w:lvlJc w:val="right"/>
      <w:pPr>
        <w:ind w:left="1800" w:hanging="180"/>
      </w:pPr>
    </w:lvl>
    <w:lvl w:ilvl="3" w:tplc="3B5EE2A6">
      <w:start w:val="1"/>
      <w:numFmt w:val="decimal"/>
      <w:lvlText w:val="%4."/>
      <w:lvlJc w:val="left"/>
      <w:pPr>
        <w:ind w:left="2520" w:hanging="360"/>
      </w:pPr>
    </w:lvl>
    <w:lvl w:ilvl="4" w:tplc="AEF2023E">
      <w:start w:val="1"/>
      <w:numFmt w:val="lowerLetter"/>
      <w:lvlText w:val="%5."/>
      <w:lvlJc w:val="left"/>
      <w:pPr>
        <w:ind w:left="3240" w:hanging="360"/>
      </w:pPr>
    </w:lvl>
    <w:lvl w:ilvl="5" w:tplc="82EE5E80">
      <w:start w:val="1"/>
      <w:numFmt w:val="lowerRoman"/>
      <w:lvlText w:val="%6."/>
      <w:lvlJc w:val="right"/>
      <w:pPr>
        <w:ind w:left="3960" w:hanging="180"/>
      </w:pPr>
    </w:lvl>
    <w:lvl w:ilvl="6" w:tplc="BA62CA5C">
      <w:start w:val="1"/>
      <w:numFmt w:val="decimal"/>
      <w:lvlText w:val="%7."/>
      <w:lvlJc w:val="left"/>
      <w:pPr>
        <w:ind w:left="4680" w:hanging="360"/>
      </w:pPr>
    </w:lvl>
    <w:lvl w:ilvl="7" w:tplc="A0207234">
      <w:start w:val="1"/>
      <w:numFmt w:val="lowerLetter"/>
      <w:lvlText w:val="%8."/>
      <w:lvlJc w:val="left"/>
      <w:pPr>
        <w:ind w:left="5400" w:hanging="360"/>
      </w:pPr>
    </w:lvl>
    <w:lvl w:ilvl="8" w:tplc="D68A091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B65D60"/>
    <w:multiLevelType w:val="hybridMultilevel"/>
    <w:tmpl w:val="F7F048D6"/>
    <w:lvl w:ilvl="0" w:tplc="BE8450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5E53E8">
      <w:start w:val="1"/>
      <w:numFmt w:val="lowerLetter"/>
      <w:lvlText w:val="%2."/>
      <w:lvlJc w:val="left"/>
      <w:pPr>
        <w:ind w:left="1440" w:hanging="360"/>
      </w:pPr>
    </w:lvl>
    <w:lvl w:ilvl="2" w:tplc="77C67AE4">
      <w:start w:val="1"/>
      <w:numFmt w:val="lowerRoman"/>
      <w:lvlText w:val="%3."/>
      <w:lvlJc w:val="right"/>
      <w:pPr>
        <w:ind w:left="2160" w:hanging="180"/>
      </w:pPr>
    </w:lvl>
    <w:lvl w:ilvl="3" w:tplc="21CCF600">
      <w:start w:val="1"/>
      <w:numFmt w:val="decimal"/>
      <w:lvlText w:val="%4."/>
      <w:lvlJc w:val="left"/>
      <w:pPr>
        <w:ind w:left="2880" w:hanging="360"/>
      </w:pPr>
    </w:lvl>
    <w:lvl w:ilvl="4" w:tplc="13E45CD4">
      <w:start w:val="1"/>
      <w:numFmt w:val="lowerLetter"/>
      <w:lvlText w:val="%5."/>
      <w:lvlJc w:val="left"/>
      <w:pPr>
        <w:ind w:left="3600" w:hanging="360"/>
      </w:pPr>
    </w:lvl>
    <w:lvl w:ilvl="5" w:tplc="905C8134">
      <w:start w:val="1"/>
      <w:numFmt w:val="lowerRoman"/>
      <w:lvlText w:val="%6."/>
      <w:lvlJc w:val="right"/>
      <w:pPr>
        <w:ind w:left="4320" w:hanging="180"/>
      </w:pPr>
    </w:lvl>
    <w:lvl w:ilvl="6" w:tplc="0B54044A">
      <w:start w:val="1"/>
      <w:numFmt w:val="decimal"/>
      <w:lvlText w:val="%7."/>
      <w:lvlJc w:val="left"/>
      <w:pPr>
        <w:ind w:left="5040" w:hanging="360"/>
      </w:pPr>
    </w:lvl>
    <w:lvl w:ilvl="7" w:tplc="FB72E808">
      <w:start w:val="1"/>
      <w:numFmt w:val="lowerLetter"/>
      <w:lvlText w:val="%8."/>
      <w:lvlJc w:val="left"/>
      <w:pPr>
        <w:ind w:left="5760" w:hanging="360"/>
      </w:pPr>
    </w:lvl>
    <w:lvl w:ilvl="8" w:tplc="2FAEB0C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50668"/>
    <w:multiLevelType w:val="hybridMultilevel"/>
    <w:tmpl w:val="E364EE9A"/>
    <w:lvl w:ilvl="0" w:tplc="147662A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3872B99A">
      <w:start w:val="1"/>
      <w:numFmt w:val="lowerLetter"/>
      <w:lvlText w:val="%2."/>
      <w:lvlJc w:val="left"/>
      <w:pPr>
        <w:ind w:left="2880" w:hanging="360"/>
      </w:pPr>
    </w:lvl>
    <w:lvl w:ilvl="2" w:tplc="EA5EC5E8">
      <w:start w:val="1"/>
      <w:numFmt w:val="lowerRoman"/>
      <w:lvlText w:val="%3."/>
      <w:lvlJc w:val="right"/>
      <w:pPr>
        <w:ind w:left="3600" w:hanging="180"/>
      </w:pPr>
    </w:lvl>
    <w:lvl w:ilvl="3" w:tplc="EEFCE4E2">
      <w:start w:val="1"/>
      <w:numFmt w:val="decimal"/>
      <w:lvlText w:val="%4."/>
      <w:lvlJc w:val="left"/>
      <w:pPr>
        <w:ind w:left="4320" w:hanging="360"/>
      </w:pPr>
    </w:lvl>
    <w:lvl w:ilvl="4" w:tplc="48F67700">
      <w:start w:val="1"/>
      <w:numFmt w:val="lowerLetter"/>
      <w:lvlText w:val="%5."/>
      <w:lvlJc w:val="left"/>
      <w:pPr>
        <w:ind w:left="5040" w:hanging="360"/>
      </w:pPr>
    </w:lvl>
    <w:lvl w:ilvl="5" w:tplc="D682CF02">
      <w:start w:val="1"/>
      <w:numFmt w:val="lowerRoman"/>
      <w:lvlText w:val="%6."/>
      <w:lvlJc w:val="right"/>
      <w:pPr>
        <w:ind w:left="5760" w:hanging="180"/>
      </w:pPr>
    </w:lvl>
    <w:lvl w:ilvl="6" w:tplc="35A8B53C">
      <w:start w:val="1"/>
      <w:numFmt w:val="decimal"/>
      <w:lvlText w:val="%7."/>
      <w:lvlJc w:val="left"/>
      <w:pPr>
        <w:ind w:left="6480" w:hanging="360"/>
      </w:pPr>
    </w:lvl>
    <w:lvl w:ilvl="7" w:tplc="2DE06D5E">
      <w:start w:val="1"/>
      <w:numFmt w:val="lowerLetter"/>
      <w:lvlText w:val="%8."/>
      <w:lvlJc w:val="left"/>
      <w:pPr>
        <w:ind w:left="7200" w:hanging="360"/>
      </w:pPr>
    </w:lvl>
    <w:lvl w:ilvl="8" w:tplc="4140B11A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E33076F"/>
    <w:multiLevelType w:val="hybridMultilevel"/>
    <w:tmpl w:val="D938D1BA"/>
    <w:lvl w:ilvl="0" w:tplc="5E4CF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3C16A408">
      <w:start w:val="1"/>
      <w:numFmt w:val="lowerLetter"/>
      <w:lvlText w:val="%2."/>
      <w:lvlJc w:val="left"/>
      <w:pPr>
        <w:ind w:left="1440" w:hanging="360"/>
      </w:pPr>
    </w:lvl>
    <w:lvl w:ilvl="2" w:tplc="333CDCFE">
      <w:start w:val="1"/>
      <w:numFmt w:val="lowerRoman"/>
      <w:lvlText w:val="%3."/>
      <w:lvlJc w:val="right"/>
      <w:pPr>
        <w:ind w:left="2160" w:hanging="180"/>
      </w:pPr>
    </w:lvl>
    <w:lvl w:ilvl="3" w:tplc="98F8D66E">
      <w:start w:val="1"/>
      <w:numFmt w:val="decimal"/>
      <w:lvlText w:val="%4."/>
      <w:lvlJc w:val="left"/>
      <w:pPr>
        <w:ind w:left="2880" w:hanging="360"/>
      </w:pPr>
    </w:lvl>
    <w:lvl w:ilvl="4" w:tplc="FB78E2F6">
      <w:start w:val="1"/>
      <w:numFmt w:val="lowerLetter"/>
      <w:lvlText w:val="%5."/>
      <w:lvlJc w:val="left"/>
      <w:pPr>
        <w:ind w:left="3600" w:hanging="360"/>
      </w:pPr>
    </w:lvl>
    <w:lvl w:ilvl="5" w:tplc="85802000">
      <w:start w:val="1"/>
      <w:numFmt w:val="lowerRoman"/>
      <w:lvlText w:val="%6."/>
      <w:lvlJc w:val="right"/>
      <w:pPr>
        <w:ind w:left="4320" w:hanging="180"/>
      </w:pPr>
    </w:lvl>
    <w:lvl w:ilvl="6" w:tplc="E5C8A716">
      <w:start w:val="1"/>
      <w:numFmt w:val="decimal"/>
      <w:lvlText w:val="%7."/>
      <w:lvlJc w:val="left"/>
      <w:pPr>
        <w:ind w:left="5040" w:hanging="360"/>
      </w:pPr>
    </w:lvl>
    <w:lvl w:ilvl="7" w:tplc="A4D05BE8">
      <w:start w:val="1"/>
      <w:numFmt w:val="lowerLetter"/>
      <w:lvlText w:val="%8."/>
      <w:lvlJc w:val="left"/>
      <w:pPr>
        <w:ind w:left="5760" w:hanging="360"/>
      </w:pPr>
    </w:lvl>
    <w:lvl w:ilvl="8" w:tplc="28E2D0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02A80"/>
    <w:multiLevelType w:val="hybridMultilevel"/>
    <w:tmpl w:val="4A08956C"/>
    <w:lvl w:ilvl="0" w:tplc="D6E83A68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340C1AFE">
      <w:start w:val="1"/>
      <w:numFmt w:val="lowerLetter"/>
      <w:lvlText w:val="%2."/>
      <w:lvlJc w:val="left"/>
      <w:pPr>
        <w:ind w:left="4123" w:hanging="360"/>
      </w:pPr>
    </w:lvl>
    <w:lvl w:ilvl="2" w:tplc="EC703F0E">
      <w:start w:val="1"/>
      <w:numFmt w:val="lowerRoman"/>
      <w:lvlText w:val="%3."/>
      <w:lvlJc w:val="right"/>
      <w:pPr>
        <w:ind w:left="4843" w:hanging="180"/>
      </w:pPr>
    </w:lvl>
    <w:lvl w:ilvl="3" w:tplc="60924B16">
      <w:start w:val="1"/>
      <w:numFmt w:val="decimal"/>
      <w:lvlText w:val="%4."/>
      <w:lvlJc w:val="left"/>
      <w:pPr>
        <w:ind w:left="5563" w:hanging="360"/>
      </w:pPr>
    </w:lvl>
    <w:lvl w:ilvl="4" w:tplc="0D1064F6">
      <w:start w:val="1"/>
      <w:numFmt w:val="lowerLetter"/>
      <w:lvlText w:val="%5."/>
      <w:lvlJc w:val="left"/>
      <w:pPr>
        <w:ind w:left="6283" w:hanging="360"/>
      </w:pPr>
    </w:lvl>
    <w:lvl w:ilvl="5" w:tplc="AE4E5222">
      <w:start w:val="1"/>
      <w:numFmt w:val="lowerRoman"/>
      <w:lvlText w:val="%6."/>
      <w:lvlJc w:val="right"/>
      <w:pPr>
        <w:ind w:left="7003" w:hanging="180"/>
      </w:pPr>
    </w:lvl>
    <w:lvl w:ilvl="6" w:tplc="563CC4EA">
      <w:start w:val="1"/>
      <w:numFmt w:val="decimal"/>
      <w:lvlText w:val="%7."/>
      <w:lvlJc w:val="left"/>
      <w:pPr>
        <w:ind w:left="7723" w:hanging="360"/>
      </w:pPr>
    </w:lvl>
    <w:lvl w:ilvl="7" w:tplc="E0B4F164">
      <w:start w:val="1"/>
      <w:numFmt w:val="lowerLetter"/>
      <w:lvlText w:val="%8."/>
      <w:lvlJc w:val="left"/>
      <w:pPr>
        <w:ind w:left="8443" w:hanging="360"/>
      </w:pPr>
    </w:lvl>
    <w:lvl w:ilvl="8" w:tplc="1152CF54">
      <w:start w:val="1"/>
      <w:numFmt w:val="lowerRoman"/>
      <w:lvlText w:val="%9."/>
      <w:lvlJc w:val="right"/>
      <w:pPr>
        <w:ind w:left="9163" w:hanging="180"/>
      </w:pPr>
    </w:lvl>
  </w:abstractNum>
  <w:abstractNum w:abstractNumId="15" w15:restartNumberingAfterBreak="0">
    <w:nsid w:val="6BE85FC0"/>
    <w:multiLevelType w:val="hybridMultilevel"/>
    <w:tmpl w:val="1318C158"/>
    <w:lvl w:ilvl="0" w:tplc="D472C780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31C0DA08">
      <w:start w:val="1"/>
      <w:numFmt w:val="lowerLetter"/>
      <w:lvlText w:val="%2."/>
      <w:lvlJc w:val="left"/>
      <w:pPr>
        <w:ind w:left="3142" w:hanging="360"/>
      </w:pPr>
    </w:lvl>
    <w:lvl w:ilvl="2" w:tplc="04220836">
      <w:start w:val="1"/>
      <w:numFmt w:val="lowerRoman"/>
      <w:lvlText w:val="%3."/>
      <w:lvlJc w:val="right"/>
      <w:pPr>
        <w:ind w:left="3862" w:hanging="180"/>
      </w:pPr>
    </w:lvl>
    <w:lvl w:ilvl="3" w:tplc="4CCED206">
      <w:start w:val="1"/>
      <w:numFmt w:val="decimal"/>
      <w:lvlText w:val="%4."/>
      <w:lvlJc w:val="left"/>
      <w:pPr>
        <w:ind w:left="4582" w:hanging="360"/>
      </w:pPr>
    </w:lvl>
    <w:lvl w:ilvl="4" w:tplc="B450E666">
      <w:start w:val="1"/>
      <w:numFmt w:val="lowerLetter"/>
      <w:lvlText w:val="%5."/>
      <w:lvlJc w:val="left"/>
      <w:pPr>
        <w:ind w:left="5302" w:hanging="360"/>
      </w:pPr>
    </w:lvl>
    <w:lvl w:ilvl="5" w:tplc="9570764A">
      <w:start w:val="1"/>
      <w:numFmt w:val="lowerRoman"/>
      <w:lvlText w:val="%6."/>
      <w:lvlJc w:val="right"/>
      <w:pPr>
        <w:ind w:left="6022" w:hanging="180"/>
      </w:pPr>
    </w:lvl>
    <w:lvl w:ilvl="6" w:tplc="8396796C">
      <w:start w:val="1"/>
      <w:numFmt w:val="decimal"/>
      <w:lvlText w:val="%7."/>
      <w:lvlJc w:val="left"/>
      <w:pPr>
        <w:ind w:left="6742" w:hanging="360"/>
      </w:pPr>
    </w:lvl>
    <w:lvl w:ilvl="7" w:tplc="9BDA6922">
      <w:start w:val="1"/>
      <w:numFmt w:val="lowerLetter"/>
      <w:lvlText w:val="%8."/>
      <w:lvlJc w:val="left"/>
      <w:pPr>
        <w:ind w:left="7462" w:hanging="360"/>
      </w:pPr>
    </w:lvl>
    <w:lvl w:ilvl="8" w:tplc="ADF2C0CC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4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2F"/>
    <w:rsid w:val="00026764"/>
    <w:rsid w:val="00091884"/>
    <w:rsid w:val="000B3DD3"/>
    <w:rsid w:val="00143526"/>
    <w:rsid w:val="00184D33"/>
    <w:rsid w:val="001E5485"/>
    <w:rsid w:val="00202DB0"/>
    <w:rsid w:val="0021552A"/>
    <w:rsid w:val="0025507D"/>
    <w:rsid w:val="00297C6A"/>
    <w:rsid w:val="00352DD7"/>
    <w:rsid w:val="004003B8"/>
    <w:rsid w:val="005B7E8B"/>
    <w:rsid w:val="006535D4"/>
    <w:rsid w:val="006703F9"/>
    <w:rsid w:val="00790673"/>
    <w:rsid w:val="007F40FF"/>
    <w:rsid w:val="00886756"/>
    <w:rsid w:val="008963AD"/>
    <w:rsid w:val="008C76C2"/>
    <w:rsid w:val="00922685"/>
    <w:rsid w:val="009A0A24"/>
    <w:rsid w:val="009A5C1E"/>
    <w:rsid w:val="009B7064"/>
    <w:rsid w:val="009E24D3"/>
    <w:rsid w:val="00A94CDB"/>
    <w:rsid w:val="00AB121E"/>
    <w:rsid w:val="00AF1448"/>
    <w:rsid w:val="00B02560"/>
    <w:rsid w:val="00B92175"/>
    <w:rsid w:val="00BD2398"/>
    <w:rsid w:val="00C55A35"/>
    <w:rsid w:val="00C67DE2"/>
    <w:rsid w:val="00CB726F"/>
    <w:rsid w:val="00CF242F"/>
    <w:rsid w:val="00D55965"/>
    <w:rsid w:val="00DC65FA"/>
    <w:rsid w:val="00DE6EC6"/>
    <w:rsid w:val="00E07CA0"/>
    <w:rsid w:val="00E27493"/>
    <w:rsid w:val="00E812FD"/>
    <w:rsid w:val="00F876ED"/>
    <w:rsid w:val="00FA7966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DE19E-C5F9-45C1-92F3-E8158415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9BAE-D153-4786-9A58-A8304F95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24</Pages>
  <Words>7130</Words>
  <Characters>40643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Миронова Анна Евгеньевна</cp:lastModifiedBy>
  <cp:revision>34</cp:revision>
  <dcterms:created xsi:type="dcterms:W3CDTF">2025-11-13T08:17:00Z</dcterms:created>
  <dcterms:modified xsi:type="dcterms:W3CDTF">2026-06-09T09:27:00Z</dcterms:modified>
</cp:coreProperties>
</file>