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DB" w:rsidRDefault="000277EC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</w:t>
      </w:r>
    </w:p>
    <w:p w:rsidR="00552FDB" w:rsidRDefault="00552FDB">
      <w:pPr>
        <w:widowControl w:val="0"/>
        <w:jc w:val="center"/>
        <w:rPr>
          <w:b/>
          <w:sz w:val="28"/>
        </w:rPr>
      </w:pPr>
    </w:p>
    <w:p w:rsidR="00552FDB" w:rsidRDefault="00552FDB">
      <w:pPr>
        <w:widowControl w:val="0"/>
        <w:jc w:val="center"/>
        <w:rPr>
          <w:b/>
          <w:sz w:val="28"/>
        </w:rPr>
      </w:pPr>
    </w:p>
    <w:p w:rsidR="00552FDB" w:rsidRDefault="00552FDB">
      <w:pPr>
        <w:widowControl w:val="0"/>
        <w:jc w:val="center"/>
        <w:rPr>
          <w:b/>
          <w:sz w:val="28"/>
        </w:rPr>
      </w:pPr>
    </w:p>
    <w:p w:rsidR="00552FDB" w:rsidRDefault="00552FDB">
      <w:pPr>
        <w:widowControl w:val="0"/>
        <w:jc w:val="center"/>
        <w:rPr>
          <w:b/>
          <w:sz w:val="28"/>
        </w:rPr>
      </w:pPr>
    </w:p>
    <w:p w:rsidR="00552FDB" w:rsidRDefault="000277EC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552FDB" w:rsidRDefault="000277E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552FDB" w:rsidRDefault="000277E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552FDB" w:rsidRDefault="00552FDB">
      <w:pPr>
        <w:widowControl w:val="0"/>
        <w:jc w:val="center"/>
        <w:rPr>
          <w:b/>
          <w:sz w:val="16"/>
          <w:szCs w:val="16"/>
        </w:rPr>
      </w:pPr>
    </w:p>
    <w:p w:rsidR="00552FDB" w:rsidRDefault="000277EC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552FDB" w:rsidRDefault="00552FDB">
      <w:pPr>
        <w:widowControl w:val="0"/>
        <w:jc w:val="center"/>
      </w:pPr>
    </w:p>
    <w:p w:rsidR="00552FDB" w:rsidRDefault="00552FDB">
      <w:pPr>
        <w:widowControl w:val="0"/>
        <w:jc w:val="center"/>
      </w:pPr>
    </w:p>
    <w:p w:rsidR="00552FDB" w:rsidRDefault="000277EC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14.11.2025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№ 1873</w:t>
      </w:r>
    </w:p>
    <w:p w:rsidR="00552FDB" w:rsidRDefault="000277EC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:rsidR="00552FDB" w:rsidRDefault="00552FDB">
      <w:pPr>
        <w:widowControl w:val="0"/>
        <w:jc w:val="center"/>
        <w:rPr>
          <w:b/>
          <w:sz w:val="24"/>
          <w:szCs w:val="24"/>
        </w:rPr>
      </w:pPr>
    </w:p>
    <w:p w:rsidR="00552FDB" w:rsidRDefault="00552FDB">
      <w:pPr>
        <w:widowControl w:val="0"/>
        <w:jc w:val="center"/>
        <w:rPr>
          <w:b/>
          <w:sz w:val="24"/>
          <w:szCs w:val="24"/>
        </w:rPr>
      </w:pPr>
    </w:p>
    <w:p w:rsidR="00552FDB" w:rsidRDefault="000277EC">
      <w:pPr>
        <w:jc w:val="center"/>
        <w:rPr>
          <w:b/>
        </w:rPr>
      </w:pPr>
      <w:r>
        <w:rPr>
          <w:b/>
        </w:rPr>
        <w:t xml:space="preserve">Об утверждении плана реализации муниципальной программы Печенгского муниципального округа </w:t>
      </w:r>
      <w:r>
        <w:rPr>
          <w:b/>
        </w:rPr>
        <w:t>«Обеспечение социальной стабильности» на 2026 - 2028 годы</w:t>
      </w:r>
    </w:p>
    <w:p w:rsidR="00552FDB" w:rsidRDefault="00552FDB">
      <w:pPr>
        <w:rPr>
          <w:sz w:val="26"/>
          <w:szCs w:val="26"/>
        </w:rPr>
      </w:pPr>
    </w:p>
    <w:p w:rsidR="00552FDB" w:rsidRDefault="00552FDB">
      <w:pPr>
        <w:rPr>
          <w:sz w:val="26"/>
          <w:szCs w:val="26"/>
        </w:rPr>
      </w:pPr>
    </w:p>
    <w:p w:rsidR="00552FDB" w:rsidRDefault="000277EC">
      <w:pPr>
        <w:ind w:firstLine="540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4"/>
          <w:szCs w:val="24"/>
        </w:rP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</w:t>
      </w:r>
      <w:r>
        <w:rPr>
          <w:sz w:val="24"/>
          <w:szCs w:val="24"/>
        </w:rPr>
        <w:t xml:space="preserve">о муниципального округа </w:t>
      </w:r>
      <w:r>
        <w:rPr>
          <w:sz w:val="24"/>
          <w:szCs w:val="24"/>
        </w:rPr>
        <w:br/>
        <w:t>от 18.09.2025 № 1488, постановлением администрации Печенгского муниципального округа от 12.11.2025 № 1835 «Об утверждении муниципальной программы Печенгского муниципального округа «Обеспечение социальной стабильности» на 2026 - 202</w:t>
      </w:r>
      <w:r>
        <w:rPr>
          <w:sz w:val="24"/>
          <w:szCs w:val="24"/>
        </w:rPr>
        <w:t>8 годы, в целях повышения эффективности и результативности расходования бюджетных средств,</w:t>
      </w:r>
    </w:p>
    <w:p w:rsidR="00552FDB" w:rsidRDefault="00552FDB">
      <w:pPr>
        <w:jc w:val="both"/>
        <w:rPr>
          <w:sz w:val="24"/>
          <w:szCs w:val="24"/>
        </w:rPr>
      </w:pPr>
    </w:p>
    <w:p w:rsidR="00552FDB" w:rsidRDefault="000277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552FDB" w:rsidRDefault="00552FDB">
      <w:pPr>
        <w:widowControl w:val="0"/>
        <w:jc w:val="both"/>
        <w:rPr>
          <w:color w:val="auto"/>
          <w:sz w:val="24"/>
          <w:szCs w:val="18"/>
        </w:rPr>
      </w:pPr>
    </w:p>
    <w:p w:rsidR="00552FDB" w:rsidRDefault="000277EC">
      <w:pPr>
        <w:widowControl w:val="0"/>
        <w:tabs>
          <w:tab w:val="left" w:pos="993"/>
          <w:tab w:val="left" w:pos="1134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>
        <w:rPr>
          <w:color w:val="auto"/>
          <w:sz w:val="24"/>
          <w:szCs w:val="24"/>
        </w:rPr>
        <w:tab/>
        <w:t>Утвердить план реализации муниципальной программы Печенгского муниципального округа «Обеспечение социальной стабильности» на 2026 - 2028 годы согла</w:t>
      </w:r>
      <w:r>
        <w:rPr>
          <w:color w:val="auto"/>
          <w:sz w:val="24"/>
          <w:szCs w:val="24"/>
        </w:rPr>
        <w:t>сно приложению.</w:t>
      </w:r>
    </w:p>
    <w:p w:rsidR="00552FDB" w:rsidRDefault="000277EC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eastAsia="en-US"/>
        </w:rPr>
        <w:t>Настоящее постановление вступает в силу с 01 января 2026 года.</w:t>
      </w:r>
    </w:p>
    <w:p w:rsidR="00552FDB" w:rsidRDefault="000277EC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3.</w:t>
      </w:r>
      <w:r>
        <w:rPr>
          <w:color w:val="auto"/>
          <w:sz w:val="24"/>
          <w:szCs w:val="24"/>
          <w:lang w:eastAsia="en-US"/>
        </w:rPr>
        <w:tab/>
        <w:t>Настоящее постановление разместить на с</w:t>
      </w:r>
      <w:r>
        <w:rPr>
          <w:color w:val="auto"/>
          <w:sz w:val="24"/>
          <w:szCs w:val="24"/>
        </w:rPr>
        <w:t>айте Печенгского муниципального округа</w:t>
      </w:r>
      <w:r>
        <w:rPr>
          <w:rFonts w:eastAsia="Calibri"/>
          <w:color w:val="auto"/>
          <w:sz w:val="24"/>
          <w:szCs w:val="24"/>
        </w:rPr>
        <w:t xml:space="preserve"> в сети Интернет.</w:t>
      </w:r>
    </w:p>
    <w:p w:rsidR="00552FDB" w:rsidRDefault="000277E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4.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eastAsia="en-US"/>
        </w:rPr>
        <w:t>Кон</w:t>
      </w:r>
      <w:r>
        <w:rPr>
          <w:rFonts w:eastAsia="Calibri"/>
          <w:color w:val="auto"/>
          <w:sz w:val="24"/>
          <w:szCs w:val="24"/>
          <w:lang w:eastAsia="en-US"/>
        </w:rPr>
        <w:t>троль за исполнением настоящего постановления оставляю за собой.</w:t>
      </w:r>
    </w:p>
    <w:p w:rsidR="00552FDB" w:rsidRDefault="00552FDB">
      <w:pPr>
        <w:widowControl w:val="0"/>
        <w:jc w:val="both"/>
        <w:rPr>
          <w:sz w:val="24"/>
          <w:szCs w:val="24"/>
        </w:rPr>
      </w:pPr>
    </w:p>
    <w:p w:rsidR="00552FDB" w:rsidRDefault="00552FDB">
      <w:pPr>
        <w:widowControl w:val="0"/>
        <w:jc w:val="both"/>
        <w:rPr>
          <w:sz w:val="24"/>
          <w:szCs w:val="24"/>
        </w:rPr>
      </w:pPr>
    </w:p>
    <w:p w:rsidR="00552FDB" w:rsidRDefault="000277E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Печенгского муниципального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А.В. Кузнецов</w:t>
      </w: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</w:pPr>
    </w:p>
    <w:p w:rsidR="00552FDB" w:rsidRDefault="00552FDB">
      <w:pPr>
        <w:widowControl w:val="0"/>
        <w:jc w:val="both"/>
        <w:rPr>
          <w:sz w:val="24"/>
          <w:szCs w:val="24"/>
        </w:rPr>
      </w:pPr>
    </w:p>
    <w:p w:rsidR="00552FDB" w:rsidRDefault="000277EC">
      <w:pPr>
        <w:spacing w:after="200" w:line="276" w:lineRule="auto"/>
        <w:sectPr w:rsidR="00552FDB">
          <w:pgSz w:w="11906" w:h="16838"/>
          <w:pgMar w:top="720" w:right="720" w:bottom="720" w:left="1701" w:header="709" w:footer="709" w:gutter="0"/>
          <w:cols w:space="709"/>
          <w:rtlGutter/>
          <w:docGrid w:linePitch="360"/>
        </w:sectPr>
      </w:pPr>
      <w:r>
        <w:t>Рыжкова А.А., 25151</w:t>
      </w:r>
    </w:p>
    <w:tbl>
      <w:tblPr>
        <w:tblW w:w="154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1"/>
        <w:gridCol w:w="2113"/>
        <w:gridCol w:w="1124"/>
        <w:gridCol w:w="719"/>
        <w:gridCol w:w="1417"/>
        <w:gridCol w:w="1418"/>
        <w:gridCol w:w="1417"/>
        <w:gridCol w:w="1418"/>
        <w:gridCol w:w="3685"/>
        <w:gridCol w:w="1560"/>
      </w:tblGrid>
      <w:tr w:rsidR="00552FDB">
        <w:trPr>
          <w:trHeight w:val="570"/>
        </w:trPr>
        <w:tc>
          <w:tcPr>
            <w:tcW w:w="15452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552FDB" w:rsidRDefault="000277EC">
            <w:pPr>
              <w:ind w:left="11624"/>
              <w:contextualSpacing/>
            </w:pPr>
            <w:r>
              <w:lastRenderedPageBreak/>
              <w:t xml:space="preserve">Приложение                                                                                                                           </w:t>
            </w:r>
            <w:r>
              <w:t xml:space="preserve">к постановлению администрации                                                                                                                           Печенгского муниципального округа                                                                       </w:t>
            </w:r>
            <w:r>
              <w:t xml:space="preserve">                                                   от 14.11.2025 № 1873</w:t>
            </w:r>
          </w:p>
          <w:p w:rsidR="00552FDB" w:rsidRDefault="00552FDB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52FDB" w:rsidRDefault="000277EC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ПЛАН</w:t>
            </w:r>
          </w:p>
          <w:p w:rsidR="00552FDB" w:rsidRDefault="000277EC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реализации муниципальной программы Печенгского муниципального округа «Обеспечение социальной стабильности» </w:t>
            </w:r>
          </w:p>
          <w:p w:rsidR="00552FDB" w:rsidRDefault="000277EC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на 2026 - 2028 годы</w:t>
            </w:r>
          </w:p>
          <w:p w:rsidR="00552FDB" w:rsidRDefault="00552FD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552FDB">
        <w:trPr>
          <w:trHeight w:val="390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 направление (п</w:t>
            </w:r>
            <w:r>
              <w:rPr>
                <w:sz w:val="18"/>
                <w:szCs w:val="18"/>
              </w:rPr>
              <w:t>одпрограмма), комплексы процессных и(или) проектных мероприятий, мероприятие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выполнения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Объемы и источники финансирования (рублей)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Связь комплексов процессных и(или) проектных мероприятий с показателями муниц</w:t>
            </w:r>
            <w:r>
              <w:rPr>
                <w:color w:val="auto"/>
                <w:sz w:val="18"/>
                <w:szCs w:val="18"/>
              </w:rPr>
              <w:t>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52FDB">
        <w:trPr>
          <w:trHeight w:val="73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/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/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/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</w:pPr>
            <w:r>
              <w:t>По годам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</w:pPr>
            <w:r>
              <w:t>2028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</w:tr>
      <w:tr w:rsidR="00552FDB">
        <w:trPr>
          <w:trHeight w:val="320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552FDB" w:rsidRDefault="00552F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b/>
                <w:bCs/>
              </w:rPr>
            </w:pPr>
          </w:p>
          <w:p w:rsidR="00552FDB" w:rsidRDefault="00027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социальной стабильности»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sz w:val="18"/>
                <w:szCs w:val="18"/>
              </w:rPr>
            </w:pPr>
          </w:p>
          <w:p w:rsidR="00552FDB" w:rsidRDefault="00552FDB">
            <w:pPr>
              <w:jc w:val="center"/>
              <w:rPr>
                <w:sz w:val="18"/>
                <w:szCs w:val="18"/>
              </w:rPr>
            </w:pPr>
          </w:p>
          <w:p w:rsidR="00552FDB" w:rsidRDefault="000277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tabs>
                <w:tab w:val="left" w:pos="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111 839 800,00   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37 791 800,00   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36 970 900,00   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37 077 100,00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ind w:right="-3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Управляющий делами администрации; сектор муниципальной службы и кадров; специалист по работе с населением; ОРН; отдел образования; отдел КСиМП; КУИ; О</w:t>
            </w:r>
            <w:r>
              <w:rPr>
                <w:sz w:val="16"/>
                <w:szCs w:val="16"/>
              </w:rPr>
              <w:t>С и ЖКХ</w:t>
            </w:r>
          </w:p>
        </w:tc>
      </w:tr>
      <w:tr w:rsidR="00552FDB">
        <w:trPr>
          <w:trHeight w:val="12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26 451 590,00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9 655 631,00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8 345 416,00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8 450 543,00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</w:tr>
      <w:tr w:rsidR="00552FDB">
        <w:trPr>
          <w:trHeight w:val="214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82 252 600,00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27 076 800,00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27 587 900,00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27 587 900,00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</w:tr>
      <w:tr w:rsidR="00552FDB">
        <w:trPr>
          <w:trHeight w:val="14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40 910,00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14 869,00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12 484,00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13 557,00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</w:tr>
      <w:tr w:rsidR="00552FDB">
        <w:trPr>
          <w:trHeight w:val="169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3 094 700,00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1 044 500,00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1 025 100,00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1 025 100,00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</w:tr>
      <w:tr w:rsidR="00552FDB">
        <w:trPr>
          <w:trHeight w:val="129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b/>
                <w:bCs/>
              </w:rPr>
            </w:pPr>
          </w:p>
          <w:p w:rsidR="00552FDB" w:rsidRDefault="00027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rPr>
                <w:sz w:val="18"/>
                <w:szCs w:val="18"/>
                <w:u w:val="single"/>
              </w:rPr>
            </w:pPr>
          </w:p>
          <w:p w:rsidR="00552FDB" w:rsidRDefault="0002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Комплекс процессных мероприятий 1 </w:t>
            </w:r>
            <w:r>
              <w:rPr>
                <w:sz w:val="18"/>
                <w:szCs w:val="18"/>
              </w:rPr>
              <w:t>«Создание условий для роста благосостояния граждан – получателей мер социальной поддержки»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sz w:val="18"/>
                <w:szCs w:val="18"/>
              </w:rPr>
            </w:pPr>
          </w:p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100 153 399,00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33 759 173,00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33 197 113,00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33 197 113,00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0.1. Доля граждан, получивших социальную поддержку, от общего числа граждан, которым назначена социальная поддержка</w:t>
            </w:r>
            <w:r>
              <w:rPr>
                <w:color w:val="auto"/>
                <w:sz w:val="16"/>
                <w:szCs w:val="16"/>
              </w:rPr>
              <w:br/>
              <w:t>0.2. Доля муниципальных служащих своевременно получающих пенсию за выслугу лет от общей численности муниципальных служащих, которым назначен</w:t>
            </w:r>
            <w:r>
              <w:rPr>
                <w:color w:val="auto"/>
                <w:sz w:val="16"/>
                <w:szCs w:val="16"/>
              </w:rPr>
              <w:t>а пенсия за выслугу лет</w:t>
            </w:r>
          </w:p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0.3. Доля почетных граждан г. Заполярный, граждан, награжденных почетным знаком «За заслуги перед Печенгским округом», граждан, которым присвоено почетное звание «Почетный гражданин «Печенгского муниципального округа», своевременно </w:t>
            </w:r>
            <w:r>
              <w:rPr>
                <w:color w:val="auto"/>
                <w:sz w:val="16"/>
                <w:szCs w:val="16"/>
              </w:rPr>
              <w:t xml:space="preserve">получивших социальную поддержку от общего числа граждан, которым присвоены такие звания          </w:t>
            </w:r>
          </w:p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0.4. Выполнение обязательств, связанных с захоронением погибших в ходе специальной военной операции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Управляющий делами администрации; </w:t>
            </w:r>
          </w:p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муниципальной с</w:t>
            </w:r>
            <w:r>
              <w:rPr>
                <w:sz w:val="16"/>
                <w:szCs w:val="16"/>
              </w:rPr>
              <w:t xml:space="preserve">лужбы и кадров; специалист по работе с населением; </w:t>
            </w:r>
          </w:p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ОРН;</w:t>
            </w:r>
          </w:p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 образования;</w:t>
            </w:r>
          </w:p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 КСиМП</w:t>
            </w: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31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20 930 799,00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7 692 373,00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6 619 213,00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6 619 213,00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26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79 222 600,00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26 066 800,00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26 577 900,00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26 577 900,00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139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259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274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«Выплата пенсий за выслугу лет муниципальным служащим и лицам, замещавшим муниципальные должности в органах местного самоуправления»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19 571 400,00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6 523 800,00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6 523 800,00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6 523 800,00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</w:t>
            </w:r>
            <w:r>
              <w:rPr>
                <w:sz w:val="16"/>
                <w:szCs w:val="16"/>
              </w:rPr>
              <w:t>дение реестра муниципальных должностей. Расчет, назначение и выплата пенсии за выслугу лет муниципальным служащим и лицам, замещавшим муниципальные должности в органах местного самоуправления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сектор муниципальной службы и кадров</w:t>
            </w:r>
          </w:p>
        </w:tc>
      </w:tr>
      <w:tr w:rsidR="00552FDB">
        <w:trPr>
          <w:trHeight w:val="15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19 571 400,00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6 523 800,00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6 523 800,00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6 523 800,00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9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184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918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552FDB" w:rsidRDefault="00552FDB">
            <w:pPr>
              <w:rPr>
                <w:sz w:val="16"/>
                <w:szCs w:val="16"/>
              </w:rPr>
            </w:pPr>
          </w:p>
          <w:p w:rsidR="00552FDB" w:rsidRDefault="00552FDB">
            <w:pPr>
              <w:rPr>
                <w:sz w:val="16"/>
                <w:szCs w:val="16"/>
              </w:rPr>
            </w:pPr>
          </w:p>
          <w:p w:rsidR="00552FDB" w:rsidRDefault="00552FDB">
            <w:pPr>
              <w:rPr>
                <w:sz w:val="16"/>
                <w:szCs w:val="16"/>
              </w:rPr>
            </w:pPr>
          </w:p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</w:rPr>
            </w:pPr>
          </w:p>
        </w:tc>
      </w:tr>
      <w:tr w:rsidR="00552FDB">
        <w:trPr>
          <w:trHeight w:val="287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«Организация и предоставление мер социальной поддержки по оплате жилого помещения и коммунальных услуг отдельным категориям граждан, работающих в сельских населенных пунктах или поселках городского типа»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72 546 900,00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 23 870 300,00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24 338 300,00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24 338 300,00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Расчет, назначение и выплата компенсации расходов по оплате жилого помещения и коммунальных услуг отдельным категориям граждан, работающих в сельских населенных пунктах или поселках городского </w:t>
            </w:r>
            <w:r>
              <w:rPr>
                <w:sz w:val="16"/>
                <w:szCs w:val="16"/>
              </w:rPr>
              <w:t>типа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отдел образования, отдел КСиМП</w:t>
            </w:r>
          </w:p>
        </w:tc>
      </w:tr>
      <w:tr w:rsidR="00552FDB">
        <w:trPr>
          <w:trHeight w:val="13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22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72 546 900,00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23 870 300,00   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24 338 300,00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24 338 300,00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14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57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557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Мер</w:t>
            </w:r>
            <w:r>
              <w:rPr>
                <w:color w:val="auto"/>
                <w:sz w:val="18"/>
                <w:szCs w:val="18"/>
              </w:rPr>
              <w:t>оприятие «Выплата денежного вознаграждения гражданам, удостоенных звания «Почетный гражданин города Заполярный», «Почетный гражданин Печенгского муниципального округа», награждаемых  почетным знаком «За заслуги перед Печенгским округом»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       286 239,00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95 413,00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95 413,00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95 413,00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 и выплата вознаграждения гражданам, удостоенных звания «Почетный гражданин города Заполярный»</w:t>
            </w:r>
            <w:r>
              <w:rPr>
                <w:sz w:val="16"/>
                <w:szCs w:val="16"/>
              </w:rPr>
              <w:t>, «Почетный гражданин Печенгского муниципального округа», награждаемых почетным знаком «За заслуги перед Печенгским округом»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ОРН</w:t>
            </w:r>
          </w:p>
        </w:tc>
      </w:tr>
      <w:tr w:rsidR="00552FDB">
        <w:trPr>
          <w:trHeight w:val="229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9"/>
                <w:szCs w:val="19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286 239,00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95 413,00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95 413,00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95 413,00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13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9"/>
                <w:szCs w:val="19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221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9"/>
                <w:szCs w:val="19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84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9"/>
                <w:szCs w:val="19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225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«Исполнение государственных полномочий по предоставлению и организации выплаты вознаграждения опекунам совершеннолетних недееспособных граждан»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6 675 700,00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2 196 500,00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2 239 600,00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2 239 600</w:t>
            </w:r>
            <w:r>
              <w:rPr>
                <w:b/>
                <w:bCs/>
                <w:sz w:val="16"/>
                <w:szCs w:val="16"/>
              </w:rPr>
              <w:t xml:space="preserve">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Рассмотрение документов, назначение, заключение договора выплаты вознаграждения опекунам совершеннолетних недееспособных граждан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специалист по работе с населением</w:t>
            </w:r>
          </w:p>
        </w:tc>
      </w:tr>
      <w:tr w:rsidR="00552FDB">
        <w:trPr>
          <w:trHeight w:val="128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89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6 675 700,00   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2 196 500,00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2 239 600,00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2 239 600,00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17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42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300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«Проведение мероприятий, связанных с захоронением погибших в ходе специальной военной операции»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1 073 160,00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1 073 160,00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обязательств, связанных с захоронением погибших в ходе специальной военной операции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Управляющий делами администрации</w:t>
            </w:r>
          </w:p>
        </w:tc>
      </w:tr>
      <w:tr w:rsidR="00552FDB">
        <w:trPr>
          <w:trHeight w:val="264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1 073 160,00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1 073 160,00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126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214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30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</w:tr>
      <w:tr w:rsidR="00552FDB">
        <w:trPr>
          <w:trHeight w:val="138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52FDB" w:rsidRDefault="00027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rPr>
                <w:sz w:val="18"/>
                <w:szCs w:val="18"/>
                <w:u w:val="single"/>
              </w:rPr>
            </w:pPr>
          </w:p>
          <w:p w:rsidR="00552FDB" w:rsidRDefault="0002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</w:t>
            </w:r>
            <w:r>
              <w:rPr>
                <w:sz w:val="18"/>
                <w:szCs w:val="18"/>
                <w:u w:val="single"/>
              </w:rPr>
              <w:t>плекс процессных мероприятий 2</w:t>
            </w:r>
            <w:r>
              <w:rPr>
                <w:sz w:val="18"/>
                <w:szCs w:val="18"/>
              </w:rPr>
              <w:t xml:space="preserve"> «Создание условий для эффективной интеграции инвалидов в общество»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sz w:val="18"/>
                <w:szCs w:val="18"/>
              </w:rPr>
            </w:pPr>
          </w:p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1 470 601,00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491 227,00   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490 187,00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489 187,00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0.5. Доля приоритетных объектов социальной и</w:t>
            </w:r>
            <w:r>
              <w:rPr>
                <w:sz w:val="16"/>
                <w:szCs w:val="16"/>
              </w:rPr>
              <w:t>нфраструктуры (далее - ОСИ)  Печенгского муниципального округа занесенных в электронный реестр ОСИ Мурманской области, а также размещенных на электронной карте доступности интернет портала "Жить вместе" государственной программы Российской федерации "Досту</w:t>
            </w:r>
            <w:r>
              <w:rPr>
                <w:sz w:val="16"/>
                <w:szCs w:val="16"/>
              </w:rPr>
              <w:t>пная среда"                                                                            0.6. Доля исполненных обоснованных заявлений (обращений) по обеспечению доступности в МКД, в которых проживают инвалиды от общего числа поступивших заявлений (обращений)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ОРН</w:t>
            </w:r>
          </w:p>
        </w:tc>
      </w:tr>
      <w:tr w:rsidR="00552FDB">
        <w:trPr>
          <w:trHeight w:val="11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1 470 601,00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491 227,00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490 187,00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489 187,00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0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13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117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71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Мероприятие «Обеспечение доступности в многоквартирных домах»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        1 470 601,00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          491 227,00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          490 187,00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         489 187,00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по обеспечению доступности в многоквартирных домах (установка поручней, пандусов и т.д.)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ОРН</w:t>
            </w:r>
          </w:p>
        </w:tc>
      </w:tr>
      <w:tr w:rsidR="00552FDB">
        <w:trPr>
          <w:trHeight w:val="13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1 470 601,00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  491 227,00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  490 187,00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      489 187,00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21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6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14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17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«Участие в создании на территории Печенгского муниципального округа инвалидам и маломобильным группам населения условий для беспрепятственного доступа к объектам </w:t>
            </w:r>
            <w:r>
              <w:rPr>
                <w:sz w:val="18"/>
                <w:szCs w:val="18"/>
              </w:rPr>
              <w:t xml:space="preserve">социальной инфраструктуры, а также для беспрепятственного пользования средствами связи, информации, транспорта, размещение информации на </w:t>
            </w:r>
            <w:r>
              <w:rPr>
                <w:sz w:val="18"/>
                <w:szCs w:val="18"/>
              </w:rPr>
              <w:t>интернет-портале</w:t>
            </w:r>
            <w:r>
              <w:rPr>
                <w:sz w:val="18"/>
                <w:szCs w:val="18"/>
              </w:rPr>
              <w:t xml:space="preserve"> «Учимся жить вместе», государственной программы «Доступная среда» по паспортам доступности ОСИ </w:t>
            </w:r>
            <w:r>
              <w:rPr>
                <w:sz w:val="18"/>
                <w:szCs w:val="18"/>
              </w:rPr>
              <w:lastRenderedPageBreak/>
              <w:t>Печенгс</w:t>
            </w:r>
            <w:r>
              <w:rPr>
                <w:sz w:val="18"/>
                <w:szCs w:val="18"/>
              </w:rPr>
              <w:t>кого муниципального округа»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Размещение информации на Интернет-портале «Учимся жить вместе» Государственной программы «Доступная среда» по паспортам доступности ОСИ Печенгского муниципального округа»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ОРН </w:t>
            </w:r>
          </w:p>
        </w:tc>
      </w:tr>
      <w:tr w:rsidR="00552FDB">
        <w:trPr>
          <w:trHeight w:val="149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2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141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64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33D18" w:rsidRDefault="00533D18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33D18" w:rsidRDefault="00533D18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33D18" w:rsidRDefault="00533D18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33D18" w:rsidRDefault="00533D18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300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b/>
                <w:bCs/>
              </w:rPr>
            </w:pPr>
          </w:p>
          <w:p w:rsidR="00552FDB" w:rsidRDefault="00027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rPr>
                <w:sz w:val="18"/>
                <w:szCs w:val="18"/>
                <w:u w:val="single"/>
              </w:rPr>
            </w:pPr>
          </w:p>
          <w:p w:rsidR="00552FDB" w:rsidRDefault="0002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</w:t>
            </w:r>
            <w:r>
              <w:rPr>
                <w:sz w:val="18"/>
                <w:szCs w:val="18"/>
                <w:u w:val="single"/>
              </w:rPr>
              <w:t xml:space="preserve">плекс процессных мероприятий 3 </w:t>
            </w:r>
            <w:r>
              <w:rPr>
                <w:sz w:val="18"/>
                <w:szCs w:val="18"/>
              </w:rPr>
              <w:t>«Создание условий для социальной помощи семьям»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sz w:val="18"/>
                <w:szCs w:val="18"/>
              </w:rPr>
            </w:pPr>
          </w:p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10 215 800,00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3 541 400,00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3 283 600,00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3 390 800,00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0.7. Число семей участников Государственной программы получивших соци</w:t>
            </w:r>
            <w:r>
              <w:rPr>
                <w:sz w:val="16"/>
                <w:szCs w:val="16"/>
              </w:rPr>
              <w:t xml:space="preserve">альную выплату на приобретение (строительство) жилья от общего числа семей, обратившихся за получением меры социальной поддержки.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552FDB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552FDB" w:rsidRDefault="000277E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ОС и ЖКХ; </w:t>
            </w:r>
          </w:p>
          <w:p w:rsidR="00552FDB" w:rsidRDefault="000277E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КУИ</w:t>
            </w:r>
          </w:p>
        </w:tc>
      </w:tr>
      <w:tr w:rsidR="00552FDB">
        <w:trPr>
          <w:trHeight w:val="264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4 050 190,00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1 472 031,00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1 236 016,00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1 342 143,00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68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3 030 000,00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1 010 000,00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1 010 000,00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1 010 000,00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72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40 910,00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14 869,00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12 484,00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13 557,00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27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3 094 700,00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1 044 500,00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1 025 100,00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1 025 100,00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6"/>
                <w:szCs w:val="16"/>
              </w:rPr>
            </w:pPr>
          </w:p>
        </w:tc>
      </w:tr>
      <w:tr w:rsidR="00552FDB">
        <w:trPr>
          <w:trHeight w:val="300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  <w:p w:rsidR="00552FDB" w:rsidRDefault="0055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«Предоставление социальных выплат молодым семьям»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2026-2027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7 185 800,00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2 531 400,00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2 273 600,00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2 380 800,00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рассмотрения предоставленных документов, расчёт, назначение, обеспечение выплат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 и ЖКХ</w:t>
            </w: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</w:tc>
      </w:tr>
      <w:tr w:rsidR="00552FDB">
        <w:trPr>
          <w:trHeight w:val="199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4 050 190,00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1 472 031,00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1 236 016,00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1 342 143,00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173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261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40 910,00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14 869,00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12 484,00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13 557,00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13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3 094 700,00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1 044 500,00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1 025 100,00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1 025 100,00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300"/>
        </w:trPr>
        <w:tc>
          <w:tcPr>
            <w:tcW w:w="5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11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</w:t>
            </w:r>
            <w:r>
              <w:rPr>
                <w:sz w:val="18"/>
                <w:szCs w:val="18"/>
              </w:rPr>
              <w:t>оприятие «Предоставление единовременной денежной выплаты многодетным семьям на улучшение жилищных условий»</w:t>
            </w:r>
          </w:p>
        </w:tc>
        <w:tc>
          <w:tcPr>
            <w:tcW w:w="112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3 030 000,00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1 010 000,00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1 010 000,00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1 010 000,00   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рассмотрения предоставленных документов, своевременное направление на единовременные выплаты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</w:t>
            </w: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  <w:p w:rsidR="00552FDB" w:rsidRDefault="00552FDB">
            <w:pPr>
              <w:jc w:val="center"/>
              <w:rPr>
                <w:sz w:val="16"/>
                <w:szCs w:val="16"/>
              </w:rPr>
            </w:pPr>
          </w:p>
        </w:tc>
      </w:tr>
      <w:tr w:rsidR="00552FDB">
        <w:trPr>
          <w:trHeight w:val="201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275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3 030 000,00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1 010 000,00  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1 010 000,00 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1 010 000,00   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137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  <w:tr w:rsidR="00552FDB">
        <w:trPr>
          <w:trHeight w:val="300"/>
        </w:trPr>
        <w:tc>
          <w:tcPr>
            <w:tcW w:w="5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DB" w:rsidRDefault="00027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FDB" w:rsidRDefault="000277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  <w:p w:rsidR="00552FDB" w:rsidRDefault="00552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B" w:rsidRDefault="00552FDB">
            <w:pPr>
              <w:rPr>
                <w:sz w:val="16"/>
                <w:szCs w:val="16"/>
              </w:rPr>
            </w:pPr>
          </w:p>
        </w:tc>
      </w:tr>
    </w:tbl>
    <w:p w:rsidR="00552FDB" w:rsidRDefault="00552FDB">
      <w:pPr>
        <w:ind w:left="5529"/>
        <w:jc w:val="both"/>
        <w:rPr>
          <w:sz w:val="16"/>
          <w:szCs w:val="16"/>
        </w:rPr>
      </w:pPr>
    </w:p>
    <w:p w:rsidR="00552FDB" w:rsidRDefault="000277EC">
      <w:pPr>
        <w:spacing w:line="276" w:lineRule="auto"/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  <w:vertAlign w:val="superscript"/>
        </w:rPr>
        <w:t xml:space="preserve">1 </w:t>
      </w:r>
      <w:r>
        <w:rPr>
          <w:color w:val="auto"/>
          <w:sz w:val="18"/>
          <w:szCs w:val="18"/>
          <w:u w:val="single"/>
        </w:rPr>
        <w:t>Соис</w:t>
      </w:r>
      <w:r>
        <w:rPr>
          <w:color w:val="auto"/>
          <w:sz w:val="18"/>
          <w:szCs w:val="18"/>
          <w:u w:val="single"/>
        </w:rPr>
        <w:t>полнители, участники:</w:t>
      </w:r>
    </w:p>
    <w:p w:rsidR="00552FDB" w:rsidRDefault="000277EC">
      <w:pPr>
        <w:spacing w:line="276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Управляющий делами администрации – Администрация Печенгского муниципального округа (Управляющий делами администрации Печенгского муниципального округа);</w:t>
      </w:r>
    </w:p>
    <w:p w:rsidR="00552FDB" w:rsidRDefault="000277EC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</w:t>
      </w:r>
      <w:r>
        <w:rPr>
          <w:color w:val="auto"/>
          <w:sz w:val="18"/>
          <w:szCs w:val="18"/>
        </w:rPr>
        <w:t>сектор муниципальной службы и кадров – Администрация Печенгского муниципального округа (Сектор муниципальной службы и кадров администрации Печенгского муниципального округа);</w:t>
      </w:r>
    </w:p>
    <w:p w:rsidR="00552FDB" w:rsidRDefault="000277EC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специалист по работе с населением – Администрация Печенгского муниципального ок</w:t>
      </w:r>
      <w:r>
        <w:rPr>
          <w:color w:val="auto"/>
          <w:sz w:val="18"/>
          <w:szCs w:val="18"/>
        </w:rPr>
        <w:t>руга (Специалист по работе с населением администрации Печенгского муниципального округа);</w:t>
      </w:r>
    </w:p>
    <w:p w:rsidR="00552FDB" w:rsidRDefault="000277EC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ОРН – отдел работы с населением муниципального казенного учреждения «Управление по обеспечению деятельности администрации Печенгского муниципального округа»;</w:t>
      </w:r>
    </w:p>
    <w:p w:rsidR="00552FDB" w:rsidRDefault="000277EC">
      <w:pPr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>- отде</w:t>
      </w:r>
      <w:r>
        <w:rPr>
          <w:color w:val="auto"/>
          <w:sz w:val="18"/>
          <w:szCs w:val="18"/>
        </w:rPr>
        <w:t xml:space="preserve">л образования - </w:t>
      </w:r>
      <w:r>
        <w:rPr>
          <w:sz w:val="18"/>
          <w:szCs w:val="18"/>
        </w:rPr>
        <w:t>Отдел образования администрации Печенгского муниципального округа;</w:t>
      </w:r>
    </w:p>
    <w:p w:rsidR="00552FDB" w:rsidRDefault="000277EC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отдел КСиМП – Отдел культуры, спорта и молодежной политики администрации Печенгского муниципального округа;</w:t>
      </w:r>
    </w:p>
    <w:p w:rsidR="00552FDB" w:rsidRDefault="000277EC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КУИ – Комитет по управлению имуществом администрации Печенгск</w:t>
      </w:r>
      <w:r>
        <w:rPr>
          <w:color w:val="auto"/>
          <w:sz w:val="18"/>
          <w:szCs w:val="18"/>
        </w:rPr>
        <w:t>ого муниципального округа;</w:t>
      </w:r>
    </w:p>
    <w:p w:rsidR="00552FDB" w:rsidRDefault="000277EC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ОС и ЖКХ – 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округа).</w:t>
      </w:r>
    </w:p>
    <w:p w:rsidR="00552FDB" w:rsidRDefault="00552FDB">
      <w:pPr>
        <w:jc w:val="both"/>
        <w:rPr>
          <w:color w:val="auto"/>
          <w:sz w:val="18"/>
          <w:szCs w:val="18"/>
        </w:rPr>
      </w:pPr>
    </w:p>
    <w:p w:rsidR="00552FDB" w:rsidRDefault="000277EC">
      <w:pPr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>Используемые сокращения:</w:t>
      </w:r>
    </w:p>
    <w:p w:rsidR="00552FDB" w:rsidRDefault="000277EC">
      <w:pPr>
        <w:jc w:val="both"/>
        <w:rPr>
          <w:bCs/>
          <w:sz w:val="16"/>
          <w:szCs w:val="16"/>
        </w:rPr>
      </w:pPr>
      <w:r>
        <w:rPr>
          <w:color w:val="auto"/>
          <w:sz w:val="18"/>
          <w:szCs w:val="18"/>
        </w:rPr>
        <w:t>МБ – местный бюджет; ОБ – областной б</w:t>
      </w:r>
      <w:r>
        <w:rPr>
          <w:color w:val="auto"/>
          <w:sz w:val="18"/>
          <w:szCs w:val="18"/>
        </w:rPr>
        <w:t>юджет; ФБ – федеральный бюджет; ВБС – внебюджетные средства.</w:t>
      </w:r>
    </w:p>
    <w:p w:rsidR="00552FDB" w:rsidRDefault="00552FDB">
      <w:pPr>
        <w:tabs>
          <w:tab w:val="left" w:pos="927"/>
        </w:tabs>
        <w:jc w:val="both"/>
        <w:rPr>
          <w:bCs/>
          <w:sz w:val="24"/>
          <w:szCs w:val="24"/>
        </w:rPr>
        <w:sectPr w:rsidR="00552FDB">
          <w:pgSz w:w="16838" w:h="11906" w:orient="landscape"/>
          <w:pgMar w:top="993" w:right="536" w:bottom="567" w:left="1135" w:header="709" w:footer="709" w:gutter="0"/>
          <w:cols w:space="709"/>
          <w:rtlGutter/>
          <w:docGrid w:linePitch="360"/>
        </w:sectPr>
      </w:pPr>
    </w:p>
    <w:p w:rsidR="00552FDB" w:rsidRDefault="00552FDB">
      <w:pPr>
        <w:widowControl w:val="0"/>
      </w:pPr>
    </w:p>
    <w:p w:rsidR="00552FDB" w:rsidRDefault="00552FDB">
      <w:pPr>
        <w:widowControl w:val="0"/>
      </w:pPr>
    </w:p>
    <w:p w:rsidR="00552FDB" w:rsidRDefault="00552FDB">
      <w:pPr>
        <w:widowControl w:val="0"/>
      </w:pPr>
      <w:bookmarkStart w:id="0" w:name="_GoBack"/>
      <w:bookmarkEnd w:id="0"/>
    </w:p>
    <w:sectPr w:rsidR="00552FDB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EC" w:rsidRDefault="000277EC">
      <w:r>
        <w:separator/>
      </w:r>
    </w:p>
  </w:endnote>
  <w:endnote w:type="continuationSeparator" w:id="0">
    <w:p w:rsidR="000277EC" w:rsidRDefault="0002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EC" w:rsidRDefault="000277EC">
      <w:r>
        <w:separator/>
      </w:r>
    </w:p>
  </w:footnote>
  <w:footnote w:type="continuationSeparator" w:id="0">
    <w:p w:rsidR="000277EC" w:rsidRDefault="0002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C28"/>
    <w:multiLevelType w:val="hybridMultilevel"/>
    <w:tmpl w:val="C3E6EBE0"/>
    <w:lvl w:ilvl="0" w:tplc="B4546FA6">
      <w:start w:val="1"/>
      <w:numFmt w:val="decimal"/>
      <w:suff w:val="space"/>
      <w:lvlText w:val="%1."/>
      <w:lvlJc w:val="left"/>
      <w:pPr>
        <w:ind w:left="1428" w:hanging="360"/>
      </w:pPr>
    </w:lvl>
    <w:lvl w:ilvl="1" w:tplc="C3621D40">
      <w:start w:val="1"/>
      <w:numFmt w:val="lowerLetter"/>
      <w:lvlText w:val="%2."/>
      <w:lvlJc w:val="left"/>
      <w:pPr>
        <w:ind w:left="2148" w:hanging="360"/>
      </w:pPr>
    </w:lvl>
    <w:lvl w:ilvl="2" w:tplc="92068010">
      <w:start w:val="1"/>
      <w:numFmt w:val="lowerRoman"/>
      <w:lvlText w:val="%3."/>
      <w:lvlJc w:val="right"/>
      <w:pPr>
        <w:ind w:left="2868" w:hanging="180"/>
      </w:pPr>
    </w:lvl>
    <w:lvl w:ilvl="3" w:tplc="5A828ECA">
      <w:start w:val="1"/>
      <w:numFmt w:val="decimal"/>
      <w:lvlText w:val="%4."/>
      <w:lvlJc w:val="left"/>
      <w:pPr>
        <w:ind w:left="3588" w:hanging="360"/>
      </w:pPr>
    </w:lvl>
    <w:lvl w:ilvl="4" w:tplc="64C44B4C">
      <w:start w:val="1"/>
      <w:numFmt w:val="lowerLetter"/>
      <w:lvlText w:val="%5."/>
      <w:lvlJc w:val="left"/>
      <w:pPr>
        <w:ind w:left="4308" w:hanging="360"/>
      </w:pPr>
    </w:lvl>
    <w:lvl w:ilvl="5" w:tplc="32BA608E">
      <w:start w:val="1"/>
      <w:numFmt w:val="lowerRoman"/>
      <w:lvlText w:val="%6."/>
      <w:lvlJc w:val="right"/>
      <w:pPr>
        <w:ind w:left="5028" w:hanging="180"/>
      </w:pPr>
    </w:lvl>
    <w:lvl w:ilvl="6" w:tplc="8A30BB34">
      <w:start w:val="1"/>
      <w:numFmt w:val="decimal"/>
      <w:lvlText w:val="%7."/>
      <w:lvlJc w:val="left"/>
      <w:pPr>
        <w:ind w:left="5748" w:hanging="360"/>
      </w:pPr>
    </w:lvl>
    <w:lvl w:ilvl="7" w:tplc="6AD4D8F6">
      <w:start w:val="1"/>
      <w:numFmt w:val="lowerLetter"/>
      <w:lvlText w:val="%8."/>
      <w:lvlJc w:val="left"/>
      <w:pPr>
        <w:ind w:left="6468" w:hanging="360"/>
      </w:pPr>
    </w:lvl>
    <w:lvl w:ilvl="8" w:tplc="1930BF92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BB7D1B"/>
    <w:multiLevelType w:val="multilevel"/>
    <w:tmpl w:val="D60C4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8340FA"/>
    <w:multiLevelType w:val="hybridMultilevel"/>
    <w:tmpl w:val="D79AD556"/>
    <w:lvl w:ilvl="0" w:tplc="CB448A74">
      <w:start w:val="3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94E3CC6">
      <w:start w:val="1"/>
      <w:numFmt w:val="bullet"/>
      <w:lvlText w:val="•"/>
      <w:lvlJc w:val="left"/>
      <w:pPr>
        <w:ind w:left="1067" w:hanging="201"/>
      </w:pPr>
      <w:rPr>
        <w:rFonts w:hint="default"/>
        <w:lang w:val="ru-RU" w:eastAsia="en-US" w:bidi="ar-SA"/>
      </w:rPr>
    </w:lvl>
    <w:lvl w:ilvl="2" w:tplc="E6304064">
      <w:start w:val="1"/>
      <w:numFmt w:val="bullet"/>
      <w:lvlText w:val="•"/>
      <w:lvlJc w:val="left"/>
      <w:pPr>
        <w:ind w:left="2035" w:hanging="201"/>
      </w:pPr>
      <w:rPr>
        <w:rFonts w:hint="default"/>
        <w:lang w:val="ru-RU" w:eastAsia="en-US" w:bidi="ar-SA"/>
      </w:rPr>
    </w:lvl>
    <w:lvl w:ilvl="3" w:tplc="AA0402CE">
      <w:start w:val="1"/>
      <w:numFmt w:val="bullet"/>
      <w:lvlText w:val="•"/>
      <w:lvlJc w:val="left"/>
      <w:pPr>
        <w:ind w:left="3002" w:hanging="201"/>
      </w:pPr>
      <w:rPr>
        <w:rFonts w:hint="default"/>
        <w:lang w:val="ru-RU" w:eastAsia="en-US" w:bidi="ar-SA"/>
      </w:rPr>
    </w:lvl>
    <w:lvl w:ilvl="4" w:tplc="FD9E2576">
      <w:start w:val="1"/>
      <w:numFmt w:val="bullet"/>
      <w:lvlText w:val="•"/>
      <w:lvlJc w:val="left"/>
      <w:pPr>
        <w:ind w:left="3970" w:hanging="201"/>
      </w:pPr>
      <w:rPr>
        <w:rFonts w:hint="default"/>
        <w:lang w:val="ru-RU" w:eastAsia="en-US" w:bidi="ar-SA"/>
      </w:rPr>
    </w:lvl>
    <w:lvl w:ilvl="5" w:tplc="7F5C7E0C">
      <w:start w:val="1"/>
      <w:numFmt w:val="bullet"/>
      <w:lvlText w:val="•"/>
      <w:lvlJc w:val="left"/>
      <w:pPr>
        <w:ind w:left="4937" w:hanging="201"/>
      </w:pPr>
      <w:rPr>
        <w:rFonts w:hint="default"/>
        <w:lang w:val="ru-RU" w:eastAsia="en-US" w:bidi="ar-SA"/>
      </w:rPr>
    </w:lvl>
    <w:lvl w:ilvl="6" w:tplc="3A0EA606">
      <w:start w:val="1"/>
      <w:numFmt w:val="bullet"/>
      <w:lvlText w:val="•"/>
      <w:lvlJc w:val="left"/>
      <w:pPr>
        <w:ind w:left="5905" w:hanging="201"/>
      </w:pPr>
      <w:rPr>
        <w:rFonts w:hint="default"/>
        <w:lang w:val="ru-RU" w:eastAsia="en-US" w:bidi="ar-SA"/>
      </w:rPr>
    </w:lvl>
    <w:lvl w:ilvl="7" w:tplc="BE14B6B8">
      <w:start w:val="1"/>
      <w:numFmt w:val="bullet"/>
      <w:lvlText w:val="•"/>
      <w:lvlJc w:val="left"/>
      <w:pPr>
        <w:ind w:left="6872" w:hanging="201"/>
      </w:pPr>
      <w:rPr>
        <w:rFonts w:hint="default"/>
        <w:lang w:val="ru-RU" w:eastAsia="en-US" w:bidi="ar-SA"/>
      </w:rPr>
    </w:lvl>
    <w:lvl w:ilvl="8" w:tplc="5ECACBD0">
      <w:start w:val="1"/>
      <w:numFmt w:val="bullet"/>
      <w:lvlText w:val="•"/>
      <w:lvlJc w:val="left"/>
      <w:pPr>
        <w:ind w:left="7840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20D2511E"/>
    <w:multiLevelType w:val="hybridMultilevel"/>
    <w:tmpl w:val="7C960834"/>
    <w:lvl w:ilvl="0" w:tplc="FCF4E1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 w:tplc="312CB9B6">
      <w:start w:val="1"/>
      <w:numFmt w:val="bullet"/>
      <w:lvlText w:val="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color w:val="auto"/>
      </w:rPr>
    </w:lvl>
    <w:lvl w:ilvl="2" w:tplc="16645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C64EA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1EAC2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E43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F32E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2F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1E6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163A0C"/>
    <w:multiLevelType w:val="hybridMultilevel"/>
    <w:tmpl w:val="2AEE5782"/>
    <w:lvl w:ilvl="0" w:tplc="9516D566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Symbol" w:hint="default"/>
      </w:rPr>
    </w:lvl>
    <w:lvl w:ilvl="1" w:tplc="5FA477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B02D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9E16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A48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3EA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3EA5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BA51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9EF7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0916DA4"/>
    <w:multiLevelType w:val="multilevel"/>
    <w:tmpl w:val="A3186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AA0958"/>
    <w:multiLevelType w:val="hybridMultilevel"/>
    <w:tmpl w:val="3E7EE408"/>
    <w:lvl w:ilvl="0" w:tplc="A4F24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28278">
      <w:start w:val="1"/>
      <w:numFmt w:val="lowerLetter"/>
      <w:lvlText w:val="%2."/>
      <w:lvlJc w:val="left"/>
      <w:pPr>
        <w:ind w:left="1440" w:hanging="360"/>
      </w:pPr>
    </w:lvl>
    <w:lvl w:ilvl="2" w:tplc="A036D3F0">
      <w:start w:val="1"/>
      <w:numFmt w:val="lowerRoman"/>
      <w:lvlText w:val="%3."/>
      <w:lvlJc w:val="right"/>
      <w:pPr>
        <w:ind w:left="2160" w:hanging="180"/>
      </w:pPr>
    </w:lvl>
    <w:lvl w:ilvl="3" w:tplc="24AC543C">
      <w:start w:val="1"/>
      <w:numFmt w:val="decimal"/>
      <w:lvlText w:val="%4."/>
      <w:lvlJc w:val="left"/>
      <w:pPr>
        <w:ind w:left="2880" w:hanging="360"/>
      </w:pPr>
    </w:lvl>
    <w:lvl w:ilvl="4" w:tplc="00CCE17C">
      <w:start w:val="1"/>
      <w:numFmt w:val="lowerLetter"/>
      <w:lvlText w:val="%5."/>
      <w:lvlJc w:val="left"/>
      <w:pPr>
        <w:ind w:left="3600" w:hanging="360"/>
      </w:pPr>
    </w:lvl>
    <w:lvl w:ilvl="5" w:tplc="E0E68260">
      <w:start w:val="1"/>
      <w:numFmt w:val="lowerRoman"/>
      <w:lvlText w:val="%6."/>
      <w:lvlJc w:val="right"/>
      <w:pPr>
        <w:ind w:left="4320" w:hanging="180"/>
      </w:pPr>
    </w:lvl>
    <w:lvl w:ilvl="6" w:tplc="1512D6D4">
      <w:start w:val="1"/>
      <w:numFmt w:val="decimal"/>
      <w:lvlText w:val="%7."/>
      <w:lvlJc w:val="left"/>
      <w:pPr>
        <w:ind w:left="5040" w:hanging="360"/>
      </w:pPr>
    </w:lvl>
    <w:lvl w:ilvl="7" w:tplc="3BFE1234">
      <w:start w:val="1"/>
      <w:numFmt w:val="lowerLetter"/>
      <w:lvlText w:val="%8."/>
      <w:lvlJc w:val="left"/>
      <w:pPr>
        <w:ind w:left="5760" w:hanging="360"/>
      </w:pPr>
    </w:lvl>
    <w:lvl w:ilvl="8" w:tplc="969A1A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C9B"/>
    <w:multiLevelType w:val="hybridMultilevel"/>
    <w:tmpl w:val="43C2C870"/>
    <w:lvl w:ilvl="0" w:tplc="EC6A3B7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  <w:sz w:val="25"/>
        <w:szCs w:val="25"/>
      </w:rPr>
    </w:lvl>
    <w:lvl w:ilvl="1" w:tplc="8ECA4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3407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5C1C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8844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1073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827F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FE43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C452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5BE474C"/>
    <w:multiLevelType w:val="hybridMultilevel"/>
    <w:tmpl w:val="CFDA9544"/>
    <w:lvl w:ilvl="0" w:tplc="BD7E24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496DCB6">
      <w:start w:val="1"/>
      <w:numFmt w:val="lowerLetter"/>
      <w:lvlText w:val="%2."/>
      <w:lvlJc w:val="left"/>
      <w:pPr>
        <w:ind w:left="1440" w:hanging="360"/>
      </w:pPr>
    </w:lvl>
    <w:lvl w:ilvl="2" w:tplc="E2848A0E">
      <w:start w:val="1"/>
      <w:numFmt w:val="lowerRoman"/>
      <w:lvlText w:val="%3."/>
      <w:lvlJc w:val="right"/>
      <w:pPr>
        <w:ind w:left="2160" w:hanging="180"/>
      </w:pPr>
    </w:lvl>
    <w:lvl w:ilvl="3" w:tplc="D64A6088">
      <w:start w:val="1"/>
      <w:numFmt w:val="decimal"/>
      <w:lvlText w:val="%4."/>
      <w:lvlJc w:val="left"/>
      <w:pPr>
        <w:ind w:left="2880" w:hanging="360"/>
      </w:pPr>
    </w:lvl>
    <w:lvl w:ilvl="4" w:tplc="A43AF4A8">
      <w:start w:val="1"/>
      <w:numFmt w:val="lowerLetter"/>
      <w:lvlText w:val="%5."/>
      <w:lvlJc w:val="left"/>
      <w:pPr>
        <w:ind w:left="3600" w:hanging="360"/>
      </w:pPr>
    </w:lvl>
    <w:lvl w:ilvl="5" w:tplc="8FE4C1F4">
      <w:start w:val="1"/>
      <w:numFmt w:val="lowerRoman"/>
      <w:lvlText w:val="%6."/>
      <w:lvlJc w:val="right"/>
      <w:pPr>
        <w:ind w:left="4320" w:hanging="180"/>
      </w:pPr>
    </w:lvl>
    <w:lvl w:ilvl="6" w:tplc="2430B2DA">
      <w:start w:val="1"/>
      <w:numFmt w:val="decimal"/>
      <w:lvlText w:val="%7."/>
      <w:lvlJc w:val="left"/>
      <w:pPr>
        <w:ind w:left="5040" w:hanging="360"/>
      </w:pPr>
    </w:lvl>
    <w:lvl w:ilvl="7" w:tplc="D8A25AB2">
      <w:start w:val="1"/>
      <w:numFmt w:val="lowerLetter"/>
      <w:lvlText w:val="%8."/>
      <w:lvlJc w:val="left"/>
      <w:pPr>
        <w:ind w:left="5760" w:hanging="360"/>
      </w:pPr>
    </w:lvl>
    <w:lvl w:ilvl="8" w:tplc="D3C613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2045"/>
    <w:multiLevelType w:val="hybridMultilevel"/>
    <w:tmpl w:val="7982CD42"/>
    <w:lvl w:ilvl="0" w:tplc="DFA683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  <w:sz w:val="25"/>
        <w:szCs w:val="25"/>
      </w:rPr>
    </w:lvl>
    <w:lvl w:ilvl="1" w:tplc="639EFC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5E39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C4B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2634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18D5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E021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60B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1E77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F0955B5"/>
    <w:multiLevelType w:val="hybridMultilevel"/>
    <w:tmpl w:val="8814DF34"/>
    <w:lvl w:ilvl="0" w:tplc="64462CB2">
      <w:start w:val="1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0E04F5E">
      <w:start w:val="1"/>
      <w:numFmt w:val="bullet"/>
      <w:lvlText w:val="•"/>
      <w:lvlJc w:val="left"/>
      <w:pPr>
        <w:ind w:left="1081" w:hanging="216"/>
      </w:pPr>
      <w:rPr>
        <w:rFonts w:hint="default"/>
        <w:lang w:val="ru-RU" w:eastAsia="en-US" w:bidi="ar-SA"/>
      </w:rPr>
    </w:lvl>
    <w:lvl w:ilvl="2" w:tplc="4490C020">
      <w:start w:val="1"/>
      <w:numFmt w:val="bullet"/>
      <w:lvlText w:val="•"/>
      <w:lvlJc w:val="left"/>
      <w:pPr>
        <w:ind w:left="2063" w:hanging="216"/>
      </w:pPr>
      <w:rPr>
        <w:rFonts w:hint="default"/>
        <w:lang w:val="ru-RU" w:eastAsia="en-US" w:bidi="ar-SA"/>
      </w:rPr>
    </w:lvl>
    <w:lvl w:ilvl="3" w:tplc="03423DE4">
      <w:start w:val="1"/>
      <w:numFmt w:val="bullet"/>
      <w:lvlText w:val="•"/>
      <w:lvlJc w:val="left"/>
      <w:pPr>
        <w:ind w:left="3045" w:hanging="216"/>
      </w:pPr>
      <w:rPr>
        <w:rFonts w:hint="default"/>
        <w:lang w:val="ru-RU" w:eastAsia="en-US" w:bidi="ar-SA"/>
      </w:rPr>
    </w:lvl>
    <w:lvl w:ilvl="4" w:tplc="E4227506">
      <w:start w:val="1"/>
      <w:numFmt w:val="bullet"/>
      <w:lvlText w:val="•"/>
      <w:lvlJc w:val="left"/>
      <w:pPr>
        <w:ind w:left="4027" w:hanging="216"/>
      </w:pPr>
      <w:rPr>
        <w:rFonts w:hint="default"/>
        <w:lang w:val="ru-RU" w:eastAsia="en-US" w:bidi="ar-SA"/>
      </w:rPr>
    </w:lvl>
    <w:lvl w:ilvl="5" w:tplc="D39E0028">
      <w:start w:val="1"/>
      <w:numFmt w:val="bullet"/>
      <w:lvlText w:val="•"/>
      <w:lvlJc w:val="left"/>
      <w:pPr>
        <w:ind w:left="5009" w:hanging="216"/>
      </w:pPr>
      <w:rPr>
        <w:rFonts w:hint="default"/>
        <w:lang w:val="ru-RU" w:eastAsia="en-US" w:bidi="ar-SA"/>
      </w:rPr>
    </w:lvl>
    <w:lvl w:ilvl="6" w:tplc="4192FD92">
      <w:start w:val="1"/>
      <w:numFmt w:val="bullet"/>
      <w:lvlText w:val="•"/>
      <w:lvlJc w:val="left"/>
      <w:pPr>
        <w:ind w:left="5991" w:hanging="216"/>
      </w:pPr>
      <w:rPr>
        <w:rFonts w:hint="default"/>
        <w:lang w:val="ru-RU" w:eastAsia="en-US" w:bidi="ar-SA"/>
      </w:rPr>
    </w:lvl>
    <w:lvl w:ilvl="7" w:tplc="96B4226A">
      <w:start w:val="1"/>
      <w:numFmt w:val="bullet"/>
      <w:lvlText w:val="•"/>
      <w:lvlJc w:val="left"/>
      <w:pPr>
        <w:ind w:left="6973" w:hanging="216"/>
      </w:pPr>
      <w:rPr>
        <w:rFonts w:hint="default"/>
        <w:lang w:val="ru-RU" w:eastAsia="en-US" w:bidi="ar-SA"/>
      </w:rPr>
    </w:lvl>
    <w:lvl w:ilvl="8" w:tplc="B3E63318">
      <w:start w:val="1"/>
      <w:numFmt w:val="bullet"/>
      <w:lvlText w:val="•"/>
      <w:lvlJc w:val="left"/>
      <w:pPr>
        <w:ind w:left="7955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514B66F6"/>
    <w:multiLevelType w:val="multilevel"/>
    <w:tmpl w:val="2988A5E2"/>
    <w:lvl w:ilvl="0">
      <w:start w:val="11"/>
      <w:numFmt w:val="decimal"/>
      <w:lvlText w:val="%1"/>
      <w:lvlJc w:val="left"/>
      <w:pPr>
        <w:ind w:left="139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lvlText w:val="-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35" w:hanging="85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3" w:hanging="85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92" w:hanging="85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0" w:hanging="85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49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603F1A5E"/>
    <w:multiLevelType w:val="hybridMultilevel"/>
    <w:tmpl w:val="7AC2F13C"/>
    <w:lvl w:ilvl="0" w:tplc="10E6B336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ED86D72">
      <w:start w:val="1"/>
      <w:numFmt w:val="decimal"/>
      <w:lvlText w:val="%2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1728B144">
      <w:start w:val="1"/>
      <w:numFmt w:val="bullet"/>
      <w:lvlText w:val="•"/>
      <w:lvlJc w:val="left"/>
      <w:pPr>
        <w:ind w:left="1370" w:hanging="218"/>
      </w:pPr>
      <w:rPr>
        <w:rFonts w:hint="default"/>
        <w:lang w:val="ru-RU" w:eastAsia="en-US" w:bidi="ar-SA"/>
      </w:rPr>
    </w:lvl>
    <w:lvl w:ilvl="3" w:tplc="2CFC0710">
      <w:start w:val="1"/>
      <w:numFmt w:val="bullet"/>
      <w:lvlText w:val="•"/>
      <w:lvlJc w:val="left"/>
      <w:pPr>
        <w:ind w:left="2421" w:hanging="218"/>
      </w:pPr>
      <w:rPr>
        <w:rFonts w:hint="default"/>
        <w:lang w:val="ru-RU" w:eastAsia="en-US" w:bidi="ar-SA"/>
      </w:rPr>
    </w:lvl>
    <w:lvl w:ilvl="4" w:tplc="5B4A90FE">
      <w:start w:val="1"/>
      <w:numFmt w:val="bullet"/>
      <w:lvlText w:val="•"/>
      <w:lvlJc w:val="left"/>
      <w:pPr>
        <w:ind w:left="3471" w:hanging="218"/>
      </w:pPr>
      <w:rPr>
        <w:rFonts w:hint="default"/>
        <w:lang w:val="ru-RU" w:eastAsia="en-US" w:bidi="ar-SA"/>
      </w:rPr>
    </w:lvl>
    <w:lvl w:ilvl="5" w:tplc="075CAC80">
      <w:start w:val="1"/>
      <w:numFmt w:val="bullet"/>
      <w:lvlText w:val="•"/>
      <w:lvlJc w:val="left"/>
      <w:pPr>
        <w:ind w:left="4522" w:hanging="218"/>
      </w:pPr>
      <w:rPr>
        <w:rFonts w:hint="default"/>
        <w:lang w:val="ru-RU" w:eastAsia="en-US" w:bidi="ar-SA"/>
      </w:rPr>
    </w:lvl>
    <w:lvl w:ilvl="6" w:tplc="4A68F150">
      <w:start w:val="1"/>
      <w:numFmt w:val="bullet"/>
      <w:lvlText w:val="•"/>
      <w:lvlJc w:val="left"/>
      <w:pPr>
        <w:ind w:left="5572" w:hanging="218"/>
      </w:pPr>
      <w:rPr>
        <w:rFonts w:hint="default"/>
        <w:lang w:val="ru-RU" w:eastAsia="en-US" w:bidi="ar-SA"/>
      </w:rPr>
    </w:lvl>
    <w:lvl w:ilvl="7" w:tplc="38545232">
      <w:start w:val="1"/>
      <w:numFmt w:val="bullet"/>
      <w:lvlText w:val="•"/>
      <w:lvlJc w:val="left"/>
      <w:pPr>
        <w:ind w:left="6623" w:hanging="218"/>
      </w:pPr>
      <w:rPr>
        <w:rFonts w:hint="default"/>
        <w:lang w:val="ru-RU" w:eastAsia="en-US" w:bidi="ar-SA"/>
      </w:rPr>
    </w:lvl>
    <w:lvl w:ilvl="8" w:tplc="9F24A47E">
      <w:start w:val="1"/>
      <w:numFmt w:val="bullet"/>
      <w:lvlText w:val="•"/>
      <w:lvlJc w:val="left"/>
      <w:pPr>
        <w:ind w:left="7673" w:hanging="218"/>
      </w:pPr>
      <w:rPr>
        <w:rFonts w:hint="default"/>
        <w:lang w:val="ru-RU" w:eastAsia="en-US" w:bidi="ar-SA"/>
      </w:rPr>
    </w:lvl>
  </w:abstractNum>
  <w:abstractNum w:abstractNumId="13" w15:restartNumberingAfterBreak="0">
    <w:nsid w:val="73B945FE"/>
    <w:multiLevelType w:val="hybridMultilevel"/>
    <w:tmpl w:val="BED0D2C0"/>
    <w:lvl w:ilvl="0" w:tplc="A8CE6D0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1D327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A881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2447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E02E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C29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840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5E1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2A7B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13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DB"/>
    <w:rsid w:val="000277EC"/>
    <w:rsid w:val="00533D18"/>
    <w:rsid w:val="005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7050"/>
  <w15:docId w15:val="{6117300B-31DD-44AF-B45B-7D88C5A5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6">
    <w:name w:val="Основной текст 2 Знак"/>
    <w:basedOn w:val="a0"/>
    <w:link w:val="25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Pr>
      <w:color w:val="auto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semiHidden/>
    <w:rPr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11" w:lineRule="exact"/>
      <w:ind w:left="60"/>
      <w:jc w:val="center"/>
    </w:pPr>
    <w:rPr>
      <w:color w:val="auto"/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rPr>
      <w:rFonts w:ascii="Arial" w:hAnsi="Arial" w:cs="Arial"/>
      <w:color w:val="auto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ADD0-4599-4C0A-BA5D-53827EB4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11520</Characters>
  <Application>Microsoft Office Word</Application>
  <DocSecurity>0</DocSecurity>
  <Lines>96</Lines>
  <Paragraphs>27</Paragraphs>
  <ScaleCrop>false</ScaleCrop>
  <Company>АПР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Ковалева Ольга Владимировна</cp:lastModifiedBy>
  <cp:revision>15</cp:revision>
  <dcterms:created xsi:type="dcterms:W3CDTF">2025-11-19T14:04:00Z</dcterms:created>
  <dcterms:modified xsi:type="dcterms:W3CDTF">2025-12-04T14:11:00Z</dcterms:modified>
</cp:coreProperties>
</file>