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3220E9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</w:t>
      </w:r>
      <w:r w:rsidR="003220E9">
        <w:rPr>
          <w:rFonts w:ascii="Times New Roman" w:hAnsi="Times New Roman" w:cs="Times New Roman"/>
          <w:sz w:val="24"/>
          <w:szCs w:val="24"/>
        </w:rPr>
        <w:t>1</w:t>
      </w:r>
      <w:r w:rsidR="00282470">
        <w:rPr>
          <w:rFonts w:ascii="Times New Roman" w:hAnsi="Times New Roman" w:cs="Times New Roman"/>
          <w:sz w:val="24"/>
          <w:szCs w:val="24"/>
        </w:rPr>
        <w:t>5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8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282470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9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373237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373237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373237">
      <w:pPr>
        <w:jc w:val="center"/>
      </w:pPr>
    </w:p>
    <w:p w:rsidR="00373237" w:rsidRPr="006A0ADD" w:rsidRDefault="00373237" w:rsidP="00373237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373237">
      <w:pPr>
        <w:pStyle w:val="ConsPlusNormal"/>
        <w:widowControl/>
        <w:ind w:right="40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312C" w:rsidRDefault="0019312C" w:rsidP="0019312C">
      <w:pPr>
        <w:ind w:right="4819"/>
        <w:jc w:val="both"/>
      </w:pPr>
      <w:r w:rsidRPr="001C63F9">
        <w:t xml:space="preserve">Об </w:t>
      </w:r>
      <w:r>
        <w:t xml:space="preserve">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 собственности </w:t>
      </w:r>
      <w:r w:rsidRPr="001C63F9">
        <w:t>Печенгского муниципального округа</w:t>
      </w:r>
      <w:r>
        <w:t xml:space="preserve"> </w:t>
      </w:r>
    </w:p>
    <w:p w:rsidR="0019312C" w:rsidRPr="001C63F9" w:rsidRDefault="0019312C" w:rsidP="0019312C">
      <w:pPr>
        <w:ind w:right="4819"/>
        <w:jc w:val="both"/>
      </w:pPr>
    </w:p>
    <w:p w:rsidR="0019312C" w:rsidRPr="00504CC1" w:rsidRDefault="0019312C" w:rsidP="0019312C">
      <w:pPr>
        <w:spacing w:after="1" w:line="240" w:lineRule="atLeast"/>
        <w:ind w:firstLine="708"/>
        <w:jc w:val="both"/>
      </w:pPr>
      <w:proofErr w:type="gramStart"/>
      <w:r w:rsidRPr="00504CC1">
        <w:t>В соответствии с</w:t>
      </w:r>
      <w:r>
        <w:t xml:space="preserve"> пунктом 5 статьи 39.28 Земельного кодекса Российской Федерации, Федеральными законами от 25.10.2001 № 137-ФЗ «О введении в действие Земельного кодекса Российской Федерации», </w:t>
      </w:r>
      <w:r w:rsidRPr="00504CC1">
        <w:t xml:space="preserve">от 06.10.2003 </w:t>
      </w:r>
      <w:r>
        <w:t>№</w:t>
      </w:r>
      <w:hyperlink r:id="rId10" w:history="1">
        <w:r w:rsidRPr="00504CC1">
          <w:t xml:space="preserve"> 131-ФЗ</w:t>
        </w:r>
      </w:hyperlink>
      <w:r w:rsidRPr="00504CC1">
        <w:t xml:space="preserve"> </w:t>
      </w:r>
      <w:r>
        <w:t>«</w:t>
      </w:r>
      <w:r w:rsidRPr="00504CC1">
        <w:t>Об общих принципах организации местного самоуправления в Российской Федерации</w:t>
      </w:r>
      <w:r>
        <w:t>»</w:t>
      </w:r>
      <w:r w:rsidRPr="00504CC1">
        <w:t xml:space="preserve">, </w:t>
      </w:r>
      <w:r>
        <w:t>пунктом 2  постановления</w:t>
      </w:r>
      <w:r w:rsidRPr="00B124E8">
        <w:t xml:space="preserve"> Правительства Мурманской области от 29.02.2016 </w:t>
      </w:r>
      <w:r>
        <w:t>№</w:t>
      </w:r>
      <w:r w:rsidRPr="00B124E8">
        <w:t xml:space="preserve"> 83-ПП </w:t>
      </w:r>
      <w:r>
        <w:t>«</w:t>
      </w:r>
      <w:r w:rsidRPr="00B124E8">
        <w:t>Об утверждении Порядка определения размера платы за увеличение площади земельных участков, находящихся в частной собственности</w:t>
      </w:r>
      <w:proofErr w:type="gramEnd"/>
      <w:r w:rsidRPr="00B124E8">
        <w:t>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</w:t>
      </w:r>
      <w:r>
        <w:t xml:space="preserve">», </w:t>
      </w:r>
      <w:hyperlink r:id="rId11" w:history="1">
        <w:r w:rsidRPr="00504CC1">
          <w:t>Уставом</w:t>
        </w:r>
      </w:hyperlink>
      <w:r w:rsidRPr="00504CC1">
        <w:t xml:space="preserve"> </w:t>
      </w:r>
      <w:r>
        <w:t xml:space="preserve">Печенгского муниципального округа </w:t>
      </w:r>
    </w:p>
    <w:p w:rsidR="0019312C" w:rsidRPr="001C63F9" w:rsidRDefault="0019312C" w:rsidP="0019312C">
      <w:pPr>
        <w:autoSpaceDE w:val="0"/>
        <w:autoSpaceDN w:val="0"/>
        <w:adjustRightInd w:val="0"/>
        <w:ind w:firstLine="709"/>
        <w:jc w:val="both"/>
      </w:pPr>
    </w:p>
    <w:p w:rsidR="0019312C" w:rsidRPr="001C63F9" w:rsidRDefault="0019312C" w:rsidP="0019312C">
      <w:pPr>
        <w:widowControl w:val="0"/>
        <w:ind w:firstLine="709"/>
        <w:jc w:val="both"/>
      </w:pPr>
      <w:r w:rsidRPr="001C63F9">
        <w:t xml:space="preserve">Совет депутатов Печенгского муниципального округа </w:t>
      </w:r>
    </w:p>
    <w:p w:rsidR="0019312C" w:rsidRPr="001C63F9" w:rsidRDefault="0019312C" w:rsidP="0019312C">
      <w:pPr>
        <w:widowControl w:val="0"/>
        <w:jc w:val="both"/>
        <w:rPr>
          <w:b/>
        </w:rPr>
      </w:pPr>
    </w:p>
    <w:p w:rsidR="0019312C" w:rsidRPr="0044332B" w:rsidRDefault="0019312C" w:rsidP="0019312C">
      <w:pPr>
        <w:widowControl w:val="0"/>
        <w:jc w:val="both"/>
        <w:rPr>
          <w:b/>
          <w:sz w:val="28"/>
          <w:szCs w:val="28"/>
        </w:rPr>
      </w:pPr>
      <w:proofErr w:type="gramStart"/>
      <w:r w:rsidRPr="0044332B">
        <w:rPr>
          <w:b/>
          <w:sz w:val="28"/>
          <w:szCs w:val="28"/>
        </w:rPr>
        <w:t>Р</w:t>
      </w:r>
      <w:proofErr w:type="gramEnd"/>
      <w:r w:rsidRPr="0044332B">
        <w:rPr>
          <w:b/>
          <w:sz w:val="28"/>
          <w:szCs w:val="28"/>
        </w:rPr>
        <w:t xml:space="preserve"> Е Ш И Л:</w:t>
      </w:r>
    </w:p>
    <w:p w:rsidR="0019312C" w:rsidRDefault="0019312C" w:rsidP="0019312C">
      <w:pPr>
        <w:tabs>
          <w:tab w:val="left" w:pos="1134"/>
        </w:tabs>
        <w:ind w:firstLine="709"/>
        <w:jc w:val="both"/>
      </w:pPr>
    </w:p>
    <w:p w:rsidR="0019312C" w:rsidRPr="004E55A9" w:rsidRDefault="0019312C" w:rsidP="0019312C">
      <w:pPr>
        <w:ind w:firstLine="709"/>
        <w:jc w:val="both"/>
      </w:pPr>
      <w:r w:rsidRPr="004E55A9">
        <w:t xml:space="preserve">1. Утвердить </w:t>
      </w:r>
      <w:r>
        <w:t xml:space="preserve">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Pr="001C63F9">
        <w:t>Печенгского муниципального округа</w:t>
      </w:r>
      <w:r>
        <w:t>,</w:t>
      </w:r>
      <w:r w:rsidRPr="004E55A9">
        <w:t xml:space="preserve"> согласно приложению.</w:t>
      </w:r>
    </w:p>
    <w:p w:rsidR="0019312C" w:rsidRPr="004E55A9" w:rsidRDefault="0019312C" w:rsidP="0019312C">
      <w:pPr>
        <w:ind w:firstLine="709"/>
        <w:jc w:val="both"/>
      </w:pPr>
      <w:r w:rsidRPr="004E55A9">
        <w:t>2.  Настоящее решение вступает в силу со дня его опубликования в газете «Печенга» и подлежит размещению на сайте Печенгского муниципального округа http://pechengamr.gov-murman.ru/.</w:t>
      </w:r>
    </w:p>
    <w:p w:rsidR="0019312C" w:rsidRPr="001C63F9" w:rsidRDefault="0019312C" w:rsidP="0019312C">
      <w:pPr>
        <w:tabs>
          <w:tab w:val="left" w:pos="0"/>
          <w:tab w:val="left" w:pos="6237"/>
        </w:tabs>
        <w:jc w:val="both"/>
      </w:pPr>
    </w:p>
    <w:p w:rsidR="0019312C" w:rsidRPr="001C63F9" w:rsidRDefault="0019312C" w:rsidP="0019312C">
      <w:pPr>
        <w:tabs>
          <w:tab w:val="left" w:pos="0"/>
          <w:tab w:val="left" w:pos="6237"/>
        </w:tabs>
        <w:jc w:val="both"/>
      </w:pPr>
      <w:r w:rsidRPr="001C63F9">
        <w:t xml:space="preserve">Председатель  Совета депутатов </w:t>
      </w:r>
    </w:p>
    <w:p w:rsidR="0019312C" w:rsidRDefault="0019312C" w:rsidP="0019312C">
      <w:pPr>
        <w:tabs>
          <w:tab w:val="left" w:pos="0"/>
        </w:tabs>
        <w:jc w:val="both"/>
      </w:pPr>
      <w:r w:rsidRPr="001C63F9">
        <w:t xml:space="preserve">Печенгского муниципального округа                       </w:t>
      </w:r>
      <w:r>
        <w:t xml:space="preserve"> </w:t>
      </w:r>
      <w:r w:rsidRPr="001C63F9">
        <w:t xml:space="preserve">                                </w:t>
      </w:r>
      <w:r>
        <w:t xml:space="preserve">     </w:t>
      </w:r>
      <w:r w:rsidRPr="001C63F9">
        <w:t xml:space="preserve">        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lastRenderedPageBreak/>
        <w:t>Приложение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t>к решению Совета депутатов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t>Печенгского муниципального округа</w:t>
      </w:r>
    </w:p>
    <w:p w:rsidR="0019312C" w:rsidRPr="00FB5F50" w:rsidRDefault="0019312C" w:rsidP="0019312C">
      <w:pPr>
        <w:tabs>
          <w:tab w:val="left" w:pos="0"/>
          <w:tab w:val="left" w:pos="8160"/>
        </w:tabs>
        <w:jc w:val="right"/>
      </w:pPr>
      <w:r>
        <w:t xml:space="preserve">от_____________ № ______                  </w:t>
      </w:r>
    </w:p>
    <w:p w:rsidR="0019312C" w:rsidRPr="001C63F9" w:rsidRDefault="0019312C" w:rsidP="0019312C">
      <w:pPr>
        <w:widowControl w:val="0"/>
        <w:tabs>
          <w:tab w:val="left" w:pos="5670"/>
          <w:tab w:val="center" w:pos="5812"/>
        </w:tabs>
      </w:pPr>
    </w:p>
    <w:p w:rsidR="0019312C" w:rsidRPr="00923129" w:rsidRDefault="0019312C" w:rsidP="0019312C">
      <w:pPr>
        <w:widowControl w:val="0"/>
        <w:tabs>
          <w:tab w:val="left" w:pos="5670"/>
          <w:tab w:val="center" w:pos="5812"/>
        </w:tabs>
        <w:jc w:val="center"/>
        <w:rPr>
          <w:b/>
        </w:rPr>
      </w:pPr>
      <w:r w:rsidRPr="00923129">
        <w:rPr>
          <w:b/>
        </w:rPr>
        <w:t xml:space="preserve">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 </w:t>
      </w:r>
    </w:p>
    <w:p w:rsidR="0019312C" w:rsidRPr="0044332B" w:rsidRDefault="0019312C" w:rsidP="0019312C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Pr="0048261C">
        <w:t xml:space="preserve">Печенгского муниципального округа </w:t>
      </w:r>
      <w:r>
        <w:t>(далее - размер платы).</w:t>
      </w:r>
    </w:p>
    <w:p w:rsidR="0019312C" w:rsidRDefault="0019312C" w:rsidP="0019312C">
      <w:pPr>
        <w:spacing w:after="1"/>
        <w:ind w:firstLine="540"/>
        <w:jc w:val="both"/>
      </w:pPr>
      <w:r>
        <w:t>2. Размер платы рассчитывается Комитетом по управлению имуществом администрации Печенгского муниципального округа.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>3. Размер платы определяется как 15 процентов кадастровой стоимости земельного участка, находящегося в</w:t>
      </w:r>
      <w:r w:rsidRPr="0048261C">
        <w:t xml:space="preserve"> </w:t>
      </w:r>
      <w:r>
        <w:t xml:space="preserve">собственности </w:t>
      </w:r>
      <w:r w:rsidRPr="0048261C">
        <w:t>Печенгского муниципального округа</w:t>
      </w:r>
      <w:r>
        <w:t>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настоящего Порядка.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 xml:space="preserve">4. </w:t>
      </w:r>
      <w:proofErr w:type="gramStart"/>
      <w:r>
        <w:t>Размер платы в случае перераспределения земельных участков, находящихся в</w:t>
      </w:r>
      <w:r w:rsidRPr="0048261C">
        <w:t xml:space="preserve"> </w:t>
      </w:r>
      <w:r>
        <w:t xml:space="preserve">собственности </w:t>
      </w:r>
      <w:r w:rsidRPr="0048261C">
        <w:t>Печенгского муниципального округа</w:t>
      </w:r>
      <w:r>
        <w:t>,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подлежащей передаче в частную собственность в результате перераспределения  земельных участков.</w:t>
      </w:r>
      <w:proofErr w:type="gramEnd"/>
    </w:p>
    <w:p w:rsidR="0019312C" w:rsidRPr="007C3702" w:rsidRDefault="0019312C" w:rsidP="0019312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12C" w:rsidRPr="0019312C" w:rsidRDefault="0019312C" w:rsidP="0019312C">
      <w:pPr>
        <w:widowControl w:val="0"/>
        <w:ind w:right="141"/>
        <w:jc w:val="both"/>
      </w:pPr>
    </w:p>
    <w:p w:rsidR="000A4555" w:rsidRDefault="000A4555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Pr="0019312C" w:rsidRDefault="0019312C" w:rsidP="0019312C"/>
    <w:p w:rsidR="000A4555" w:rsidRPr="0019312C" w:rsidRDefault="000A4555" w:rsidP="0019312C"/>
    <w:p w:rsidR="0019312C" w:rsidRPr="0019312C" w:rsidRDefault="0019312C" w:rsidP="0019312C">
      <w:pPr>
        <w:pStyle w:val="ad"/>
        <w:spacing w:line="240" w:lineRule="auto"/>
        <w:ind w:left="0"/>
        <w:rPr>
          <w:b/>
          <w:bCs/>
        </w:rPr>
      </w:pPr>
      <w:r w:rsidRPr="0019312C">
        <w:rPr>
          <w:b/>
          <w:bCs/>
        </w:rPr>
        <w:t>ПОЯСНИТЕЛЬНАЯ ЗАПИСКА</w:t>
      </w:r>
    </w:p>
    <w:p w:rsidR="0019312C" w:rsidRPr="0019312C" w:rsidRDefault="0019312C" w:rsidP="0019312C">
      <w:pPr>
        <w:pStyle w:val="af"/>
        <w:spacing w:line="240" w:lineRule="auto"/>
        <w:rPr>
          <w:sz w:val="24"/>
        </w:rPr>
      </w:pPr>
      <w:r w:rsidRPr="0019312C">
        <w:rPr>
          <w:sz w:val="24"/>
        </w:rPr>
        <w:t>К ПРОЕКТУ РЕШЕНИЯ СОВЕТА ДЕПУТАТОВ ПЕЧЕНГСКОГО МУНИЦИПАЛЬНОГО ОКРУГА</w:t>
      </w:r>
    </w:p>
    <w:p w:rsidR="0019312C" w:rsidRPr="0019312C" w:rsidRDefault="0019312C" w:rsidP="0019312C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9312C">
        <w:rPr>
          <w:rFonts w:ascii="Times New Roman" w:hAnsi="Times New Roman" w:cs="Times New Roman"/>
          <w:sz w:val="24"/>
          <w:szCs w:val="24"/>
        </w:rPr>
        <w:t>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округа»</w:t>
      </w:r>
    </w:p>
    <w:p w:rsidR="0019312C" w:rsidRPr="0019312C" w:rsidRDefault="0019312C" w:rsidP="0019312C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12C" w:rsidRPr="0019312C" w:rsidRDefault="0019312C" w:rsidP="0019312C">
      <w:pPr>
        <w:pStyle w:val="a6"/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9312C">
        <w:rPr>
          <w:rFonts w:ascii="Times New Roman" w:hAnsi="Times New Roman"/>
          <w:bCs/>
          <w:sz w:val="24"/>
          <w:szCs w:val="24"/>
        </w:rPr>
        <w:t xml:space="preserve">1. </w:t>
      </w:r>
      <w:proofErr w:type="gramStart"/>
      <w:r w:rsidRPr="0019312C">
        <w:rPr>
          <w:rFonts w:ascii="Times New Roman" w:hAnsi="Times New Roman"/>
          <w:bCs/>
          <w:sz w:val="24"/>
          <w:szCs w:val="24"/>
        </w:rPr>
        <w:t xml:space="preserve">Предлагаемый на рассмотрение проект решения разработан на основании предложения прокуратуры Печенгского района, в соответствии с </w:t>
      </w:r>
      <w:r w:rsidRPr="0019312C">
        <w:rPr>
          <w:rFonts w:ascii="Times New Roman" w:hAnsi="Times New Roman"/>
          <w:sz w:val="24"/>
          <w:szCs w:val="24"/>
        </w:rPr>
        <w:t>пунктом 5 статьи 39.28 Земельного кодекса Российской Федерации, Федеральными законами от 25.10.2001 № 137-ФЗ «О введении в действие Земельного кодекса Российской Федерации», от 06.10.2003        №</w:t>
      </w:r>
      <w:hyperlink r:id="rId12" w:history="1">
        <w:r w:rsidRPr="0019312C">
          <w:rPr>
            <w:rFonts w:ascii="Times New Roman" w:hAnsi="Times New Roman"/>
            <w:sz w:val="24"/>
            <w:szCs w:val="24"/>
          </w:rPr>
          <w:t xml:space="preserve"> 131-ФЗ</w:t>
        </w:r>
      </w:hyperlink>
      <w:r w:rsidRPr="0019312C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пунктом 2  постановления Правительства Мурманской области от 29.02.2016    № 83-ПП «Об утверждении Порядка</w:t>
      </w:r>
      <w:proofErr w:type="gramEnd"/>
      <w:r w:rsidRPr="0019312C">
        <w:rPr>
          <w:rFonts w:ascii="Times New Roman" w:hAnsi="Times New Roman"/>
          <w:sz w:val="24"/>
          <w:szCs w:val="24"/>
        </w:rPr>
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области», </w:t>
      </w:r>
      <w:hyperlink r:id="rId13" w:history="1">
        <w:r w:rsidRPr="0019312C">
          <w:rPr>
            <w:rFonts w:ascii="Times New Roman" w:hAnsi="Times New Roman"/>
            <w:sz w:val="24"/>
            <w:szCs w:val="24"/>
          </w:rPr>
          <w:t>Уставом</w:t>
        </w:r>
      </w:hyperlink>
      <w:r w:rsidRPr="0019312C">
        <w:rPr>
          <w:rFonts w:ascii="Times New Roman" w:hAnsi="Times New Roman"/>
          <w:sz w:val="24"/>
          <w:szCs w:val="24"/>
        </w:rPr>
        <w:t xml:space="preserve"> Печенгского муниципального округа.</w:t>
      </w:r>
    </w:p>
    <w:p w:rsidR="0019312C" w:rsidRPr="0019312C" w:rsidRDefault="0019312C" w:rsidP="0019312C">
      <w:pPr>
        <w:ind w:firstLine="540"/>
        <w:jc w:val="both"/>
      </w:pPr>
      <w:r w:rsidRPr="0019312C">
        <w:t xml:space="preserve">  Статьей 39.28 Земельного кодекса РФ установлены случаи и основания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 </w:t>
      </w:r>
      <w:proofErr w:type="gramStart"/>
      <w:r w:rsidRPr="0019312C">
        <w:t>В пункте 5 данной статьи указано, что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муниципальной собственности, осуществляется за плату, размер которой определяется в порядке, установленном органом местного самоуправления, в отношении земельных участков, находящихся в муниципальной собственности.</w:t>
      </w:r>
      <w:proofErr w:type="gramEnd"/>
    </w:p>
    <w:p w:rsidR="0019312C" w:rsidRPr="0019312C" w:rsidRDefault="0019312C" w:rsidP="0019312C">
      <w:pPr>
        <w:ind w:firstLine="540"/>
        <w:jc w:val="both"/>
      </w:pPr>
      <w:r w:rsidRPr="0019312C">
        <w:t xml:space="preserve">  </w:t>
      </w:r>
      <w:proofErr w:type="gramStart"/>
      <w:r w:rsidRPr="0019312C">
        <w:t>Пунктом 2 постановления Правительства Мурманской области от 29.02.2016 № 83-ПП 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области» рекомендовано органам местного самоуправления муниципальных образований Мурманской области утвердить муниципальные</w:t>
      </w:r>
      <w:proofErr w:type="gramEnd"/>
      <w:r w:rsidRPr="0019312C">
        <w:t xml:space="preserve"> правовые акты, предусматривающие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собственности.</w:t>
      </w:r>
    </w:p>
    <w:p w:rsidR="0019312C" w:rsidRPr="0019312C" w:rsidRDefault="0019312C" w:rsidP="0019312C">
      <w:pPr>
        <w:ind w:firstLine="709"/>
        <w:jc w:val="both"/>
      </w:pPr>
      <w:r w:rsidRPr="0019312C">
        <w:t xml:space="preserve">2. </w:t>
      </w:r>
      <w:r w:rsidRPr="0019312C">
        <w:rPr>
          <w:bCs/>
        </w:rPr>
        <w:t xml:space="preserve"> </w:t>
      </w:r>
      <w:r w:rsidRPr="0019312C">
        <w:t xml:space="preserve">Настоящее решение вступает в силу со дня его опубликования в газете «Печенга» и подлежит размещению на сайте Печенгского муниципального округа </w:t>
      </w:r>
      <w:hyperlink r:id="rId14" w:history="1">
        <w:r w:rsidRPr="0019312C">
          <w:rPr>
            <w:rStyle w:val="a3"/>
          </w:rPr>
          <w:t>http://pechengamr.gov-murman.ru/</w:t>
        </w:r>
      </w:hyperlink>
      <w:r w:rsidRPr="0019312C">
        <w:t>.</w:t>
      </w:r>
    </w:p>
    <w:p w:rsidR="0019312C" w:rsidRPr="0019312C" w:rsidRDefault="0019312C" w:rsidP="0019312C">
      <w:pPr>
        <w:ind w:firstLine="709"/>
        <w:jc w:val="both"/>
      </w:pPr>
      <w:r w:rsidRPr="0019312C">
        <w:t>3. Настоящее решение размещено на антикоррупционную экспертизу 30.05.2022 и оценку регулирующего воздействия 01.06.2022.</w:t>
      </w:r>
    </w:p>
    <w:p w:rsidR="0019312C" w:rsidRPr="0019312C" w:rsidRDefault="0019312C" w:rsidP="0019312C">
      <w:pPr>
        <w:pStyle w:val="ab"/>
        <w:spacing w:after="0"/>
        <w:ind w:firstLine="709"/>
      </w:pPr>
      <w:r w:rsidRPr="0019312C">
        <w:t xml:space="preserve">4.  </w:t>
      </w:r>
      <w:r w:rsidRPr="0019312C">
        <w:rPr>
          <w:color w:val="000000"/>
          <w:spacing w:val="1"/>
        </w:rPr>
        <w:t>Принятие данного решения не повлечет отмену (изменения) нормативно-правовых актов Печенгского муниципального округа.</w:t>
      </w:r>
    </w:p>
    <w:p w:rsidR="0019312C" w:rsidRPr="005B0AFB" w:rsidRDefault="0019312C" w:rsidP="0019312C">
      <w:pPr>
        <w:shd w:val="clear" w:color="auto" w:fill="FFFFFF"/>
        <w:ind w:left="24" w:firstLine="709"/>
        <w:jc w:val="both"/>
      </w:pPr>
      <w:r w:rsidRPr="0019312C">
        <w:rPr>
          <w:color w:val="000000"/>
          <w:spacing w:val="1"/>
        </w:rPr>
        <w:t>5.  В</w:t>
      </w:r>
      <w:r w:rsidRPr="0019312C">
        <w:t xml:space="preserve"> случае перераспределения земельных участков, находящихся в собственности Печенгского муниципального округа, в целях последующего изъятия подлежащих образованию земельных участков для муниципальных нужд потребуется расходование средств местного бюджета на оценку рыночной стоимости части земельного участка, подлежащей передаче в частную собственность в результате пе</w:t>
      </w:r>
      <w:r>
        <w:t xml:space="preserve">рераспределения  земельных участков.  </w:t>
      </w:r>
    </w:p>
    <w:p w:rsidR="0019312C" w:rsidRDefault="0019312C" w:rsidP="0019312C">
      <w:pPr>
        <w:shd w:val="clear" w:color="auto" w:fill="FFFFFF"/>
        <w:jc w:val="both"/>
        <w:rPr>
          <w:color w:val="000000"/>
          <w:spacing w:val="1"/>
        </w:rPr>
      </w:pPr>
      <w:r>
        <w:t xml:space="preserve"> </w:t>
      </w: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19312C" w:rsidRPr="0019312C">
        <w:t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</w:t>
      </w:r>
      <w:r w:rsidRPr="00B938FC">
        <w:rPr>
          <w:rFonts w:ascii="Times New Roman" w:hAnsi="Times New Roman" w:cs="Times New Roman"/>
          <w:sz w:val="24"/>
          <w:szCs w:val="24"/>
        </w:rPr>
        <w:lastRenderedPageBreak/>
        <w:t>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1239C7"/>
    <w:rsid w:val="00133AF3"/>
    <w:rsid w:val="00170F9F"/>
    <w:rsid w:val="0019312C"/>
    <w:rsid w:val="001A002F"/>
    <w:rsid w:val="001B05FC"/>
    <w:rsid w:val="001E1DB4"/>
    <w:rsid w:val="00200303"/>
    <w:rsid w:val="0024129F"/>
    <w:rsid w:val="002428E4"/>
    <w:rsid w:val="00282470"/>
    <w:rsid w:val="002863B3"/>
    <w:rsid w:val="002973AE"/>
    <w:rsid w:val="002A6413"/>
    <w:rsid w:val="003220E9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engamr.gov-murman.ru" TargetMode="External"/><Relationship Id="rId13" Type="http://schemas.openxmlformats.org/officeDocument/2006/relationships/hyperlink" Target="consultantplus://offline/ref=F502E02D8571961DB7BF15C6B1C56F2002FBC419A481AC99F7335081EBF95AB5F3292419A0BDFEB7B56C66480B1260C211j0x0L" TargetMode="External"/><Relationship Id="rId3" Type="http://schemas.openxmlformats.org/officeDocument/2006/relationships/styles" Target="style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consultantplus://offline/ref=F502E02D8571961DB7BF0BCBA7A9312501F09F1CA683AFCBAE6156D6B4A95CE0A1697A40F1FCB5BAB1777A480Dj0x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02E02D8571961DB7BF15C6B1C56F2002FBC419A481AC99F7335081EBF95AB5F3292419A0BDFEB7B56C66480B1260C211j0x0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502E02D8571961DB7BF0BCBA7A9312501F09F1CA683AFCBAE6156D6B4A95CE0A1697A40F1FCB5BAB1777A480Dj0x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chengamr.gov-murman.ru/" TargetMode="External"/><Relationship Id="rId14" Type="http://schemas.openxmlformats.org/officeDocument/2006/relationships/hyperlink" Target="http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FE5D-F841-489F-925E-3A380DEE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3</cp:revision>
  <cp:lastPrinted>2022-06-08T07:46:00Z</cp:lastPrinted>
  <dcterms:created xsi:type="dcterms:W3CDTF">2022-06-07T12:47:00Z</dcterms:created>
  <dcterms:modified xsi:type="dcterms:W3CDTF">2022-06-08T07:46:00Z</dcterms:modified>
</cp:coreProperties>
</file>