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EE" w:rsidRDefault="00811DEE" w:rsidP="00811DEE">
      <w:pPr>
        <w:widowControl w:val="0"/>
        <w:jc w:val="both"/>
        <w:rPr>
          <w:b/>
        </w:rPr>
      </w:pPr>
    </w:p>
    <w:p w:rsidR="00811DEE" w:rsidRDefault="00811DEE" w:rsidP="00811DEE">
      <w:pPr>
        <w:widowControl w:val="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C912B1" wp14:editId="24DEC5A7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Default="00811DEE" w:rsidP="00811DEE">
      <w:pPr>
        <w:widowControl w:val="0"/>
        <w:jc w:val="center"/>
        <w:rPr>
          <w:b/>
          <w:sz w:val="28"/>
        </w:rPr>
      </w:pPr>
    </w:p>
    <w:p w:rsidR="00811DEE" w:rsidRPr="00015B83" w:rsidRDefault="00811DEE" w:rsidP="00811DEE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11DEE" w:rsidRDefault="00811DEE" w:rsidP="00811DEE">
      <w:pPr>
        <w:widowControl w:val="0"/>
        <w:jc w:val="center"/>
        <w:rPr>
          <w:b/>
          <w:sz w:val="16"/>
          <w:szCs w:val="16"/>
        </w:rPr>
      </w:pPr>
    </w:p>
    <w:p w:rsidR="00811DEE" w:rsidRDefault="00811DEE" w:rsidP="00811DEE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11DEE" w:rsidRPr="00811DEE" w:rsidRDefault="00811DEE" w:rsidP="00811DEE">
      <w:pPr>
        <w:widowControl w:val="0"/>
        <w:jc w:val="center"/>
      </w:pPr>
    </w:p>
    <w:p w:rsidR="00811DEE" w:rsidRPr="00811DEE" w:rsidRDefault="00811DEE" w:rsidP="00811DEE">
      <w:pPr>
        <w:widowControl w:val="0"/>
        <w:jc w:val="center"/>
      </w:pPr>
    </w:p>
    <w:p w:rsidR="00811DEE" w:rsidRPr="00811DEE" w:rsidRDefault="00811DEE" w:rsidP="00811DEE">
      <w:pPr>
        <w:widowControl w:val="0"/>
        <w:jc w:val="both"/>
        <w:rPr>
          <w:b/>
        </w:rPr>
      </w:pPr>
      <w:r w:rsidRPr="00811DEE">
        <w:rPr>
          <w:b/>
        </w:rPr>
        <w:t xml:space="preserve">от </w:t>
      </w:r>
      <w:r w:rsidR="005B7876">
        <w:rPr>
          <w:b/>
        </w:rPr>
        <w:t xml:space="preserve">02.11.2021 </w:t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</w:r>
      <w:r w:rsidR="005B7876">
        <w:rPr>
          <w:b/>
        </w:rPr>
        <w:tab/>
        <w:t xml:space="preserve">            </w:t>
      </w:r>
      <w:r w:rsidRPr="00811DEE">
        <w:rPr>
          <w:b/>
        </w:rPr>
        <w:t xml:space="preserve"> № </w:t>
      </w:r>
      <w:r w:rsidR="005B7876">
        <w:rPr>
          <w:b/>
        </w:rPr>
        <w:t>1192</w:t>
      </w:r>
    </w:p>
    <w:p w:rsidR="00811DEE" w:rsidRDefault="00811DEE" w:rsidP="00811DEE">
      <w:pPr>
        <w:widowControl w:val="0"/>
        <w:jc w:val="center"/>
        <w:rPr>
          <w:b/>
          <w:sz w:val="28"/>
        </w:rPr>
      </w:pPr>
      <w:r w:rsidRPr="00811DEE">
        <w:rPr>
          <w:b/>
        </w:rPr>
        <w:t>п.г.т. Никель</w:t>
      </w:r>
    </w:p>
    <w:p w:rsidR="00811DEE" w:rsidRPr="00811DEE" w:rsidRDefault="00811DEE" w:rsidP="00811DEE">
      <w:pPr>
        <w:widowControl w:val="0"/>
        <w:jc w:val="both"/>
        <w:rPr>
          <w:b/>
        </w:rPr>
      </w:pPr>
    </w:p>
    <w:p w:rsidR="00811DEE" w:rsidRPr="00811DEE" w:rsidRDefault="00811DEE" w:rsidP="00811DEE">
      <w:pPr>
        <w:widowControl w:val="0"/>
        <w:jc w:val="both"/>
        <w:rPr>
          <w:b/>
        </w:rPr>
      </w:pPr>
    </w:p>
    <w:p w:rsidR="00CD464E" w:rsidRPr="00811DEE" w:rsidRDefault="00CD464E" w:rsidP="00811DEE">
      <w:pPr>
        <w:shd w:val="clear" w:color="auto" w:fill="FFFFFF"/>
        <w:tabs>
          <w:tab w:val="left" w:pos="9781"/>
        </w:tabs>
        <w:ind w:right="27"/>
        <w:jc w:val="center"/>
        <w:rPr>
          <w:b/>
          <w:sz w:val="20"/>
          <w:szCs w:val="20"/>
        </w:rPr>
      </w:pPr>
      <w:r w:rsidRPr="00811DEE">
        <w:rPr>
          <w:b/>
          <w:sz w:val="20"/>
          <w:szCs w:val="20"/>
        </w:rPr>
        <w:t xml:space="preserve">Об основных направлениях бюджетной и налоговой политики </w:t>
      </w:r>
      <w:r w:rsidR="00811DEE">
        <w:rPr>
          <w:b/>
          <w:sz w:val="20"/>
          <w:szCs w:val="20"/>
        </w:rPr>
        <w:br/>
      </w:r>
      <w:r w:rsidRPr="00811DEE">
        <w:rPr>
          <w:b/>
          <w:sz w:val="20"/>
          <w:szCs w:val="20"/>
        </w:rPr>
        <w:t>Печенгск</w:t>
      </w:r>
      <w:r w:rsidR="00F8536B" w:rsidRPr="00811DEE">
        <w:rPr>
          <w:b/>
          <w:sz w:val="20"/>
          <w:szCs w:val="20"/>
        </w:rPr>
        <w:t xml:space="preserve">ого </w:t>
      </w:r>
      <w:r w:rsidRPr="00811DEE">
        <w:rPr>
          <w:b/>
          <w:sz w:val="20"/>
          <w:szCs w:val="20"/>
        </w:rPr>
        <w:t>муниципальн</w:t>
      </w:r>
      <w:r w:rsidR="00F8536B" w:rsidRPr="00811DEE">
        <w:rPr>
          <w:b/>
          <w:sz w:val="20"/>
          <w:szCs w:val="20"/>
        </w:rPr>
        <w:t>ого</w:t>
      </w:r>
      <w:r w:rsidRPr="00811DEE">
        <w:rPr>
          <w:b/>
          <w:sz w:val="20"/>
          <w:szCs w:val="20"/>
        </w:rPr>
        <w:t xml:space="preserve"> округ</w:t>
      </w:r>
      <w:r w:rsidR="00F8536B" w:rsidRPr="00811DEE">
        <w:rPr>
          <w:b/>
          <w:sz w:val="20"/>
          <w:szCs w:val="20"/>
        </w:rPr>
        <w:t>а</w:t>
      </w:r>
      <w:r w:rsidRPr="00811DEE">
        <w:rPr>
          <w:b/>
          <w:sz w:val="20"/>
          <w:szCs w:val="20"/>
        </w:rPr>
        <w:t xml:space="preserve"> на 2022 год и плановый период 2023 и 2024 годов</w:t>
      </w:r>
    </w:p>
    <w:p w:rsidR="00960F47" w:rsidRPr="00811DEE" w:rsidRDefault="00960F47" w:rsidP="00811DEE">
      <w:pPr>
        <w:pStyle w:val="a4"/>
        <w:rPr>
          <w:sz w:val="24"/>
        </w:rPr>
      </w:pPr>
    </w:p>
    <w:p w:rsidR="00811DEE" w:rsidRPr="00811DEE" w:rsidRDefault="00811DEE" w:rsidP="00811DEE">
      <w:pPr>
        <w:pStyle w:val="a4"/>
        <w:rPr>
          <w:sz w:val="24"/>
        </w:rPr>
      </w:pPr>
    </w:p>
    <w:p w:rsidR="00CD464E" w:rsidRPr="00811DEE" w:rsidRDefault="00CD464E" w:rsidP="00811D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811DEE">
        <w:t>В целях составления проекта решения Совета депутатов Печенгского муниципального округа «О бюджете округа на 2022 год и на плановый период 2023- 2024 годов», руководствуясь положениями Послания Президента Российской Федерации Федеральному собранию от 21.04.2021, Указами Президента Российской Федерации                   от 07.05.2012 № 597, от 07.05.2018 № 204, от 21.07.2020 № 474, Бюджетным кодексом Российской Федерации, Основными направлениями налоговой политики Мурманской области на 2022 год и</w:t>
      </w:r>
      <w:proofErr w:type="gramEnd"/>
      <w:r w:rsidRPr="00811DEE">
        <w:t xml:space="preserve"> плановый период 2023 и 2024 годов, утвержденными постановлением Правительства Мурманской области от 29.09.2021 № 702-ПП, </w:t>
      </w:r>
      <w:r w:rsidRPr="00C224B4">
        <w:t xml:space="preserve">Основными направлениями бюджетной политики Мурманской области на 2022 год и </w:t>
      </w:r>
      <w:proofErr w:type="gramStart"/>
      <w:r w:rsidRPr="00C224B4">
        <w:t>на</w:t>
      </w:r>
      <w:proofErr w:type="gramEnd"/>
      <w:r w:rsidRPr="00C224B4">
        <w:t xml:space="preserve"> плановый период 2023 и 2024 годов, </w:t>
      </w:r>
      <w:proofErr w:type="gramStart"/>
      <w:r w:rsidRPr="00C224B4">
        <w:t>утвержденными</w:t>
      </w:r>
      <w:proofErr w:type="gramEnd"/>
      <w:r w:rsidRPr="00C224B4">
        <w:t xml:space="preserve"> постановлением Правительства Мурманской области от </w:t>
      </w:r>
      <w:r w:rsidR="00C224B4" w:rsidRPr="00C224B4">
        <w:t>27</w:t>
      </w:r>
      <w:r w:rsidRPr="00C224B4">
        <w:t>.</w:t>
      </w:r>
      <w:r w:rsidR="00C224B4" w:rsidRPr="00C224B4">
        <w:t>10</w:t>
      </w:r>
      <w:r w:rsidRPr="00C224B4">
        <w:t>.202</w:t>
      </w:r>
      <w:r w:rsidR="00C224B4" w:rsidRPr="00C224B4">
        <w:t>1</w:t>
      </w:r>
      <w:r w:rsidRPr="00C224B4">
        <w:t xml:space="preserve"> № 782-ПП, Положением о бюджетном процессе в Печенгском муниципальном округе, утвержденным</w:t>
      </w:r>
      <w:r w:rsidRPr="00811DEE">
        <w:t xml:space="preserve"> решением Совета депутатов Печенгского муниципального округа от 23.10.2020 № 41, а также с учетом прогноза социально-экономического развития муниципального образования Печенгский муниципальный округ на 2022-2024 годы,</w:t>
      </w:r>
    </w:p>
    <w:p w:rsidR="00960F47" w:rsidRPr="00811DEE" w:rsidRDefault="00960F47" w:rsidP="00811DEE">
      <w:pPr>
        <w:pStyle w:val="a4"/>
        <w:ind w:firstLine="709"/>
        <w:rPr>
          <w:sz w:val="24"/>
        </w:rPr>
      </w:pPr>
    </w:p>
    <w:p w:rsidR="00960F47" w:rsidRPr="00811DEE" w:rsidRDefault="00960F47" w:rsidP="00811DEE">
      <w:pPr>
        <w:pStyle w:val="a4"/>
        <w:rPr>
          <w:b/>
          <w:sz w:val="24"/>
        </w:rPr>
      </w:pPr>
      <w:r w:rsidRPr="00811DEE">
        <w:rPr>
          <w:b/>
          <w:sz w:val="24"/>
        </w:rPr>
        <w:t>ПОСТАНОВЛЯЮ:</w:t>
      </w:r>
    </w:p>
    <w:p w:rsidR="00960F47" w:rsidRPr="00811DEE" w:rsidRDefault="00960F47" w:rsidP="00811DEE">
      <w:pPr>
        <w:pStyle w:val="a4"/>
        <w:ind w:firstLine="720"/>
        <w:rPr>
          <w:sz w:val="24"/>
        </w:rPr>
      </w:pPr>
    </w:p>
    <w:p w:rsidR="00F8536B" w:rsidRPr="00811DEE" w:rsidRDefault="00960F47" w:rsidP="00811DEE">
      <w:pPr>
        <w:tabs>
          <w:tab w:val="left" w:pos="993"/>
        </w:tabs>
        <w:ind w:right="-5" w:firstLine="720"/>
        <w:jc w:val="both"/>
        <w:rPr>
          <w:bCs/>
        </w:rPr>
      </w:pPr>
      <w:r w:rsidRPr="00811DEE">
        <w:t>1.</w:t>
      </w:r>
      <w:r w:rsidR="00F8536B" w:rsidRPr="00811DEE">
        <w:tab/>
      </w:r>
      <w:r w:rsidR="00811DEE">
        <w:t xml:space="preserve"> </w:t>
      </w:r>
      <w:r w:rsidR="00F8536B" w:rsidRPr="00811DEE">
        <w:rPr>
          <w:bCs/>
        </w:rPr>
        <w:t>Утвердить основные направления бюджетной и налоговой политики  Печенгского муниципального округа на 2022 год и плановый период 2023 и 2024 годов согласно приложению к настоящему постановлению.</w:t>
      </w:r>
    </w:p>
    <w:p w:rsidR="00F8536B" w:rsidRPr="00811DEE" w:rsidRDefault="00F8536B" w:rsidP="00811DEE">
      <w:pPr>
        <w:tabs>
          <w:tab w:val="left" w:pos="993"/>
        </w:tabs>
        <w:ind w:right="-5" w:firstLine="720"/>
        <w:jc w:val="both"/>
        <w:rPr>
          <w:bCs/>
        </w:rPr>
      </w:pPr>
      <w:r w:rsidRPr="00811DEE">
        <w:rPr>
          <w:bCs/>
        </w:rPr>
        <w:t>2.</w:t>
      </w:r>
      <w:r w:rsidRPr="00811DEE">
        <w:rPr>
          <w:bCs/>
        </w:rPr>
        <w:tab/>
      </w:r>
      <w:r w:rsidR="00811DEE">
        <w:rPr>
          <w:bCs/>
        </w:rPr>
        <w:t xml:space="preserve"> </w:t>
      </w:r>
      <w:r w:rsidRPr="00811DEE">
        <w:rPr>
          <w:bCs/>
        </w:rPr>
        <w:t>Главным администраторам, главным распорядителям, распорядителям, получателям средств бюджета Печенгского муниципального округа, структурным подразделениям администрации Печенгского муниципального округа в своей деятельности руководствоваться настоящим постановлением.</w:t>
      </w:r>
    </w:p>
    <w:p w:rsidR="00F8536B" w:rsidRPr="00811DEE" w:rsidRDefault="001A32F0" w:rsidP="00811DEE">
      <w:pPr>
        <w:tabs>
          <w:tab w:val="left" w:pos="993"/>
        </w:tabs>
        <w:ind w:right="-5" w:firstLine="720"/>
        <w:jc w:val="both"/>
      </w:pPr>
      <w:r w:rsidRPr="00811DEE">
        <w:t>3.</w:t>
      </w:r>
      <w:r w:rsidRPr="00811DEE">
        <w:tab/>
      </w:r>
      <w:r w:rsidR="00811DEE">
        <w:t xml:space="preserve"> </w:t>
      </w:r>
      <w:r w:rsidR="000265B6" w:rsidRPr="00811DEE">
        <w:t xml:space="preserve">Признать утратившим силу постановление администрации Печенгского района от </w:t>
      </w:r>
      <w:r w:rsidR="00F8536B" w:rsidRPr="00811DEE">
        <w:t>20.11.2020</w:t>
      </w:r>
      <w:r w:rsidR="000265B6" w:rsidRPr="00811DEE">
        <w:t xml:space="preserve"> № </w:t>
      </w:r>
      <w:r w:rsidR="00F8536B" w:rsidRPr="00811DEE">
        <w:t>1181</w:t>
      </w:r>
      <w:r w:rsidR="00932613" w:rsidRPr="00811DEE">
        <w:t xml:space="preserve"> «</w:t>
      </w:r>
      <w:r w:rsidR="00F8536B" w:rsidRPr="00811DEE">
        <w:t>Об основных направлениях бюджетной и налоговой политики муниципального образования Печенгский муниципальный округ на 2021 год и плановый период 2022 и 2023 годов».</w:t>
      </w:r>
    </w:p>
    <w:p w:rsidR="000F5F7F" w:rsidRDefault="00F8536B" w:rsidP="00811DEE">
      <w:pPr>
        <w:tabs>
          <w:tab w:val="left" w:pos="993"/>
        </w:tabs>
        <w:ind w:right="-5" w:firstLine="720"/>
        <w:jc w:val="both"/>
      </w:pPr>
      <w:r w:rsidRPr="00811DEE">
        <w:lastRenderedPageBreak/>
        <w:t>4.</w:t>
      </w:r>
      <w:r w:rsidRPr="00811DEE">
        <w:tab/>
      </w:r>
      <w:r w:rsidR="00811DEE">
        <w:t xml:space="preserve"> </w:t>
      </w:r>
      <w:r w:rsidR="00C544CE" w:rsidRPr="00811DEE">
        <w:rPr>
          <w:color w:val="000000"/>
        </w:rPr>
        <w:t xml:space="preserve">Настоящее постановление вступает в силу после его опубликования </w:t>
      </w:r>
      <w:r w:rsidR="00C544CE" w:rsidRPr="00811DEE">
        <w:t>в газете «Печенга»</w:t>
      </w:r>
      <w:r w:rsidR="000F5F7F">
        <w:t>.</w:t>
      </w:r>
    </w:p>
    <w:p w:rsidR="00AB3436" w:rsidRPr="00811DEE" w:rsidRDefault="000F5F7F" w:rsidP="00811DEE">
      <w:pPr>
        <w:tabs>
          <w:tab w:val="left" w:pos="993"/>
        </w:tabs>
        <w:ind w:right="-5" w:firstLine="720"/>
        <w:jc w:val="both"/>
        <w:rPr>
          <w:rFonts w:eastAsia="Calibri"/>
          <w:color w:val="0000FF"/>
          <w:u w:val="single"/>
        </w:rPr>
      </w:pPr>
      <w:r>
        <w:t xml:space="preserve">5. </w:t>
      </w:r>
      <w:r w:rsidRPr="00811DEE">
        <w:rPr>
          <w:color w:val="000000"/>
        </w:rPr>
        <w:t xml:space="preserve">Настоящее постановление </w:t>
      </w:r>
      <w:r w:rsidR="00AB3436" w:rsidRPr="00811DEE">
        <w:t xml:space="preserve">подлежит размещению </w:t>
      </w:r>
      <w:r w:rsidR="00C544CE" w:rsidRPr="00811DEE">
        <w:t xml:space="preserve">на </w:t>
      </w:r>
      <w:r w:rsidR="00F76550" w:rsidRPr="00811DEE">
        <w:t xml:space="preserve">официальном </w:t>
      </w:r>
      <w:r w:rsidR="00C544CE" w:rsidRPr="00811DEE">
        <w:t>сайте Печенгского муниципального округа</w:t>
      </w:r>
      <w:r w:rsidR="00C544CE" w:rsidRPr="00811DEE">
        <w:rPr>
          <w:rFonts w:eastAsia="Calibri"/>
        </w:rPr>
        <w:t xml:space="preserve"> </w:t>
      </w:r>
      <w:hyperlink r:id="rId8" w:history="1">
        <w:r w:rsidR="00C544CE" w:rsidRPr="00811DEE">
          <w:rPr>
            <w:rFonts w:eastAsia="Calibri"/>
            <w:color w:val="0000FF"/>
            <w:u w:val="single"/>
          </w:rPr>
          <w:t>https://pechengamr.gov-murman.ru/</w:t>
        </w:r>
      </w:hyperlink>
      <w:r w:rsidR="00C544CE" w:rsidRPr="00811DEE">
        <w:rPr>
          <w:rFonts w:eastAsia="Calibri"/>
          <w:color w:val="0000FF"/>
          <w:u w:val="single"/>
        </w:rPr>
        <w:t>.</w:t>
      </w:r>
    </w:p>
    <w:p w:rsidR="00AB3436" w:rsidRDefault="00AB3436" w:rsidP="00811DEE">
      <w:pPr>
        <w:jc w:val="both"/>
      </w:pPr>
    </w:p>
    <w:p w:rsidR="00811DEE" w:rsidRPr="00811DEE" w:rsidRDefault="00811DEE" w:rsidP="00811DEE">
      <w:pPr>
        <w:jc w:val="both"/>
      </w:pPr>
    </w:p>
    <w:p w:rsidR="00960F47" w:rsidRPr="00811DEE" w:rsidRDefault="00960F47" w:rsidP="00811DEE">
      <w:pPr>
        <w:jc w:val="both"/>
      </w:pPr>
      <w:r w:rsidRPr="00811DEE">
        <w:t xml:space="preserve">Глава Печенгского </w:t>
      </w:r>
      <w:r w:rsidR="00C544CE" w:rsidRPr="00811DEE">
        <w:t xml:space="preserve">муниципального округа </w:t>
      </w:r>
      <w:r w:rsidR="00F1382C" w:rsidRPr="00811DEE">
        <w:t xml:space="preserve">                                       </w:t>
      </w:r>
      <w:r w:rsidR="00A56362" w:rsidRPr="00811DEE">
        <w:t xml:space="preserve">      </w:t>
      </w:r>
      <w:r w:rsidR="00F1382C" w:rsidRPr="00811DEE">
        <w:t xml:space="preserve">          </w:t>
      </w:r>
      <w:r w:rsidR="00C544CE" w:rsidRPr="00811DEE">
        <w:t>А.</w:t>
      </w:r>
      <w:r w:rsidR="00F1382C" w:rsidRPr="00811DEE">
        <w:t>В.</w:t>
      </w:r>
      <w:r w:rsidR="00A56362" w:rsidRPr="00811DEE">
        <w:t xml:space="preserve"> </w:t>
      </w:r>
      <w:r w:rsidR="00C544CE" w:rsidRPr="00811DEE">
        <w:t>Кузнецов</w:t>
      </w:r>
    </w:p>
    <w:p w:rsidR="00AB3436" w:rsidRPr="00811DEE" w:rsidRDefault="00AB3436" w:rsidP="00960F47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811DEE" w:rsidP="00811DEE">
      <w:pPr>
        <w:jc w:val="both"/>
        <w:rPr>
          <w:sz w:val="20"/>
          <w:szCs w:val="20"/>
        </w:rPr>
      </w:pPr>
    </w:p>
    <w:p w:rsidR="00811DEE" w:rsidRDefault="007D3EEF" w:rsidP="00811DEE">
      <w:pPr>
        <w:jc w:val="both"/>
        <w:rPr>
          <w:rFonts w:eastAsia="Calibri"/>
          <w:b/>
          <w:color w:val="000000"/>
        </w:rPr>
      </w:pPr>
      <w:r w:rsidRPr="00811DEE">
        <w:rPr>
          <w:sz w:val="20"/>
          <w:szCs w:val="20"/>
        </w:rPr>
        <w:t>И</w:t>
      </w:r>
      <w:r w:rsidR="0098125E" w:rsidRPr="00811DEE">
        <w:rPr>
          <w:sz w:val="20"/>
          <w:szCs w:val="20"/>
        </w:rPr>
        <w:t>онова О.В.</w:t>
      </w:r>
      <w:r w:rsidR="00960F47" w:rsidRPr="00811DEE">
        <w:rPr>
          <w:sz w:val="20"/>
          <w:szCs w:val="20"/>
        </w:rPr>
        <w:t>,  50270</w:t>
      </w:r>
      <w:r w:rsidR="00811DEE">
        <w:rPr>
          <w:sz w:val="20"/>
          <w:szCs w:val="20"/>
        </w:rPr>
        <w:t xml:space="preserve"> </w:t>
      </w:r>
      <w:r w:rsidR="00811DEE">
        <w:rPr>
          <w:rFonts w:eastAsia="Calibri"/>
          <w:b/>
          <w:color w:val="000000"/>
        </w:rPr>
        <w:br w:type="page"/>
      </w:r>
    </w:p>
    <w:p w:rsidR="00811DEE" w:rsidRPr="00811DEE" w:rsidRDefault="00811DEE" w:rsidP="00811DEE">
      <w:pPr>
        <w:ind w:left="5529"/>
        <w:jc w:val="both"/>
      </w:pPr>
      <w:r w:rsidRPr="00811DEE">
        <w:lastRenderedPageBreak/>
        <w:t xml:space="preserve">Приложение </w:t>
      </w:r>
    </w:p>
    <w:p w:rsidR="00811DEE" w:rsidRPr="00811DEE" w:rsidRDefault="00811DEE" w:rsidP="00811DEE">
      <w:pPr>
        <w:ind w:left="5529"/>
        <w:jc w:val="both"/>
      </w:pPr>
      <w:r w:rsidRPr="00811DEE">
        <w:t xml:space="preserve">к постановлению администрации Печенгского муниципального округа  </w:t>
      </w:r>
    </w:p>
    <w:p w:rsidR="00811DEE" w:rsidRPr="00811DEE" w:rsidRDefault="00811DEE" w:rsidP="00811DEE">
      <w:pPr>
        <w:ind w:left="5529"/>
        <w:jc w:val="both"/>
      </w:pPr>
      <w:r w:rsidRPr="00811DEE">
        <w:t xml:space="preserve">от </w:t>
      </w:r>
      <w:r w:rsidR="005B7876">
        <w:t>02.11.2021</w:t>
      </w:r>
      <w:r w:rsidRPr="00811DEE">
        <w:t xml:space="preserve"> № </w:t>
      </w:r>
      <w:r w:rsidR="005B7876">
        <w:t>1192</w:t>
      </w:r>
    </w:p>
    <w:p w:rsidR="00811DEE" w:rsidRPr="00811DEE" w:rsidRDefault="00811DEE" w:rsidP="00811DEE">
      <w:pPr>
        <w:jc w:val="right"/>
      </w:pPr>
    </w:p>
    <w:p w:rsidR="00811DEE" w:rsidRPr="00811DEE" w:rsidRDefault="00811DEE" w:rsidP="00811DEE">
      <w:pPr>
        <w:jc w:val="right"/>
      </w:pPr>
    </w:p>
    <w:p w:rsidR="00811DEE" w:rsidRPr="00811DEE" w:rsidRDefault="00811DEE" w:rsidP="00811DEE">
      <w:pPr>
        <w:shd w:val="clear" w:color="auto" w:fill="FFFFFF"/>
        <w:jc w:val="center"/>
        <w:rPr>
          <w:b/>
          <w:bCs/>
          <w:iCs/>
        </w:rPr>
      </w:pPr>
      <w:bookmarkStart w:id="0" w:name="sub_11011"/>
      <w:r w:rsidRPr="00811DEE">
        <w:rPr>
          <w:b/>
          <w:bCs/>
          <w:iCs/>
        </w:rPr>
        <w:t xml:space="preserve">ОСНОВНЫЕ НАПРАВЛЕНИЯ </w:t>
      </w:r>
    </w:p>
    <w:p w:rsidR="00811DEE" w:rsidRPr="00811DEE" w:rsidRDefault="00811DEE" w:rsidP="00811DEE">
      <w:pPr>
        <w:tabs>
          <w:tab w:val="left" w:pos="9360"/>
        </w:tabs>
        <w:jc w:val="center"/>
      </w:pPr>
      <w:r w:rsidRPr="00811DEE">
        <w:t xml:space="preserve">бюджетной и налоговой политики Печенгского муниципального округа </w:t>
      </w:r>
      <w:r w:rsidRPr="00811DEE">
        <w:br/>
        <w:t>на 2022 год и плановый период 2023 и 2024 годов</w:t>
      </w:r>
    </w:p>
    <w:p w:rsidR="00811DEE" w:rsidRPr="00811DEE" w:rsidRDefault="00811DEE" w:rsidP="00811DEE">
      <w:pPr>
        <w:tabs>
          <w:tab w:val="left" w:pos="9360"/>
        </w:tabs>
        <w:jc w:val="both"/>
      </w:pPr>
    </w:p>
    <w:p w:rsidR="00811DEE" w:rsidRPr="00811DEE" w:rsidRDefault="00811DEE" w:rsidP="00811DEE">
      <w:pPr>
        <w:shd w:val="clear" w:color="auto" w:fill="FFFFFF"/>
        <w:tabs>
          <w:tab w:val="left" w:pos="426"/>
          <w:tab w:val="left" w:pos="1843"/>
          <w:tab w:val="left" w:pos="2127"/>
          <w:tab w:val="left" w:pos="2694"/>
        </w:tabs>
        <w:jc w:val="center"/>
        <w:rPr>
          <w:b/>
          <w:bCs/>
          <w:iCs/>
        </w:rPr>
      </w:pPr>
      <w:r w:rsidRPr="00811DEE">
        <w:rPr>
          <w:b/>
          <w:bCs/>
          <w:iCs/>
        </w:rPr>
        <w:t>1.</w:t>
      </w:r>
      <w:r w:rsidRPr="00811DEE">
        <w:rPr>
          <w:b/>
          <w:bCs/>
          <w:iCs/>
        </w:rPr>
        <w:tab/>
        <w:t>Основные положения</w:t>
      </w:r>
    </w:p>
    <w:p w:rsidR="00811DEE" w:rsidRPr="00811DEE" w:rsidRDefault="00811DEE" w:rsidP="00811DEE">
      <w:pPr>
        <w:tabs>
          <w:tab w:val="left" w:pos="9360"/>
        </w:tabs>
        <w:jc w:val="both"/>
      </w:pPr>
    </w:p>
    <w:p w:rsidR="00811DEE" w:rsidRPr="00811DEE" w:rsidRDefault="00811DEE" w:rsidP="00811DEE">
      <w:pPr>
        <w:autoSpaceDE w:val="0"/>
        <w:autoSpaceDN w:val="0"/>
        <w:adjustRightInd w:val="0"/>
        <w:ind w:firstLine="708"/>
        <w:jc w:val="both"/>
      </w:pPr>
      <w:proofErr w:type="gramStart"/>
      <w:r w:rsidRPr="00811DEE">
        <w:t xml:space="preserve">Основные направления бюджетной и налоговой политики Печенгского муниципального округа на 2022 - 2024 годы определены в соответствии с положениями Послания Президента Российской Федерации Федеральному собранию от 21.04.2021, Указами Президента Российской Федерации от 07.05.2012 № 597, от 07.05.2018 № 204, </w:t>
      </w:r>
      <w:r w:rsidRPr="00811DEE">
        <w:br/>
        <w:t>от 21.07.2020 № 474 (далее - указы Президента Российской Федерации), с учетом положений Основных направлений налоговой политики Мурманской области на 2022 год и плановый период 2023</w:t>
      </w:r>
      <w:proofErr w:type="gramEnd"/>
      <w:r w:rsidRPr="00811DEE">
        <w:t xml:space="preserve"> и 2024 годов, Основных направлений бюджетной политики Мурманской области на 2022 год и на плановый период 2023 и 2024 годов,  муниципальных программ муниципального округа, а также направлены на обеспечение экономического роста и укрепления налогового потенциала Печенгского муниципального округа.</w:t>
      </w:r>
    </w:p>
    <w:p w:rsidR="00811DEE" w:rsidRPr="00811DEE" w:rsidRDefault="00811DEE" w:rsidP="00811DEE">
      <w:pPr>
        <w:autoSpaceDE w:val="0"/>
        <w:autoSpaceDN w:val="0"/>
        <w:adjustRightInd w:val="0"/>
        <w:ind w:firstLine="708"/>
        <w:jc w:val="both"/>
      </w:pPr>
      <w:r w:rsidRPr="00811DEE">
        <w:t>Бюджетная и налоговая политика Печенгского муниципального округа определяет основные ориентиры и стратегические цели развития Печенгского муниципального округа на трехлетний период и направлена на адресное решение социальных задач, повышение качества муниципальных услуг, достижение конкретных общественно значимых результатов.</w:t>
      </w:r>
    </w:p>
    <w:p w:rsidR="00811DEE" w:rsidRPr="00811DEE" w:rsidRDefault="00811DEE" w:rsidP="00811DEE">
      <w:pPr>
        <w:shd w:val="clear" w:color="auto" w:fill="FFFFFF"/>
        <w:tabs>
          <w:tab w:val="left" w:pos="1418"/>
          <w:tab w:val="left" w:pos="1843"/>
          <w:tab w:val="left" w:pos="2127"/>
          <w:tab w:val="left" w:pos="2694"/>
        </w:tabs>
        <w:ind w:firstLine="2410"/>
        <w:rPr>
          <w:b/>
          <w:bCs/>
          <w:iCs/>
          <w:highlight w:val="yellow"/>
        </w:rPr>
      </w:pPr>
    </w:p>
    <w:p w:rsidR="00811DEE" w:rsidRPr="00811DEE" w:rsidRDefault="00811DEE" w:rsidP="00811DEE">
      <w:pPr>
        <w:shd w:val="clear" w:color="auto" w:fill="FFFFFF"/>
        <w:tabs>
          <w:tab w:val="left" w:pos="426"/>
          <w:tab w:val="left" w:pos="1843"/>
          <w:tab w:val="left" w:pos="2127"/>
          <w:tab w:val="left" w:pos="2694"/>
        </w:tabs>
        <w:jc w:val="center"/>
        <w:rPr>
          <w:b/>
          <w:bCs/>
          <w:iCs/>
        </w:rPr>
      </w:pPr>
      <w:r w:rsidRPr="00811DEE">
        <w:rPr>
          <w:b/>
          <w:bCs/>
          <w:iCs/>
        </w:rPr>
        <w:t>2.</w:t>
      </w:r>
      <w:r w:rsidRPr="00811DEE">
        <w:rPr>
          <w:b/>
          <w:bCs/>
          <w:iCs/>
        </w:rPr>
        <w:tab/>
        <w:t>Цели и задачи бюджетной и налоговой политики</w:t>
      </w:r>
    </w:p>
    <w:p w:rsidR="00811DEE" w:rsidRPr="00811DEE" w:rsidRDefault="00811DEE" w:rsidP="00811DEE">
      <w:pPr>
        <w:tabs>
          <w:tab w:val="left" w:pos="9360"/>
        </w:tabs>
        <w:ind w:firstLine="851"/>
        <w:jc w:val="both"/>
        <w:rPr>
          <w:highlight w:val="yellow"/>
        </w:rPr>
      </w:pPr>
    </w:p>
    <w:p w:rsidR="00811DEE" w:rsidRPr="00811DEE" w:rsidRDefault="00811DEE" w:rsidP="00811DEE">
      <w:pPr>
        <w:tabs>
          <w:tab w:val="left" w:pos="9360"/>
        </w:tabs>
        <w:ind w:firstLine="709"/>
        <w:jc w:val="both"/>
      </w:pPr>
      <w:r w:rsidRPr="00811DEE">
        <w:t xml:space="preserve">Целью разработки Основных направлений бюджетной и налоговой политики Печенгского муниципального округа на 2022-2024 годы (далее - бюджетная и налоговая политика округа) является определение условий и подходов к формированию проекта бюджета Печенгского муниципального округа на 2022 год и плановый период 2023 и 2024 годов (далее </w:t>
      </w:r>
      <w:r>
        <w:t>-</w:t>
      </w:r>
      <w:r w:rsidRPr="00811DEE">
        <w:t xml:space="preserve"> бюджет округа).</w:t>
      </w:r>
    </w:p>
    <w:p w:rsidR="00811DEE" w:rsidRPr="00811DEE" w:rsidRDefault="00811DEE" w:rsidP="00811DEE">
      <w:pPr>
        <w:tabs>
          <w:tab w:val="left" w:pos="9360"/>
        </w:tabs>
        <w:ind w:firstLine="709"/>
        <w:jc w:val="both"/>
      </w:pPr>
      <w:proofErr w:type="gramStart"/>
      <w:r w:rsidRPr="00811DEE">
        <w:t xml:space="preserve">Бюджетная и налоговая политика округа направлена на обеспечение социальной и финансовой стабильности Печенгского муниципального округа, создание условий для устойчивого социально </w:t>
      </w:r>
      <w:r>
        <w:t xml:space="preserve">- </w:t>
      </w:r>
      <w:r w:rsidRPr="00811DEE">
        <w:t>экономического развития муниципального округа с учетом реализуемых на федеральном, региональном, местном уровнях мер по развитию Арктической зоны Российской Федерации, повышение качества бюджетного процесса, обеспечение рационального, эффективного и результативного расходования бюджетных средств.</w:t>
      </w:r>
      <w:proofErr w:type="gramEnd"/>
    </w:p>
    <w:p w:rsidR="00811DEE" w:rsidRPr="00811DEE" w:rsidRDefault="00811DEE" w:rsidP="00811DEE">
      <w:pPr>
        <w:tabs>
          <w:tab w:val="left" w:pos="9360"/>
        </w:tabs>
        <w:ind w:firstLine="709"/>
        <w:jc w:val="both"/>
      </w:pPr>
      <w:proofErr w:type="gramStart"/>
      <w:r w:rsidRPr="00811DEE">
        <w:t>Основные направления бюджетной и налоговой политики округа сохраняют преемственность в отношении определенных ранее приоритетов по обеспечению долгосрочной сбалансированности и финансовой устойчивости бюджетной системы Печенгского муниципального округа, с учетом безусловного исполнения всех принятых обязательств и скорректированных исходя из текущей экономической ситуации и необходимости реализации первоочередных задач, поставленных в указах Президента Российской Федерации, а также мер, предусмотренных в Послании Президента Российской Федерации</w:t>
      </w:r>
      <w:proofErr w:type="gramEnd"/>
      <w:r w:rsidRPr="00811DEE">
        <w:t xml:space="preserve"> Федеральному</w:t>
      </w:r>
      <w:r>
        <w:t xml:space="preserve"> Собранию Российской Федерации </w:t>
      </w:r>
      <w:r w:rsidRPr="00811DEE">
        <w:t xml:space="preserve">от 21.04.2021, </w:t>
      </w:r>
      <w:r>
        <w:br/>
      </w:r>
      <w:r w:rsidRPr="00811DEE">
        <w:t>в том числе в части увеличения вложений в поддержку инвестиций в инфраструктуру.</w:t>
      </w:r>
    </w:p>
    <w:p w:rsidR="00811DEE" w:rsidRPr="00811DEE" w:rsidRDefault="00811DEE" w:rsidP="00811DEE">
      <w:pPr>
        <w:tabs>
          <w:tab w:val="left" w:pos="9360"/>
        </w:tabs>
        <w:ind w:firstLine="709"/>
        <w:jc w:val="both"/>
      </w:pPr>
      <w:r w:rsidRPr="00811DEE">
        <w:lastRenderedPageBreak/>
        <w:t>Основным инструментом достижения целей бюджетной и налоговой политики округа, обеспечивающим повышение результативности и эффективности бюджетных расходов, продолжают оставаться муниципальные программы Печенгского муниципального округа, включающие в себя региональные проекты, реализуемые в рамках национальных проектов, государственных программ Мурманской области.</w:t>
      </w:r>
    </w:p>
    <w:p w:rsidR="00811DEE" w:rsidRPr="00811DEE" w:rsidRDefault="00811DEE" w:rsidP="00811DEE">
      <w:pPr>
        <w:tabs>
          <w:tab w:val="left" w:pos="993"/>
        </w:tabs>
        <w:ind w:firstLine="709"/>
        <w:jc w:val="both"/>
      </w:pPr>
      <w:r w:rsidRPr="00811DEE">
        <w:t>Основными задачами бюджетной и налоговой политики округа являются: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color w:val="000000"/>
        </w:rPr>
      </w:pPr>
      <w:r w:rsidRPr="00811DEE">
        <w:t>-</w:t>
      </w:r>
      <w:r>
        <w:t xml:space="preserve"> </w:t>
      </w:r>
      <w:r w:rsidRPr="00811DEE">
        <w:tab/>
      </w:r>
      <w:r w:rsidRPr="00811DEE">
        <w:rPr>
          <w:color w:val="000000"/>
        </w:rPr>
        <w:t>повышение качества управления муниципальными финансами и соблюдение надлежащей финансовой дисциплины всеми главными распорядителями, распорядителями и получателями средств бюджета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color w:val="000000"/>
        </w:rPr>
        <w:t>-</w:t>
      </w:r>
      <w:r>
        <w:rPr>
          <w:color w:val="000000"/>
        </w:rPr>
        <w:t xml:space="preserve"> </w:t>
      </w:r>
      <w:r w:rsidRPr="00811DEE">
        <w:rPr>
          <w:color w:val="000000"/>
        </w:rPr>
        <w:tab/>
      </w:r>
      <w:r w:rsidRPr="00811DEE">
        <w:rPr>
          <w:rFonts w:eastAsiaTheme="minorEastAsia"/>
        </w:rPr>
        <w:t>реализация мер по повышению эффективности бюджетных средств, в том числе путем выполнения мероприятий по оздоровлению муниципальных финансов Печенгского муниципального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повышение качества финансового менеджмента главных распорядителей бюджетных средств и главных администраторов доходов бюджета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совершенствование механизма внутреннего муниципального финансового контроля в соответствии с утвержденными федеральными стандартами;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 xml:space="preserve">осуществление </w:t>
      </w:r>
      <w:proofErr w:type="gramStart"/>
      <w:r w:rsidRPr="00811DEE">
        <w:rPr>
          <w:rFonts w:eastAsiaTheme="minorEastAsia"/>
        </w:rPr>
        <w:t>контроля за</w:t>
      </w:r>
      <w:proofErr w:type="gramEnd"/>
      <w:r w:rsidRPr="00811DEE">
        <w:rPr>
          <w:rFonts w:eastAsiaTheme="minorEastAsia"/>
        </w:rPr>
        <w:t xml:space="preserve"> состоянием кредиторской задолженности по бюджетным обязательствам Печенгского муниципального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недопущение возникновения просроченной кредиторской задолженности по заработной плате и социальным выплатам;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сохранение на безопасном уровне объема муниципального долга;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поддержание параметров дефицита бюджета округа в пределах установленных ограничений;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обеспечение открытости и прозрачности информации об управлении общественными финансами, обеспечение широкого вовлечения населения Печенгского муниципального округа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811DEE" w:rsidRPr="00811DEE" w:rsidRDefault="00811DEE" w:rsidP="00811DEE">
      <w:pPr>
        <w:tabs>
          <w:tab w:val="left" w:pos="993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В целях повышения эффективности управления бюджетными ресурсами как операционного, так и стратегического уровня предполагается:</w:t>
      </w:r>
    </w:p>
    <w:p w:rsidR="00811DEE" w:rsidRPr="00811DEE" w:rsidRDefault="00811DEE" w:rsidP="00811DEE">
      <w:pPr>
        <w:tabs>
          <w:tab w:val="left" w:pos="993"/>
        </w:tabs>
        <w:ind w:firstLine="709"/>
        <w:jc w:val="both"/>
        <w:rPr>
          <w:rFonts w:eastAsiaTheme="minorEastAsia"/>
        </w:rPr>
      </w:pPr>
      <w:r w:rsidRPr="00E51FF7">
        <w:rPr>
          <w:rFonts w:eastAsiaTheme="minorEastAsia"/>
        </w:rPr>
        <w:t xml:space="preserve">- </w:t>
      </w:r>
      <w:r w:rsidR="00E85C2F" w:rsidRPr="00E51FF7">
        <w:rPr>
          <w:rFonts w:eastAsiaTheme="minorEastAsia"/>
        </w:rPr>
        <w:t>продолжение</w:t>
      </w:r>
      <w:r w:rsidRPr="00E51FF7">
        <w:rPr>
          <w:rFonts w:eastAsiaTheme="minorEastAsia"/>
        </w:rPr>
        <w:t xml:space="preserve"> взаимодействия</w:t>
      </w:r>
      <w:r w:rsidRPr="00811DEE">
        <w:rPr>
          <w:rFonts w:eastAsiaTheme="minorEastAsia"/>
        </w:rPr>
        <w:t xml:space="preserve"> </w:t>
      </w:r>
      <w:proofErr w:type="gramStart"/>
      <w:r w:rsidRPr="00811DEE">
        <w:rPr>
          <w:rFonts w:eastAsiaTheme="minorEastAsia"/>
        </w:rPr>
        <w:t>с Управлением Федерального казначейства по Мурманской области в части обмена соответствующей информацией в целях обеспечения зачисления в бюджет</w:t>
      </w:r>
      <w:proofErr w:type="gramEnd"/>
      <w:r w:rsidRPr="00811DEE">
        <w:rPr>
          <w:rFonts w:eastAsiaTheme="minorEastAsia"/>
        </w:rPr>
        <w:t xml:space="preserve"> округа доходов от операций по управлению временно свободных средств на едином казначейском счете;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>осуществление казначейского сопровождения бюджетных средств, определенных решением о бюджете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E51FF7">
        <w:rPr>
          <w:rFonts w:eastAsiaTheme="minorEastAsia"/>
        </w:rPr>
        <w:t xml:space="preserve">- </w:t>
      </w:r>
      <w:r w:rsidRPr="00E51FF7">
        <w:rPr>
          <w:rFonts w:eastAsiaTheme="minorEastAsia"/>
        </w:rPr>
        <w:tab/>
        <w:t>осуществлени</w:t>
      </w:r>
      <w:r w:rsidR="00E85C2F" w:rsidRPr="00E51FF7">
        <w:rPr>
          <w:rFonts w:eastAsiaTheme="minorEastAsia"/>
        </w:rPr>
        <w:t>е</w:t>
      </w:r>
      <w:r w:rsidRPr="00E51FF7">
        <w:rPr>
          <w:rFonts w:eastAsiaTheme="minorEastAsia"/>
        </w:rPr>
        <w:t xml:space="preserve"> Управлением</w:t>
      </w:r>
      <w:r w:rsidRPr="00811DEE">
        <w:rPr>
          <w:rFonts w:eastAsiaTheme="minorEastAsia"/>
        </w:rPr>
        <w:t xml:space="preserve"> Федерального казначейства по Мурманской области бюджетного мониторинга в системе казначейских платежей, предусматривающего межведомственное взаимодействие между органами государственного контроля в целях предупреждения  (предотвращения) нарушений законодательства Российской Федерации при осуществлении операций со средствами, предоставленными из бюджета округа;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 xml:space="preserve">применение режима первоочередных расходов, позволяющее не допускать проведение кассовых выплат при наличии у бюджетных и автономных учреждений просроченной кредиторской задолженности по расходам на оплату труда и уплату взносов по </w:t>
      </w:r>
      <w:r w:rsidRPr="00E51FF7">
        <w:rPr>
          <w:rFonts w:eastAsiaTheme="minorEastAsia"/>
        </w:rPr>
        <w:t>обязательному  социальному страхованию на выплаты по оплате труда и иные выплаты работникам, а также неиспол</w:t>
      </w:r>
      <w:r w:rsidR="00E85C2F" w:rsidRPr="00E51FF7">
        <w:rPr>
          <w:rFonts w:eastAsiaTheme="minorEastAsia"/>
        </w:rPr>
        <w:t>ненных</w:t>
      </w:r>
      <w:r w:rsidRPr="00E51FF7">
        <w:rPr>
          <w:rFonts w:eastAsiaTheme="minorEastAsia"/>
        </w:rPr>
        <w:t xml:space="preserve"> исполнительных документов и решений налоговых органов;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 xml:space="preserve">совершенствование процедур муниципальных закупок, исключение избыточных и устаревших требований, оптимизация и автоматизация работы в контрактной </w:t>
      </w:r>
      <w:proofErr w:type="gramStart"/>
      <w:r w:rsidRPr="00811DEE">
        <w:rPr>
          <w:rFonts w:eastAsiaTheme="minorEastAsia"/>
        </w:rPr>
        <w:t>системе</w:t>
      </w:r>
      <w:proofErr w:type="gramEnd"/>
      <w:r w:rsidRPr="00811DEE">
        <w:rPr>
          <w:rFonts w:eastAsiaTheme="minorEastAsia"/>
        </w:rPr>
        <w:t xml:space="preserve"> как заказчика, так и поставщиков;</w:t>
      </w:r>
    </w:p>
    <w:p w:rsidR="00811DEE" w:rsidRPr="00811DEE" w:rsidRDefault="00811DEE" w:rsidP="00811DEE">
      <w:pPr>
        <w:tabs>
          <w:tab w:val="left" w:pos="851"/>
        </w:tabs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-</w:t>
      </w:r>
      <w:r>
        <w:rPr>
          <w:rFonts w:eastAsiaTheme="minorEastAsia"/>
        </w:rPr>
        <w:t xml:space="preserve"> </w:t>
      </w:r>
      <w:r w:rsidRPr="00811DEE">
        <w:rPr>
          <w:rFonts w:eastAsiaTheme="minorEastAsia"/>
        </w:rPr>
        <w:tab/>
        <w:t xml:space="preserve">учет результатов рассмотрения оценки налоговых расходов при формировании основных направлений бюджетной и налоговой политики, а также при проведении оценки </w:t>
      </w:r>
      <w:r w:rsidRPr="00811DEE">
        <w:rPr>
          <w:rFonts w:eastAsiaTheme="minorEastAsia"/>
        </w:rPr>
        <w:lastRenderedPageBreak/>
        <w:t>эффективности реализации муниципальных программ Печенгского муниципального округа.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</w:pPr>
      <w:r w:rsidRPr="00811DEE">
        <w:t xml:space="preserve">Основное внимание планируется уделять повышению требований к качеству разработки и реализации муниципальных программ муниципального округа как основного инструмента повышения эффективности бюджетных расходов, механизма </w:t>
      </w:r>
      <w:proofErr w:type="gramStart"/>
      <w:r w:rsidRPr="00811DEE">
        <w:t>контроля за</w:t>
      </w:r>
      <w:proofErr w:type="gramEnd"/>
      <w:r w:rsidRPr="00811DEE">
        <w:t xml:space="preserve"> их выполнением.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</w:pPr>
      <w:r w:rsidRPr="00811DEE">
        <w:t>Главные распорядители средств бюджета округа должны обеспечивать высокий уровень бюджетной дисциплины, включая своевременность принятия необходимых бюджетных решений, их оперативную реализацию, установление расходных обязательств и включение их в бюджет округа в строгом соответствии с законодательством Российской Федерации.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</w:pPr>
      <w:r w:rsidRPr="00811DEE">
        <w:t>Принятый объем муниципального долга потребует проведения эффективной и взвешенной политики, направленной на сокращение дефицита бюджета округа в условиях бюджетной ситуации. Для решения этой задачи долговая политика в муниципальном округе будет направлена на достижение конкретных целевых ориентиров управления долговыми обязательствами, с применением мониторинга и управления потенциальными рисками, возникающими в ходе реализации долговой политики.</w:t>
      </w:r>
    </w:p>
    <w:p w:rsidR="00811DEE" w:rsidRPr="00811DEE" w:rsidRDefault="00811DEE" w:rsidP="00811DEE">
      <w:pPr>
        <w:tabs>
          <w:tab w:val="left" w:pos="426"/>
          <w:tab w:val="left" w:pos="1560"/>
        </w:tabs>
        <w:jc w:val="center"/>
        <w:rPr>
          <w:b/>
          <w:bCs/>
          <w:iCs/>
          <w:highlight w:val="yellow"/>
        </w:rPr>
      </w:pPr>
    </w:p>
    <w:p w:rsidR="00811DEE" w:rsidRPr="00811DEE" w:rsidRDefault="00811DEE" w:rsidP="00811DEE">
      <w:pPr>
        <w:tabs>
          <w:tab w:val="left" w:pos="426"/>
        </w:tabs>
        <w:jc w:val="center"/>
        <w:rPr>
          <w:b/>
          <w:bCs/>
          <w:iCs/>
          <w:highlight w:val="yellow"/>
        </w:rPr>
      </w:pPr>
      <w:r w:rsidRPr="00811DEE">
        <w:rPr>
          <w:b/>
          <w:bCs/>
          <w:iCs/>
        </w:rPr>
        <w:t>3.</w:t>
      </w:r>
      <w:r w:rsidRPr="00811DEE">
        <w:rPr>
          <w:b/>
          <w:bCs/>
          <w:iCs/>
        </w:rPr>
        <w:tab/>
        <w:t>Основные направления налоговой политики на 2022-2024 годы</w:t>
      </w:r>
    </w:p>
    <w:p w:rsidR="00811DEE" w:rsidRPr="00811DEE" w:rsidRDefault="00811DEE" w:rsidP="00811DEE">
      <w:pPr>
        <w:shd w:val="clear" w:color="auto" w:fill="FFFFFF"/>
        <w:ind w:firstLine="709"/>
        <w:jc w:val="center"/>
        <w:rPr>
          <w:b/>
          <w:bCs/>
          <w:iCs/>
          <w:caps/>
          <w:highlight w:val="yellow"/>
        </w:rPr>
      </w:pPr>
    </w:p>
    <w:p w:rsidR="00811DEE" w:rsidRPr="00811DEE" w:rsidRDefault="00811DEE" w:rsidP="00811DEE">
      <w:pPr>
        <w:shd w:val="clear" w:color="auto" w:fill="FFFFFF"/>
        <w:ind w:firstLine="709"/>
        <w:jc w:val="both"/>
        <w:rPr>
          <w:bCs/>
          <w:iCs/>
        </w:rPr>
      </w:pPr>
      <w:r w:rsidRPr="00811DEE">
        <w:rPr>
          <w:bCs/>
          <w:iCs/>
        </w:rPr>
        <w:t>Основные направления налоговой политики Печенгского муниципального округа на 2022 год и плановый период 2023 и 2024 годов (далее</w:t>
      </w:r>
      <w:r w:rsidR="00B87D20">
        <w:rPr>
          <w:bCs/>
          <w:iCs/>
        </w:rPr>
        <w:t xml:space="preserve"> </w:t>
      </w:r>
      <w:r w:rsidRPr="00811DEE">
        <w:rPr>
          <w:bCs/>
          <w:iCs/>
        </w:rPr>
        <w:t>- основные направления налоговой политики округа) определены с учетом действующих норм федерального, регионального законодательства, муниципальных правовых актов. А также преемственности ранее поставленных задач по укреплению налогового потенциала Печенгского муниципального округа и обеспечению роста доходной части бюджета округа, развитию налогового потенциала округа.</w:t>
      </w:r>
    </w:p>
    <w:p w:rsidR="00C224B4" w:rsidRDefault="00811DEE" w:rsidP="00C224B4">
      <w:pPr>
        <w:shd w:val="clear" w:color="auto" w:fill="FFFFFF"/>
        <w:ind w:firstLine="709"/>
        <w:jc w:val="both"/>
        <w:rPr>
          <w:bCs/>
          <w:iCs/>
        </w:rPr>
      </w:pPr>
      <w:r w:rsidRPr="00811DEE">
        <w:rPr>
          <w:bCs/>
          <w:iCs/>
        </w:rPr>
        <w:t>В части укрепления налогового потенциала Печенгского муниципального округа и повышения доходов бюджета округа  планируется: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-</w:t>
      </w:r>
      <w:r w:rsidR="00C224B4">
        <w:rPr>
          <w:bCs/>
          <w:iCs/>
        </w:rPr>
        <w:tab/>
      </w:r>
      <w:r w:rsidRPr="00811DEE">
        <w:rPr>
          <w:bCs/>
          <w:iCs/>
        </w:rPr>
        <w:t>проведение мероприятий по выявлению причин ухудшения финансового состояния и платежеспособности организаций, предприятий, индивидуальных предпринимателей на территории муниципального округа; определение мер, необходимых для стабилизации их финансово - экономического положения;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-</w:t>
      </w:r>
      <w:r w:rsidR="00C224B4">
        <w:rPr>
          <w:bCs/>
          <w:iCs/>
        </w:rPr>
        <w:tab/>
      </w:r>
      <w:r w:rsidRPr="00811DEE">
        <w:rPr>
          <w:bCs/>
          <w:iCs/>
        </w:rPr>
        <w:t>продолжение работы по инвентаризации и оптимизации использования муниципального имущества, вовлечению в хозяйственный оборот неиспользуемых объектов недвижимости и земельных участков;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организация и проведение государственной регистрации оценки объектов недвижимости в целях актуализации налогооблагаемой базы;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осуществление оценки налоговых расходов, обусловленных предоставлением налоговых льгот по местным налогам, включая оценку их целесообразности и результативности, принятие мер по недопущению неэффективных налоговых расходов;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установление определенного срока действия при введении новых налоговых льгот по местным налогам и иных налоговых преимуществ;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подготовка предложений для решения вопросов, связанных с изменением федерального и регионального законодательства, нормативных правовых актов органов местного самоуправления, в том числе для повышения эффективности и результативности налогообложения, а также улучшения администрирования налоговых и неналоговых платежей и погашения задолженности по ним;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взаимодействие органов местного самоуправления с органами государственной власти по вопросам мобилизации доходов в бюджеты всех уровней;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усиление мер по укреплению налоговой дисциплины налогоплательщиков.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lastRenderedPageBreak/>
        <w:t>В части развития налогового потенциала Печенгского муниципального округа в трехлетней перспективе будет продолжена работа по мобилизации в доход бюджета округа имеющихся резервов по доходным источникам. Рост бюджетных поступлений планируется достичь за счет: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-</w:t>
      </w:r>
      <w:r w:rsidR="00C224B4">
        <w:rPr>
          <w:bCs/>
          <w:iCs/>
        </w:rPr>
        <w:tab/>
      </w:r>
      <w:r w:rsidRPr="00811DEE">
        <w:rPr>
          <w:bCs/>
          <w:iCs/>
        </w:rPr>
        <w:t>совершенствования методов налогового администрирования, повышение уровня ответственности главных администраторов (администраторов) доходов за выполнение плановых показателей поступления доходов;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 xml:space="preserve">совершенствования условий для привлечения инвестиций в экономику Печенгского муниципального округа, в том числе механизмов муниципальной поддержки хозяйствующих субъектов, получивших статус резидентов территории опережающего социально </w:t>
      </w:r>
      <w:r w:rsidR="00811DEE">
        <w:t xml:space="preserve">- </w:t>
      </w:r>
      <w:r w:rsidR="00811DEE" w:rsidRPr="00811DEE">
        <w:rPr>
          <w:bCs/>
          <w:iCs/>
        </w:rPr>
        <w:t>экономического развития Арктической зоны Российской Федерации в целях наращивания экономического потенциала и раскрытия потенциала конкурентных преимуществ Печенгского муниципального округа, Мурманской области, как субъекта Арктической зоны Российской Федерации, повышение деловой активности в Печенгском муниципальном округе;</w:t>
      </w:r>
      <w:proofErr w:type="gramEnd"/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существующего механизма государственной (муниципальной) поддержки инвестиционной деятельности на территории муниципального округа;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поддержки предпринимательской инициативы и содействие вовлечению новых хозяйствующих субъектов в малое и среднее предпринимательство;</w:t>
      </w:r>
    </w:p>
    <w:p w:rsidR="00C224B4" w:rsidRDefault="00C224B4" w:rsidP="00811DEE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осуществления межведомственного взаимодействия с целью выявления и пересечения схем минимизации налогов, совершенствования методов контроля легализации «теневой» заработной платы</w:t>
      </w:r>
      <w:r w:rsidR="00811DEE" w:rsidRPr="00E51FF7">
        <w:rPr>
          <w:bCs/>
          <w:iCs/>
        </w:rPr>
        <w:t>, обеспечени</w:t>
      </w:r>
      <w:r w:rsidR="00E51FF7" w:rsidRPr="00E51FF7">
        <w:rPr>
          <w:bCs/>
          <w:iCs/>
        </w:rPr>
        <w:t>я</w:t>
      </w:r>
      <w:r w:rsidR="00811DEE" w:rsidRPr="00E51FF7">
        <w:rPr>
          <w:bCs/>
          <w:iCs/>
        </w:rPr>
        <w:t xml:space="preserve"> полноты поступления в бюджет округа налоговых и неналоговых доходов.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Ключевую роль в наполнении бюджета округа имущественными налогами играет полнота учета объектов недвижимости. Существует необходимость в проведении мероприятий по регистрации объектов недвижимости с целью формирования актуальной налоговой базы, в том числе:</w:t>
      </w:r>
    </w:p>
    <w:p w:rsidR="00C224B4" w:rsidRPr="00E51FF7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 xml:space="preserve">проведение инвентаризации объектов </w:t>
      </w:r>
      <w:r w:rsidR="00811DEE" w:rsidRPr="00E51FF7">
        <w:rPr>
          <w:bCs/>
          <w:iCs/>
        </w:rPr>
        <w:t>недвижимости, включая земельные участки, расположенные на территории Печенгского муниципального округа, дальнейшей сверк</w:t>
      </w:r>
      <w:r w:rsidR="00E51FF7" w:rsidRPr="00E51FF7">
        <w:rPr>
          <w:bCs/>
          <w:iCs/>
        </w:rPr>
        <w:t>и</w:t>
      </w:r>
      <w:r w:rsidR="00811DEE" w:rsidRPr="00E51FF7">
        <w:rPr>
          <w:bCs/>
          <w:iCs/>
        </w:rPr>
        <w:t xml:space="preserve"> информации, полученной от налоговых органов по объектам налогообложения;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E51FF7">
        <w:rPr>
          <w:bCs/>
          <w:iCs/>
        </w:rPr>
        <w:t>-</w:t>
      </w:r>
      <w:r w:rsidRPr="00E51FF7">
        <w:rPr>
          <w:bCs/>
          <w:iCs/>
        </w:rPr>
        <w:tab/>
      </w:r>
      <w:r w:rsidR="00811DEE" w:rsidRPr="00E51FF7">
        <w:rPr>
          <w:bCs/>
          <w:iCs/>
        </w:rPr>
        <w:t>выявление не учтенных для целей налогообложения объектов недвижимости</w:t>
      </w:r>
      <w:r w:rsidR="00811DEE" w:rsidRPr="00811DEE">
        <w:rPr>
          <w:bCs/>
          <w:iCs/>
        </w:rPr>
        <w:t>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 xml:space="preserve">проведение разъяснительной работы </w:t>
      </w:r>
      <w:proofErr w:type="gramStart"/>
      <w:r w:rsidR="00811DEE" w:rsidRPr="00811DEE">
        <w:rPr>
          <w:bCs/>
          <w:iCs/>
        </w:rPr>
        <w:t>по побуждению к постановке на государственный кадастровый учет объектов недвижимости в соответствии с действующим законодательством</w:t>
      </w:r>
      <w:proofErr w:type="gramEnd"/>
      <w:r w:rsidR="00811DEE" w:rsidRPr="00811DEE">
        <w:rPr>
          <w:bCs/>
          <w:iCs/>
        </w:rPr>
        <w:t>;</w:t>
      </w:r>
    </w:p>
    <w:p w:rsidR="00C224B4" w:rsidRDefault="00C224B4" w:rsidP="00811DEE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проведение работ по дополнению и (или) уточнению сведений об объектах недвижимости в том числе:</w:t>
      </w:r>
    </w:p>
    <w:p w:rsidR="00C224B4" w:rsidRDefault="00C224B4" w:rsidP="00811DEE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а)</w:t>
      </w:r>
      <w:r>
        <w:rPr>
          <w:bCs/>
          <w:iCs/>
        </w:rPr>
        <w:tab/>
      </w:r>
      <w:r w:rsidR="00811DEE" w:rsidRPr="00811DEE">
        <w:rPr>
          <w:bCs/>
          <w:iCs/>
        </w:rPr>
        <w:t>установление (уточнение) категорий и (или) видов разрешенного использования земельных участков;</w:t>
      </w:r>
    </w:p>
    <w:p w:rsidR="00C224B4" w:rsidRDefault="00811DEE" w:rsidP="00811DEE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б)</w:t>
      </w:r>
      <w:r w:rsidR="00C224B4">
        <w:rPr>
          <w:bCs/>
          <w:iCs/>
        </w:rPr>
        <w:tab/>
      </w:r>
      <w:r w:rsidRPr="00811DEE">
        <w:rPr>
          <w:bCs/>
          <w:iCs/>
        </w:rPr>
        <w:t>установление (уточнение) адресов местонахождения земельных участков (зданий, помещений, сооружений).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Повышение качества механизмов использования муниципальной собственности должно привести к получению дополнительных доходов в бюджет округа за счет:</w:t>
      </w:r>
    </w:p>
    <w:p w:rsidR="00C224B4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t>-</w:t>
      </w:r>
      <w:r>
        <w:rPr>
          <w:bCs/>
          <w:iCs/>
        </w:rPr>
        <w:t xml:space="preserve"> </w:t>
      </w:r>
      <w:r w:rsidRPr="00811DEE">
        <w:rPr>
          <w:bCs/>
          <w:iCs/>
        </w:rPr>
        <w:tab/>
        <w:t xml:space="preserve">установления жесткого </w:t>
      </w:r>
      <w:proofErr w:type="gramStart"/>
      <w:r w:rsidRPr="00811DEE">
        <w:rPr>
          <w:bCs/>
          <w:iCs/>
        </w:rPr>
        <w:t>контроля за</w:t>
      </w:r>
      <w:proofErr w:type="gramEnd"/>
      <w:r w:rsidRPr="00811DEE">
        <w:rPr>
          <w:bCs/>
          <w:iCs/>
        </w:rPr>
        <w:t xml:space="preserve"> поступлением арендных платежей путем активизации контрольных функций администратора поступлений неналоговых доходов;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проведения работы по инвентаризации муниципального имущества;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проведения мероприятий по выявлению имущества, в том числе земельных участков, используемого без оформления в соответствии с законодательством Российской Федерации;</w:t>
      </w:r>
    </w:p>
    <w:p w:rsidR="00C224B4" w:rsidRDefault="00C224B4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>-</w:t>
      </w:r>
      <w:r>
        <w:rPr>
          <w:bCs/>
          <w:iCs/>
        </w:rPr>
        <w:tab/>
      </w:r>
      <w:r w:rsidR="00811DEE" w:rsidRPr="00811DEE">
        <w:rPr>
          <w:bCs/>
          <w:iCs/>
        </w:rPr>
        <w:t>осуществления продажи муниципального имущества с максимальной выгодой для бюджета округа.</w:t>
      </w:r>
    </w:p>
    <w:p w:rsidR="00811DEE" w:rsidRPr="00811DEE" w:rsidRDefault="00811DEE" w:rsidP="00C224B4">
      <w:pPr>
        <w:shd w:val="clear" w:color="auto" w:fill="FFFFFF"/>
        <w:tabs>
          <w:tab w:val="left" w:pos="993"/>
        </w:tabs>
        <w:ind w:firstLine="709"/>
        <w:jc w:val="both"/>
        <w:rPr>
          <w:bCs/>
          <w:iCs/>
        </w:rPr>
      </w:pPr>
      <w:r w:rsidRPr="00811DEE">
        <w:rPr>
          <w:bCs/>
          <w:iCs/>
        </w:rPr>
        <w:lastRenderedPageBreak/>
        <w:t>Реализация налоговой политики будет способствовать повышению доходного потенциала Печенгского муниципального округа, повышению финансовой самостоятельности.</w:t>
      </w:r>
    </w:p>
    <w:p w:rsidR="00811DEE" w:rsidRPr="00811DEE" w:rsidRDefault="00811DEE" w:rsidP="00811DEE">
      <w:pPr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</w:p>
    <w:p w:rsidR="00811DEE" w:rsidRPr="00811DEE" w:rsidRDefault="00811DEE" w:rsidP="00811DEE">
      <w:pPr>
        <w:shd w:val="clear" w:color="auto" w:fill="FFFFFF"/>
        <w:tabs>
          <w:tab w:val="left" w:pos="426"/>
        </w:tabs>
        <w:jc w:val="center"/>
        <w:rPr>
          <w:b/>
        </w:rPr>
      </w:pPr>
      <w:r w:rsidRPr="00811DEE">
        <w:rPr>
          <w:b/>
        </w:rPr>
        <w:t>4.</w:t>
      </w:r>
      <w:r w:rsidRPr="00811DEE">
        <w:rPr>
          <w:b/>
        </w:rPr>
        <w:tab/>
        <w:t>Основные направления бюджетной политики на 2022-2024 годы</w:t>
      </w:r>
    </w:p>
    <w:p w:rsidR="00811DEE" w:rsidRPr="00811DEE" w:rsidRDefault="00811DEE" w:rsidP="00811DEE">
      <w:pPr>
        <w:shd w:val="clear" w:color="auto" w:fill="FFFFFF"/>
        <w:ind w:firstLine="709"/>
        <w:jc w:val="center"/>
        <w:rPr>
          <w:bCs/>
          <w:iCs/>
          <w:caps/>
          <w:highlight w:val="yellow"/>
        </w:rPr>
      </w:pPr>
    </w:p>
    <w:p w:rsidR="00811DEE" w:rsidRPr="00811DEE" w:rsidRDefault="00811DEE" w:rsidP="00811DEE">
      <w:pPr>
        <w:ind w:left="-15" w:firstLine="709"/>
        <w:jc w:val="both"/>
        <w:rPr>
          <w:color w:val="000000"/>
        </w:rPr>
      </w:pPr>
      <w:r w:rsidRPr="00811DEE">
        <w:rPr>
          <w:color w:val="000000"/>
        </w:rPr>
        <w:t>Бюджетная политика Печенгского муниципального округа на 2022-2024 годы  направлена на сохранение преемственности целей и задач предыдущего планового периода:</w:t>
      </w:r>
    </w:p>
    <w:p w:rsidR="00C224B4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а)</w:t>
      </w:r>
      <w:r w:rsidR="00B87D20">
        <w:rPr>
          <w:color w:val="000000"/>
        </w:rPr>
        <w:t xml:space="preserve"> </w:t>
      </w:r>
      <w:r w:rsidRPr="00811DEE">
        <w:t>Обеспечение</w:t>
      </w:r>
      <w:r w:rsidRPr="00811DEE">
        <w:rPr>
          <w:color w:val="000000"/>
        </w:rPr>
        <w:t xml:space="preserve"> сбалансированности и долгосрочной устойчивости бюджета округа, в том числе за счет:</w:t>
      </w:r>
    </w:p>
    <w:p w:rsidR="00C224B4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-</w:t>
      </w:r>
      <w:r w:rsidR="00C224B4">
        <w:rPr>
          <w:color w:val="000000"/>
        </w:rPr>
        <w:tab/>
      </w:r>
      <w:r w:rsidRPr="00811DEE">
        <w:rPr>
          <w:color w:val="000000"/>
        </w:rPr>
        <w:t>формирования реалистичного прогноза поступлений доходов в бюджет округа;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взвешенного подхода к принятию новых расходных обязательств;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проведения ответственной долговой политики.</w:t>
      </w:r>
    </w:p>
    <w:p w:rsidR="00C224B4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б)</w:t>
      </w:r>
      <w:r w:rsidR="00C224B4">
        <w:rPr>
          <w:color w:val="000000"/>
        </w:rPr>
        <w:tab/>
      </w:r>
      <w:r w:rsidRPr="00811DEE">
        <w:t>Повышение</w:t>
      </w:r>
      <w:r w:rsidRPr="00811DEE">
        <w:rPr>
          <w:color w:val="000000"/>
        </w:rPr>
        <w:t xml:space="preserve"> эффективности оптимизации бюджетных расходов, в том числе за счет: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proofErr w:type="spellStart"/>
      <w:r w:rsidR="00811DEE" w:rsidRPr="00811DEE">
        <w:rPr>
          <w:color w:val="000000"/>
        </w:rPr>
        <w:t>приоритизации</w:t>
      </w:r>
      <w:proofErr w:type="spellEnd"/>
      <w:r w:rsidR="00811DEE" w:rsidRPr="00811DEE">
        <w:rPr>
          <w:color w:val="000000"/>
        </w:rPr>
        <w:t xml:space="preserve"> расходов бюджета округа;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повышени</w:t>
      </w:r>
      <w:r w:rsidR="00811DEE" w:rsidRPr="00811DEE">
        <w:rPr>
          <w:color w:val="000000" w:themeColor="text1"/>
        </w:rPr>
        <w:t>я</w:t>
      </w:r>
      <w:r w:rsidR="00811DEE" w:rsidRPr="00811DEE">
        <w:rPr>
          <w:color w:val="000000"/>
        </w:rPr>
        <w:t xml:space="preserve"> качества программного бюджетирования, исходя из планируемых и достигаемых результатов;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усиления контроля финансовой дисциплины отраслевых подразделений на основе проведения мониторинга реализации муниципальных программ.</w:t>
      </w:r>
    </w:p>
    <w:p w:rsidR="00C224B4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в)</w:t>
      </w:r>
      <w:r w:rsidR="00B87D20">
        <w:rPr>
          <w:color w:val="000000"/>
        </w:rPr>
        <w:t xml:space="preserve"> </w:t>
      </w:r>
      <w:r w:rsidRPr="00811DEE">
        <w:t>Повышение</w:t>
      </w:r>
      <w:r w:rsidRPr="00811DEE">
        <w:rPr>
          <w:color w:val="000000"/>
        </w:rPr>
        <w:t xml:space="preserve"> качества оказываемых муниципальных услуг (выполнение работ) в отношении подведомственных муниципальных учреждений Печенгского муниципального округа, в том числе за счет: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proofErr w:type="gramStart"/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установления муниципальных заданий на оказание муниципальных услуг (выполнение работ)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и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(классификаторами) государственных и муниципальных услуг;</w:t>
      </w:r>
      <w:proofErr w:type="gramEnd"/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определения финансового обеспечения муниципальных заданий в отношении муниципальных учреждений на основе нормативных затрат, установленных в соответствии с действующим законодательством;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бюджет округа в случае </w:t>
      </w:r>
      <w:proofErr w:type="gramStart"/>
      <w:r w:rsidR="00811DEE" w:rsidRPr="00811DEE">
        <w:rPr>
          <w:color w:val="000000"/>
        </w:rPr>
        <w:t>не достижения</w:t>
      </w:r>
      <w:proofErr w:type="gramEnd"/>
      <w:r w:rsidR="00811DEE" w:rsidRPr="00811DEE">
        <w:rPr>
          <w:color w:val="000000"/>
        </w:rPr>
        <w:t xml:space="preserve"> показателей, установленных в муниципальном задании;</w:t>
      </w:r>
    </w:p>
    <w:p w:rsidR="00C224B4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г)</w:t>
      </w:r>
      <w:r w:rsidR="00C224B4">
        <w:rPr>
          <w:color w:val="000000"/>
        </w:rPr>
        <w:tab/>
      </w:r>
      <w:r w:rsidRPr="00811DEE">
        <w:t>Повышение</w:t>
      </w:r>
      <w:r w:rsidRPr="00811DEE">
        <w:rPr>
          <w:color w:val="000000"/>
        </w:rPr>
        <w:t xml:space="preserve"> эффективности муниципального управления, в том числе за счет: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внедрения принципов инициативного бюджетирования;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реализации принципов открытости и прозрачности управления муниципальными финансами, раскрытия финансовой или иной информации о бюджете округа и бюджетном процессе;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совершенствования системы финансового контроля и контроля в сфере закупок.</w:t>
      </w:r>
    </w:p>
    <w:p w:rsidR="00C224B4" w:rsidRDefault="00E51FF7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Прогноз доходов бюджета округа сформирован с учетом</w:t>
      </w:r>
      <w:r w:rsidR="00811DEE" w:rsidRPr="00811DEE">
        <w:rPr>
          <w:color w:val="000000"/>
        </w:rPr>
        <w:t>: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E51FF7">
        <w:rPr>
          <w:color w:val="000000"/>
        </w:rPr>
        <w:t>-</w:t>
      </w:r>
      <w:r w:rsidRPr="00E51FF7">
        <w:rPr>
          <w:color w:val="000000"/>
        </w:rPr>
        <w:tab/>
      </w:r>
      <w:r w:rsidR="00811DEE" w:rsidRPr="00E51FF7">
        <w:rPr>
          <w:color w:val="000000"/>
        </w:rPr>
        <w:t>изменени</w:t>
      </w:r>
      <w:r w:rsidR="00E51FF7">
        <w:rPr>
          <w:color w:val="000000"/>
        </w:rPr>
        <w:t>й</w:t>
      </w:r>
      <w:r w:rsidR="00811DEE" w:rsidRPr="00E51FF7">
        <w:rPr>
          <w:color w:val="000000"/>
        </w:rPr>
        <w:t xml:space="preserve"> в налогово</w:t>
      </w:r>
      <w:r w:rsidR="00E51FF7">
        <w:rPr>
          <w:color w:val="000000"/>
        </w:rPr>
        <w:t>м</w:t>
      </w:r>
      <w:r w:rsidR="00811DEE" w:rsidRPr="00E51FF7">
        <w:rPr>
          <w:color w:val="000000"/>
        </w:rPr>
        <w:t xml:space="preserve"> и бюджетно</w:t>
      </w:r>
      <w:r w:rsidR="00E51FF7">
        <w:rPr>
          <w:color w:val="000000"/>
        </w:rPr>
        <w:t>м</w:t>
      </w:r>
      <w:r w:rsidR="00811DEE" w:rsidRPr="00E51FF7">
        <w:rPr>
          <w:color w:val="000000"/>
        </w:rPr>
        <w:t xml:space="preserve"> законодательств</w:t>
      </w:r>
      <w:r w:rsidR="00E51FF7">
        <w:rPr>
          <w:color w:val="000000"/>
        </w:rPr>
        <w:t>е</w:t>
      </w:r>
      <w:r w:rsidR="00811DEE" w:rsidRPr="00E51FF7">
        <w:rPr>
          <w:color w:val="000000"/>
        </w:rPr>
        <w:t xml:space="preserve"> Российской Федерации, принятых и планируемых к введению с 1 января 2022 года;</w:t>
      </w:r>
    </w:p>
    <w:p w:rsidR="00C224B4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предоставлени</w:t>
      </w:r>
      <w:r w:rsidR="00E51FF7">
        <w:rPr>
          <w:color w:val="000000"/>
        </w:rPr>
        <w:t>я</w:t>
      </w:r>
      <w:r w:rsidR="00811DEE" w:rsidRPr="00811DEE">
        <w:rPr>
          <w:color w:val="000000"/>
        </w:rPr>
        <w:t xml:space="preserve"> преференций, направленных на стимулирование инвестиционной активности в Печенгском муниципальном округе, в том числе резидентам Арктической зоны Российской Федерации;</w:t>
      </w:r>
    </w:p>
    <w:p w:rsidR="00811DEE" w:rsidRPr="00E51FF7" w:rsidRDefault="00C224B4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E51FF7">
        <w:rPr>
          <w:color w:val="000000"/>
        </w:rPr>
        <w:t>-</w:t>
      </w:r>
      <w:r w:rsidRPr="00E51FF7">
        <w:rPr>
          <w:color w:val="000000"/>
        </w:rPr>
        <w:tab/>
      </w:r>
      <w:r w:rsidR="00811DEE" w:rsidRPr="00E51FF7">
        <w:rPr>
          <w:color w:val="000000"/>
        </w:rPr>
        <w:t>информаци</w:t>
      </w:r>
      <w:r w:rsidR="00E51FF7" w:rsidRPr="00E51FF7">
        <w:rPr>
          <w:color w:val="000000"/>
        </w:rPr>
        <w:t>и</w:t>
      </w:r>
      <w:r w:rsidR="00811DEE" w:rsidRPr="00E51FF7">
        <w:rPr>
          <w:color w:val="000000"/>
        </w:rPr>
        <w:t xml:space="preserve"> главных администраторов (администраторов) доходов бюджета округа о состоянии и перспективах развития курируемых ими направлений, данные отчетности Межрайонной ИФНС России № 7 по Мурманской области и динамика </w:t>
      </w:r>
      <w:r w:rsidR="00811DEE" w:rsidRPr="00E51FF7">
        <w:rPr>
          <w:color w:val="000000"/>
        </w:rPr>
        <w:lastRenderedPageBreak/>
        <w:t xml:space="preserve">поступлений сумм конкретных доходных источников за ряд предыдущих лет, а также прогнозируемый на 2022-2024 годы индекс </w:t>
      </w:r>
      <w:r w:rsidR="00B87D20" w:rsidRPr="00E51FF7">
        <w:t>-</w:t>
      </w:r>
      <w:r w:rsidR="00811DEE" w:rsidRPr="00E51FF7">
        <w:rPr>
          <w:color w:val="000000"/>
        </w:rPr>
        <w:t xml:space="preserve"> дефлятор.</w:t>
      </w:r>
    </w:p>
    <w:p w:rsidR="0031247E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В соответствии с бюджетным законодательством Российской Федерации общий объем расходов бюджета округа предлагается определить исходя из соблюдения следующих положений:</w:t>
      </w:r>
    </w:p>
    <w:p w:rsidR="00FE635B" w:rsidRDefault="0031247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9813FF">
        <w:rPr>
          <w:color w:val="000000"/>
        </w:rPr>
        <w:t>-</w:t>
      </w:r>
      <w:r w:rsidRPr="009813FF">
        <w:rPr>
          <w:color w:val="000000"/>
        </w:rPr>
        <w:tab/>
      </w:r>
      <w:r w:rsidR="00811DEE" w:rsidRPr="009813FF">
        <w:rPr>
          <w:color w:val="000000"/>
        </w:rPr>
        <w:t xml:space="preserve">объем дефицита бюджета округа, объем муниципального долга сформированы с учетом </w:t>
      </w:r>
      <w:r w:rsidR="00FE635B" w:rsidRPr="009813FF">
        <w:rPr>
          <w:color w:val="000000"/>
        </w:rPr>
        <w:t xml:space="preserve">ограничений, установленных Бюджетным кодексом Российской Федерации, а также с учетом </w:t>
      </w:r>
      <w:r w:rsidR="00811DEE" w:rsidRPr="009813FF">
        <w:rPr>
          <w:color w:val="000000"/>
        </w:rPr>
        <w:t>соблюдени</w:t>
      </w:r>
      <w:r w:rsidR="009813FF">
        <w:rPr>
          <w:color w:val="000000"/>
        </w:rPr>
        <w:t>я</w:t>
      </w:r>
      <w:r w:rsidR="00811DEE" w:rsidRPr="009813FF">
        <w:rPr>
          <w:color w:val="000000"/>
        </w:rPr>
        <w:t xml:space="preserve"> условий соглашений, заключенных с Министерст</w:t>
      </w:r>
      <w:r w:rsidR="00FE635B" w:rsidRPr="009813FF">
        <w:rPr>
          <w:color w:val="000000"/>
        </w:rPr>
        <w:t>вом финансов Мурманской области;</w:t>
      </w:r>
    </w:p>
    <w:p w:rsidR="0031247E" w:rsidRDefault="00FE635B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осуществ</w:t>
      </w:r>
      <w:r w:rsidR="00811DEE" w:rsidRPr="00811DEE">
        <w:rPr>
          <w:color w:val="000000"/>
        </w:rPr>
        <w:t>ление бюджетных инвестиций в объекты инфраструктуры в целях реализации новых инвестиционных проектов;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установление и исполнение расходных обязатель</w:t>
      </w:r>
      <w:proofErr w:type="gramStart"/>
      <w:r w:rsidR="00811DEE" w:rsidRPr="00811DEE">
        <w:rPr>
          <w:color w:val="000000"/>
        </w:rPr>
        <w:t>ств в пр</w:t>
      </w:r>
      <w:proofErr w:type="gramEnd"/>
      <w:r w:rsidR="00811DEE" w:rsidRPr="00811DEE">
        <w:rPr>
          <w:color w:val="000000"/>
        </w:rPr>
        <w:t>еделах полномочий, отнесенных Конституцией Российской Федерации, федеральными законами к полномочиям органов местного самоуправления муниципального округа, и с учетом требований статьи 130 Бюджетного кодекса Российской Федерации;</w:t>
      </w:r>
    </w:p>
    <w:p w:rsidR="00811DEE" w:rsidRPr="00811DEE" w:rsidRDefault="0031247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 xml:space="preserve">соблюдение нормативов формирования расходов на </w:t>
      </w:r>
      <w:r w:rsidR="00811DEE" w:rsidRPr="009813FF">
        <w:rPr>
          <w:color w:val="000000"/>
        </w:rPr>
        <w:t>содержание органов местного самоуправления, установленных Пр</w:t>
      </w:r>
      <w:r w:rsidR="00FE635B" w:rsidRPr="009813FF">
        <w:rPr>
          <w:color w:val="000000"/>
        </w:rPr>
        <w:t>авительством Мурманской области.</w:t>
      </w:r>
    </w:p>
    <w:p w:rsidR="0031247E" w:rsidRDefault="00811DE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 xml:space="preserve">В условиях недостаточности объема доходной базы бюджета округа и необходимости соблюдения условий соглашений, заключенных с Министерством финансов Мурманской области, предельные объемы бюджетных ассигнований бюджета </w:t>
      </w:r>
      <w:r w:rsidRPr="009813FF">
        <w:rPr>
          <w:rFonts w:eastAsiaTheme="minorEastAsia"/>
        </w:rPr>
        <w:t>округа на реализацию муниципальных программ и направлений деятельности, не входящи</w:t>
      </w:r>
      <w:r w:rsidR="00FE635B" w:rsidRPr="009813FF">
        <w:rPr>
          <w:rFonts w:eastAsiaTheme="minorEastAsia"/>
        </w:rPr>
        <w:t>е</w:t>
      </w:r>
      <w:r w:rsidRPr="00811DEE">
        <w:rPr>
          <w:rFonts w:eastAsiaTheme="minorEastAsia"/>
        </w:rPr>
        <w:t xml:space="preserve"> в муниципальные программы, сформированы на 2022-2024 годы с учетом следующих основных подходов: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</w:pPr>
      <w:r>
        <w:rPr>
          <w:rFonts w:eastAsiaTheme="minorEastAsia"/>
        </w:rPr>
        <w:t>-</w:t>
      </w:r>
      <w:r>
        <w:rPr>
          <w:rFonts w:eastAsiaTheme="minorEastAsia"/>
        </w:rPr>
        <w:tab/>
      </w:r>
      <w:r w:rsidR="00811DEE" w:rsidRPr="00811DEE">
        <w:rPr>
          <w:rFonts w:eastAsiaTheme="minorEastAsia"/>
        </w:rPr>
        <w:t>включение в проект решения о бюджете округа объемов бюджетных ассигнований, направленных на реализацию национальных (региональных) проектов (программ), мер предусмотренных в Послании Президента Российской Федерации Федеральному Собранию Российской Федерации от 21.04.2021 года</w:t>
      </w:r>
      <w:r w:rsidR="00811DEE" w:rsidRPr="00811DEE">
        <w:t>;</w:t>
      </w:r>
    </w:p>
    <w:p w:rsidR="0031247E" w:rsidRPr="009813FF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9813FF">
        <w:t>-</w:t>
      </w:r>
      <w:r w:rsidRPr="009813FF">
        <w:tab/>
      </w:r>
      <w:r w:rsidR="00811DEE" w:rsidRPr="009813FF">
        <w:rPr>
          <w:rFonts w:eastAsiaTheme="minorEastAsia"/>
        </w:rPr>
        <w:t xml:space="preserve">уточнение объема принятых обязательств с учетом </w:t>
      </w:r>
      <w:r w:rsidR="009813FF" w:rsidRPr="009813FF">
        <w:rPr>
          <w:rFonts w:eastAsiaTheme="minorEastAsia"/>
        </w:rPr>
        <w:t xml:space="preserve">прекращающихся расходных обязательств ограниченного срока действия и </w:t>
      </w:r>
      <w:r w:rsidR="00811DEE" w:rsidRPr="009813FF">
        <w:rPr>
          <w:rFonts w:eastAsiaTheme="minorEastAsia"/>
        </w:rPr>
        <w:t>изменения контингента получателей;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 w:rsidRPr="009813FF">
        <w:rPr>
          <w:rFonts w:eastAsiaTheme="minorEastAsia"/>
        </w:rPr>
        <w:t>-</w:t>
      </w:r>
      <w:r w:rsidRPr="009813FF">
        <w:rPr>
          <w:rFonts w:eastAsiaTheme="minorEastAsia"/>
        </w:rPr>
        <w:tab/>
      </w:r>
      <w:r w:rsidR="00811DEE" w:rsidRPr="009813FF">
        <w:rPr>
          <w:rFonts w:eastAsiaTheme="minorEastAsia"/>
        </w:rPr>
        <w:t>ежегодн</w:t>
      </w:r>
      <w:r w:rsidR="00FE635B" w:rsidRPr="009813FF">
        <w:rPr>
          <w:rFonts w:eastAsiaTheme="minorEastAsia"/>
        </w:rPr>
        <w:t>ая</w:t>
      </w:r>
      <w:r w:rsidR="00811DEE" w:rsidRPr="009813FF">
        <w:rPr>
          <w:rFonts w:eastAsiaTheme="minorEastAsia"/>
        </w:rPr>
        <w:t xml:space="preserve"> индексаци</w:t>
      </w:r>
      <w:r w:rsidR="00FE635B" w:rsidRPr="009813FF">
        <w:rPr>
          <w:rFonts w:eastAsiaTheme="minorEastAsia"/>
        </w:rPr>
        <w:t>я</w:t>
      </w:r>
      <w:r w:rsidR="00811DEE" w:rsidRPr="009813FF">
        <w:rPr>
          <w:rFonts w:eastAsiaTheme="minorEastAsia"/>
        </w:rPr>
        <w:t xml:space="preserve"> в трехлетнем периоде</w:t>
      </w:r>
      <w:r w:rsidR="00811DEE" w:rsidRPr="00811DEE">
        <w:rPr>
          <w:rFonts w:eastAsiaTheme="minorEastAsia"/>
        </w:rPr>
        <w:t xml:space="preserve"> с 1 января расходов на </w:t>
      </w:r>
      <w:r w:rsidR="00811DEE" w:rsidRPr="00811DEE">
        <w:t xml:space="preserve">оплату коммунальных услуг </w:t>
      </w:r>
      <w:r w:rsidR="00811DEE" w:rsidRPr="00811DEE">
        <w:rPr>
          <w:rFonts w:eastAsiaTheme="minorEastAsia"/>
        </w:rPr>
        <w:t>на 3,9 процента;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</w:pPr>
      <w:r>
        <w:rPr>
          <w:rFonts w:eastAsiaTheme="minorEastAsia"/>
        </w:rPr>
        <w:t>-</w:t>
      </w:r>
      <w:r>
        <w:rPr>
          <w:rFonts w:eastAsiaTheme="minorEastAsia"/>
        </w:rPr>
        <w:tab/>
      </w:r>
      <w:r w:rsidR="00811DEE" w:rsidRPr="00811DEE">
        <w:t xml:space="preserve">сохранение в 2022-2024 годах установленных указами Президента Российской </w:t>
      </w:r>
      <w:proofErr w:type="gramStart"/>
      <w:r w:rsidR="00811DEE" w:rsidRPr="00811DEE">
        <w:t>Федерации целевых показателей повышения оплаты труда работников</w:t>
      </w:r>
      <w:proofErr w:type="gramEnd"/>
      <w:r w:rsidR="00811DEE" w:rsidRPr="00811DEE">
        <w:t xml:space="preserve"> в сфере образования, культуры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5,0 процентов;</w:t>
      </w:r>
    </w:p>
    <w:p w:rsidR="0031247E" w:rsidRPr="009813FF" w:rsidRDefault="0031247E" w:rsidP="00811DEE">
      <w:pPr>
        <w:tabs>
          <w:tab w:val="left" w:pos="993"/>
        </w:tabs>
        <w:ind w:left="-15" w:firstLine="709"/>
        <w:jc w:val="both"/>
      </w:pPr>
      <w:r w:rsidRPr="009813FF">
        <w:t>-</w:t>
      </w:r>
      <w:r w:rsidRPr="009813FF">
        <w:tab/>
      </w:r>
      <w:r w:rsidR="00811DEE" w:rsidRPr="009813FF">
        <w:t>ежегодн</w:t>
      </w:r>
      <w:r w:rsidR="00FE635B" w:rsidRPr="009813FF">
        <w:t xml:space="preserve">ая </w:t>
      </w:r>
      <w:r w:rsidR="00811DEE" w:rsidRPr="009813FF">
        <w:t>индексаци</w:t>
      </w:r>
      <w:r w:rsidR="00FE635B" w:rsidRPr="009813FF">
        <w:t>я</w:t>
      </w:r>
      <w:r w:rsidR="00811DEE" w:rsidRPr="009813FF">
        <w:t xml:space="preserve"> в трехлетнем периоде с 1 октября </w:t>
      </w:r>
      <w:proofErr w:type="gramStart"/>
      <w:r w:rsidR="00811DEE" w:rsidRPr="009813FF">
        <w:t>оплаты труда работников органов местного самоуправления</w:t>
      </w:r>
      <w:proofErr w:type="gramEnd"/>
      <w:r w:rsidR="00811DEE" w:rsidRPr="009813FF">
        <w:t xml:space="preserve"> и муниципальных учреждений, которые не попадают под действие указов Президента Российской Федерации на 4 процента;</w:t>
      </w:r>
    </w:p>
    <w:p w:rsidR="0031247E" w:rsidRPr="009813FF" w:rsidRDefault="0031247E" w:rsidP="00811DEE">
      <w:pPr>
        <w:tabs>
          <w:tab w:val="left" w:pos="993"/>
        </w:tabs>
        <w:ind w:left="-15" w:firstLine="709"/>
        <w:jc w:val="both"/>
      </w:pPr>
      <w:r w:rsidRPr="009813FF">
        <w:t>-</w:t>
      </w:r>
      <w:r w:rsidRPr="009813FF">
        <w:tab/>
      </w:r>
      <w:r w:rsidR="00811DEE" w:rsidRPr="009813FF">
        <w:rPr>
          <w:rFonts w:eastAsiaTheme="minorEastAsia"/>
        </w:rPr>
        <w:t>ежегодн</w:t>
      </w:r>
      <w:r w:rsidR="00FE635B" w:rsidRPr="009813FF">
        <w:rPr>
          <w:rFonts w:eastAsiaTheme="minorEastAsia"/>
        </w:rPr>
        <w:t>ая и</w:t>
      </w:r>
      <w:r w:rsidR="00811DEE" w:rsidRPr="009813FF">
        <w:rPr>
          <w:rFonts w:eastAsiaTheme="minorEastAsia"/>
        </w:rPr>
        <w:t>ндексаци</w:t>
      </w:r>
      <w:r w:rsidR="00FE635B" w:rsidRPr="009813FF">
        <w:rPr>
          <w:rFonts w:eastAsiaTheme="minorEastAsia"/>
        </w:rPr>
        <w:t>я</w:t>
      </w:r>
      <w:r w:rsidR="00811DEE" w:rsidRPr="009813FF">
        <w:rPr>
          <w:rFonts w:eastAsiaTheme="minorEastAsia"/>
        </w:rPr>
        <w:t xml:space="preserve"> в трехлетнем периоде с 1 января </w:t>
      </w:r>
      <w:r w:rsidR="00811DEE" w:rsidRPr="009813FF">
        <w:t>расходов на обеспечение бесплатным питанием в учреждениях образования на 4 процента;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</w:pPr>
      <w:r w:rsidRPr="009813FF">
        <w:t>-</w:t>
      </w:r>
      <w:r w:rsidRPr="009813FF">
        <w:tab/>
      </w:r>
      <w:r w:rsidR="00811DEE" w:rsidRPr="009813FF">
        <w:t>изменени</w:t>
      </w:r>
      <w:r w:rsidR="00FE635B" w:rsidRPr="009813FF">
        <w:t>е</w:t>
      </w:r>
      <w:r w:rsidR="00811DEE" w:rsidRPr="009813FF">
        <w:t xml:space="preserve"> предельной базы для исчисления страховых взносов на обязательное социальное страхование на случай</w:t>
      </w:r>
      <w:r w:rsidR="00811DEE" w:rsidRPr="00811DEE">
        <w:t xml:space="preserve"> временной нетрудоспособности и в связи с материнством и предельной величины базы для исчисления страховых взносов на обязательное пенсионное страхование с учетом положений статьи 421 Налогового кодекса Российской Федерации в 2022 - 2024 годах: ФСС </w:t>
      </w:r>
      <w:r w:rsidR="00B87D20">
        <w:t>-</w:t>
      </w:r>
      <w:r w:rsidR="00811DEE" w:rsidRPr="00811DEE">
        <w:t xml:space="preserve"> 966 000 рублей, ПФР </w:t>
      </w:r>
      <w:r w:rsidR="00B87D20">
        <w:t>-</w:t>
      </w:r>
      <w:r w:rsidR="00811DEE" w:rsidRPr="00811DEE">
        <w:t xml:space="preserve"> 1 465 000 рублей.</w:t>
      </w:r>
    </w:p>
    <w:p w:rsidR="0031247E" w:rsidRDefault="00811DEE" w:rsidP="00811DEE">
      <w:pPr>
        <w:tabs>
          <w:tab w:val="left" w:pos="993"/>
        </w:tabs>
        <w:ind w:left="-15" w:firstLine="709"/>
        <w:jc w:val="both"/>
        <w:rPr>
          <w:color w:val="000000"/>
        </w:rPr>
      </w:pPr>
      <w:r w:rsidRPr="00811DEE">
        <w:rPr>
          <w:color w:val="000000"/>
        </w:rPr>
        <w:t>Формирование объемов и структуры расходов бюджета округа на 2022- 2024 годы будет проводиться с учетом следующих факторов: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="00811DEE" w:rsidRPr="00811DEE">
        <w:rPr>
          <w:color w:val="000000"/>
        </w:rPr>
        <w:t>р</w:t>
      </w:r>
      <w:r w:rsidR="00811DEE" w:rsidRPr="00811DEE">
        <w:rPr>
          <w:rFonts w:eastAsiaTheme="minorEastAsia"/>
        </w:rPr>
        <w:t>еализация указов Президента Российской Федерации с учетом использования внутренних ресурсов отраслей, полученных в результате реализации мер по оптимизации расходов и привлечения средств от приносящей доход деятельности;</w:t>
      </w:r>
    </w:p>
    <w:p w:rsidR="0031247E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-</w:t>
      </w:r>
      <w:r>
        <w:rPr>
          <w:rFonts w:eastAsiaTheme="minorEastAsia"/>
        </w:rPr>
        <w:tab/>
      </w:r>
      <w:r w:rsidR="00811DEE" w:rsidRPr="00811DEE">
        <w:rPr>
          <w:rFonts w:eastAsiaTheme="minorEastAsia"/>
        </w:rPr>
        <w:t>осуществление бюджетных инвестиций в объекты капитального строительства, по которым предусмотрено софинансирование за счет средств вышестоящих бюджетов, а также с учетом необходимости завершения ранее начатых проектов;</w:t>
      </w:r>
    </w:p>
    <w:p w:rsidR="00B85768" w:rsidRDefault="0031247E" w:rsidP="00811DEE">
      <w:pPr>
        <w:tabs>
          <w:tab w:val="left" w:pos="993"/>
        </w:tabs>
        <w:ind w:left="-15" w:firstLine="709"/>
        <w:jc w:val="both"/>
        <w:rPr>
          <w:rFonts w:eastAsiaTheme="minorEastAsia"/>
        </w:rPr>
      </w:pPr>
      <w:r>
        <w:rPr>
          <w:rFonts w:eastAsiaTheme="minorEastAsia"/>
        </w:rPr>
        <w:t>-</w:t>
      </w:r>
      <w:r>
        <w:rPr>
          <w:rFonts w:eastAsiaTheme="minorEastAsia"/>
        </w:rPr>
        <w:tab/>
      </w:r>
      <w:r w:rsidR="00811DEE" w:rsidRPr="00811DEE">
        <w:rPr>
          <w:rFonts w:eastAsiaTheme="minorEastAsia"/>
        </w:rPr>
        <w:t>формирование бюджетных ассигнований на предоставление субсидий юридическим лицам, индивидуальным предпринимателям, а также физическим лицам - производителям товаров, работ будет осуществляться с учетом отраслевых особенностей</w:t>
      </w:r>
      <w:r w:rsidR="00B85768">
        <w:rPr>
          <w:rFonts w:eastAsiaTheme="minorEastAsia"/>
        </w:rPr>
        <w:t>;</w:t>
      </w:r>
    </w:p>
    <w:p w:rsidR="00811DEE" w:rsidRPr="00811DEE" w:rsidRDefault="00B85768" w:rsidP="00811DEE">
      <w:pPr>
        <w:tabs>
          <w:tab w:val="left" w:pos="993"/>
        </w:tabs>
        <w:ind w:left="-15" w:firstLine="709"/>
        <w:jc w:val="both"/>
      </w:pPr>
      <w:r>
        <w:rPr>
          <w:rFonts w:eastAsiaTheme="minorEastAsia"/>
        </w:rPr>
        <w:t>-</w:t>
      </w:r>
      <w:r>
        <w:rPr>
          <w:rFonts w:eastAsiaTheme="minorEastAsia"/>
        </w:rPr>
        <w:tab/>
        <w:t>формирование бюджетных ассигнований на уплату налога на имущество организаций на основании положений главы 30 Налогового кодекса Российской Федерации</w:t>
      </w:r>
      <w:r w:rsidR="006317DB">
        <w:rPr>
          <w:rFonts w:eastAsiaTheme="minorEastAsia"/>
        </w:rPr>
        <w:t xml:space="preserve"> и стат</w:t>
      </w:r>
      <w:r w:rsidR="009813FF">
        <w:rPr>
          <w:rFonts w:eastAsiaTheme="minorEastAsia"/>
        </w:rPr>
        <w:t>ей</w:t>
      </w:r>
      <w:r w:rsidR="006317DB">
        <w:rPr>
          <w:rFonts w:eastAsiaTheme="minorEastAsia"/>
        </w:rPr>
        <w:t xml:space="preserve"> 1-3 Закона Мурманской области от 26.11.2003 № 446-01-ЗМО «О налоге на имущество организаций», а также с учетом применения коэффициента платной деятельности при расчете ассигнований на 2022-2024 годы.</w:t>
      </w:r>
    </w:p>
    <w:p w:rsidR="00811DEE" w:rsidRPr="00811DEE" w:rsidRDefault="00811DEE" w:rsidP="00811DEE">
      <w:pPr>
        <w:tabs>
          <w:tab w:val="left" w:pos="426"/>
        </w:tabs>
        <w:jc w:val="center"/>
        <w:rPr>
          <w:b/>
          <w:highlight w:val="yellow"/>
        </w:rPr>
      </w:pPr>
    </w:p>
    <w:p w:rsidR="00811DEE" w:rsidRPr="00811DEE" w:rsidRDefault="00811DEE" w:rsidP="00811DEE">
      <w:pPr>
        <w:tabs>
          <w:tab w:val="left" w:pos="426"/>
        </w:tabs>
        <w:jc w:val="center"/>
        <w:rPr>
          <w:b/>
        </w:rPr>
      </w:pPr>
      <w:r w:rsidRPr="00811DEE">
        <w:rPr>
          <w:b/>
        </w:rPr>
        <w:t>5.</w:t>
      </w:r>
      <w:r w:rsidRPr="00811DEE">
        <w:rPr>
          <w:b/>
        </w:rPr>
        <w:tab/>
        <w:t xml:space="preserve">Основные направления в сфере управления муниципальным долгом </w:t>
      </w:r>
    </w:p>
    <w:p w:rsidR="00811DEE" w:rsidRPr="00811DEE" w:rsidRDefault="00811DEE" w:rsidP="00811DEE">
      <w:pPr>
        <w:tabs>
          <w:tab w:val="left" w:pos="426"/>
        </w:tabs>
        <w:jc w:val="center"/>
        <w:rPr>
          <w:b/>
        </w:rPr>
      </w:pPr>
      <w:r w:rsidRPr="00811DEE">
        <w:rPr>
          <w:b/>
        </w:rPr>
        <w:t>на 2022-2024 годы</w:t>
      </w:r>
    </w:p>
    <w:p w:rsidR="00811DEE" w:rsidRPr="00811DEE" w:rsidRDefault="00811DEE" w:rsidP="00811DEE">
      <w:pPr>
        <w:tabs>
          <w:tab w:val="left" w:pos="426"/>
        </w:tabs>
        <w:ind w:firstLine="724"/>
        <w:jc w:val="center"/>
        <w:rPr>
          <w:b/>
          <w:highlight w:val="yellow"/>
        </w:rPr>
      </w:pPr>
    </w:p>
    <w:p w:rsidR="0031247E" w:rsidRDefault="00811DEE" w:rsidP="00811DEE">
      <w:pPr>
        <w:tabs>
          <w:tab w:val="left" w:pos="1134"/>
        </w:tabs>
        <w:ind w:firstLine="724"/>
        <w:jc w:val="both"/>
      </w:pPr>
      <w:proofErr w:type="gramStart"/>
      <w:r w:rsidRPr="00811DEE">
        <w:t>Долговая политика Печенгского муниципального округа – это стратегия  управления муниципальными внутренними заимствованиями, направленными на обеспечение потребностей Печенгского муниципального округа в заемном финансировании</w:t>
      </w:r>
      <w:r w:rsidRPr="009813FF">
        <w:t>, с</w:t>
      </w:r>
      <w:r w:rsidR="006317DB" w:rsidRPr="009813FF">
        <w:t>воевременное</w:t>
      </w:r>
      <w:r w:rsidR="006317DB">
        <w:t xml:space="preserve"> </w:t>
      </w:r>
      <w:r w:rsidRPr="00811DEE">
        <w:t>и полное исполнение муниципальных долговых обязательств Печенгского муниципального округа, минимизацию расходов на обслуживание муниципального долга, поддержание объема и структуры обязательств Печенгского муниципального округа, исключающих их неисполнение, соблюдение значений показателей, обеспечивающих высокий уровень долговой устойчивости Печенгского муниципального округа, а</w:t>
      </w:r>
      <w:proofErr w:type="gramEnd"/>
      <w:r w:rsidRPr="00811DEE">
        <w:t xml:space="preserve"> также на обеспечение финансирования дефицита бюджета округа.</w:t>
      </w:r>
    </w:p>
    <w:p w:rsidR="0031247E" w:rsidRDefault="00811DEE" w:rsidP="00811DEE">
      <w:pPr>
        <w:tabs>
          <w:tab w:val="left" w:pos="1134"/>
        </w:tabs>
        <w:ind w:firstLine="724"/>
        <w:jc w:val="both"/>
      </w:pPr>
      <w:r w:rsidRPr="00811DEE">
        <w:t>Информация о долговой политике является открытой и общедоступной.</w:t>
      </w:r>
    </w:p>
    <w:p w:rsidR="0031247E" w:rsidRDefault="00811DEE" w:rsidP="00811DEE">
      <w:pPr>
        <w:tabs>
          <w:tab w:val="left" w:pos="1134"/>
        </w:tabs>
        <w:ind w:firstLine="724"/>
        <w:jc w:val="both"/>
      </w:pPr>
      <w:r w:rsidRPr="00811DEE">
        <w:t>Основными факторами, определяющими направления долговой политики Печенгского муниципального округа на 2022- 2024 годы, являются: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вероятность воздействия макроэкономических рисков по ухудшению экономической конъюнктуры внешнего и внутреннего рынков, а также изменения инвестиционных планов (стратегий);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изменения, вносимые в бюджетное законодательство Российской Федерации;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нестабильность законодательства о налогах и сборах Российской Федерации;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рост расходных обязательств Печенгского муниципального округа, обусловленный необходимостью достижения целевых показателей региональных и муниципальных проектов, реализуемых в соответствующих национальных проектах, направленных на достижение национальных целей развития, установленных Указом Президента Российской Федерации от 07.025.2018 № 204 «О национальных целях и стратегических задачах развития Российской Федерации на период до 2024 года»;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выполнение условий дополнительных соглашений о реструктуризации бюджетных кредитов, предоставленных муниципалитету из областного бюджета,  в части снижения объема муниципального долга.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>Вышеперечисленные факторы оказывают влияние на изменение размера дефицита бюджета округа и необходимость его финансирования путем осуществления заимствований в экономически обоснованных объемах, не превышающих ограничения, установленные дополнительными соглашениями о реструктуризации бюджетных кредитов.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>Инструментами реализации долговой политики Печенгского муниципального округа являются следующие обязательства Печенгского муниципального округа: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>а)</w:t>
      </w:r>
      <w:r w:rsidR="0031247E">
        <w:tab/>
      </w:r>
      <w:r w:rsidRPr="00811DEE">
        <w:t>привлечение заемных сре</w:t>
      </w:r>
      <w:proofErr w:type="gramStart"/>
      <w:r w:rsidRPr="00811DEE">
        <w:t>дств в в</w:t>
      </w:r>
      <w:proofErr w:type="gramEnd"/>
      <w:r w:rsidRPr="00811DEE">
        <w:t>иде кредитов от кредитных организаций.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 xml:space="preserve">Этот инструмент долговой политики является наиболее мобильным и доступным для использования. Гибкость возобновляемых кредитных линий, возможность </w:t>
      </w:r>
      <w:r w:rsidRPr="00811DEE">
        <w:lastRenderedPageBreak/>
        <w:t>оперативного управления объемом муниципального долга, изменение процентных ставок по итогам проведения новых аукционов с более привлекательными условиями по стоимости обслуживания муниципального долга Печенгского муниципального округа.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>б)</w:t>
      </w:r>
      <w:r w:rsidR="0031247E">
        <w:tab/>
      </w:r>
      <w:r w:rsidRPr="00811DEE">
        <w:t>привлечение остатков средств муниципальных бюджетных и автономных учреждений, а также остатков средств, поступающих во временное распоряжение получателей средств бюджета округа с соответствующих казначейских счетов Управления Федерального казначейства по Мурманской области на единый счет бюджета округа.</w:t>
      </w:r>
    </w:p>
    <w:p w:rsidR="0031247E" w:rsidRDefault="00811DEE" w:rsidP="0031247E">
      <w:pPr>
        <w:tabs>
          <w:tab w:val="left" w:pos="993"/>
        </w:tabs>
        <w:ind w:firstLine="724"/>
        <w:jc w:val="both"/>
      </w:pPr>
      <w:r w:rsidRPr="00811DEE">
        <w:t>Использование данного инструмента позволяет: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сократить объем кредитов, привлекаемых от кредитных организаций;</w:t>
      </w:r>
    </w:p>
    <w:p w:rsidR="0031247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минимизировать расходы на обслуживание муниципального долга Печенгского муниципального округа;</w:t>
      </w:r>
    </w:p>
    <w:p w:rsidR="00811DEE" w:rsidRDefault="0031247E" w:rsidP="0031247E">
      <w:pPr>
        <w:tabs>
          <w:tab w:val="left" w:pos="993"/>
        </w:tabs>
        <w:ind w:firstLine="724"/>
        <w:jc w:val="both"/>
      </w:pPr>
      <w:r>
        <w:t>-</w:t>
      </w:r>
      <w:r>
        <w:tab/>
      </w:r>
      <w:r w:rsidR="00811DEE" w:rsidRPr="00811DEE">
        <w:t>оперативно управлять остатками средств на счетах бюджета округа.</w:t>
      </w:r>
    </w:p>
    <w:p w:rsidR="00BA6203" w:rsidRDefault="00BA6203" w:rsidP="0031247E">
      <w:pPr>
        <w:tabs>
          <w:tab w:val="left" w:pos="993"/>
        </w:tabs>
        <w:ind w:firstLine="724"/>
        <w:jc w:val="both"/>
      </w:pPr>
      <w:r>
        <w:t>в)</w:t>
      </w:r>
      <w:r>
        <w:tab/>
        <w:t>при</w:t>
      </w:r>
      <w:r w:rsidR="005E2D29">
        <w:t xml:space="preserve">влечение </w:t>
      </w:r>
      <w:r>
        <w:t>за</w:t>
      </w:r>
      <w:r w:rsidR="005E2D29">
        <w:t xml:space="preserve">емных </w:t>
      </w:r>
      <w:proofErr w:type="gramStart"/>
      <w:r w:rsidR="005E2D29">
        <w:t>средств</w:t>
      </w:r>
      <w:proofErr w:type="gramEnd"/>
      <w:r w:rsidR="005E2D29">
        <w:t xml:space="preserve"> из областного бюджета исходя из реальных</w:t>
      </w:r>
      <w:r>
        <w:t xml:space="preserve"> потребност</w:t>
      </w:r>
      <w:r w:rsidR="005E2D29">
        <w:t xml:space="preserve">ей </w:t>
      </w:r>
      <w:r>
        <w:t xml:space="preserve">бюджета округа в  привлечении </w:t>
      </w:r>
      <w:r w:rsidR="005E2D29">
        <w:t>таких средств.</w:t>
      </w:r>
    </w:p>
    <w:p w:rsidR="00BA6203" w:rsidRPr="00811DEE" w:rsidRDefault="00BA6203" w:rsidP="0031247E">
      <w:pPr>
        <w:tabs>
          <w:tab w:val="left" w:pos="993"/>
        </w:tabs>
        <w:ind w:firstLine="724"/>
        <w:jc w:val="both"/>
      </w:pPr>
      <w:r>
        <w:t xml:space="preserve">Привлечение бюджетных кредитов на погашение дефицита бюджета округа наиболее выгодно с точки зрения долговой нагрузки на бюджет округа. </w:t>
      </w:r>
      <w:r w:rsidR="005E2D29">
        <w:t xml:space="preserve">Планируется </w:t>
      </w:r>
      <w:r>
        <w:t xml:space="preserve">в 2022 году </w:t>
      </w:r>
      <w:r w:rsidR="005E2D29">
        <w:t xml:space="preserve">и плановом периоде </w:t>
      </w:r>
      <w:r>
        <w:t xml:space="preserve">сохранить достигнутый </w:t>
      </w:r>
      <w:r w:rsidR="005E2D29">
        <w:t xml:space="preserve">высокий </w:t>
      </w:r>
      <w:r>
        <w:t xml:space="preserve">уровень долговой  </w:t>
      </w:r>
      <w:r w:rsidR="005E2D29">
        <w:t>устойчивости Печенгского муниципального округа.</w:t>
      </w:r>
    </w:p>
    <w:p w:rsidR="00811DEE" w:rsidRPr="00811DEE" w:rsidRDefault="00811DEE" w:rsidP="00811DEE">
      <w:pPr>
        <w:tabs>
          <w:tab w:val="left" w:pos="1134"/>
        </w:tabs>
        <w:ind w:firstLine="724"/>
        <w:jc w:val="both"/>
      </w:pPr>
    </w:p>
    <w:p w:rsidR="00811DEE" w:rsidRPr="00811DEE" w:rsidRDefault="00811DEE" w:rsidP="00811DEE">
      <w:pPr>
        <w:tabs>
          <w:tab w:val="left" w:pos="426"/>
        </w:tabs>
        <w:jc w:val="center"/>
        <w:rPr>
          <w:b/>
          <w:caps/>
        </w:rPr>
      </w:pPr>
      <w:r w:rsidRPr="00811DEE">
        <w:rPr>
          <w:b/>
        </w:rPr>
        <w:t>6.</w:t>
      </w:r>
      <w:r w:rsidRPr="00811DEE">
        <w:rPr>
          <w:b/>
        </w:rPr>
        <w:tab/>
        <w:t>Заключительные положения</w:t>
      </w:r>
    </w:p>
    <w:p w:rsidR="00811DEE" w:rsidRPr="00811DEE" w:rsidRDefault="00811DEE" w:rsidP="00811DEE">
      <w:pPr>
        <w:shd w:val="clear" w:color="auto" w:fill="FFFFFF"/>
        <w:ind w:firstLine="724"/>
        <w:jc w:val="center"/>
        <w:rPr>
          <w:b/>
          <w:caps/>
          <w:highlight w:val="yellow"/>
        </w:rPr>
      </w:pP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Сформированный с учетом изложенных выше направлений бюджетной и налоговой политики проект бюджета округа на 2022 - 2024 годы предполагает направление в приоритетном порядке бюджетных ассигнований на реализацию национальных проектов (программ), приоритетных региональных проектов, муниципальных программ, а также задач, поставленных Президентом Российской Федерации Федеральному Собранию.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Благодаря реализации комплексного подхода к обеспечению устойчивости бюджета округа долговая нагрузка на бюджет округа будет оставаться на безопасном уровне.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Источниками внутреннего финансирования дефицита бюджета округа в рассматриваемом периоде будут являться разница между полученными (погашенными) кредитами от кредитных организаций, изменение остатков на счетах по учету средств бюджета округа в течение соответствующего финансового года, иные внутренние источники финансирования.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811DEE">
        <w:rPr>
          <w:rFonts w:eastAsiaTheme="minorEastAsia"/>
        </w:rPr>
        <w:t>Кроме того, в целях эффективного использования расходов, связанных с обслуживанием внутреннего муниципального долга, и во избежание возникновения кассовых разрывов, будут привлекаться остатки временно свободных средств на счетах муниципальных бюджетных, автономных и казенных учреждений.</w:t>
      </w:r>
    </w:p>
    <w:p w:rsidR="00811DEE" w:rsidRPr="00811DEE" w:rsidRDefault="00811DEE" w:rsidP="00811DE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11DEE">
        <w:rPr>
          <w:rFonts w:eastAsiaTheme="minorEastAsia"/>
        </w:rPr>
        <w:t>Реализация мер по повышению качества  управления муниципальными финансами  Печенгского муниципального округа и эффективности использования бюджетных средств будет продолжена за счет осуществления мероприятий, направленных на повышение качества планирования и эффективности реализации муниципальных программ Печенгского муниципального округа исходя из ожидаемых результатов, с учетом изменения законодательства на федеральном и региональном уровнях.</w:t>
      </w:r>
    </w:p>
    <w:p w:rsidR="00811DEE" w:rsidRDefault="00811DEE">
      <w:pPr>
        <w:rPr>
          <w:rFonts w:eastAsia="Calibri"/>
          <w:b/>
          <w:color w:val="000000"/>
        </w:rPr>
      </w:pPr>
      <w:bookmarkStart w:id="1" w:name="_GoBack"/>
      <w:bookmarkEnd w:id="0"/>
      <w:bookmarkEnd w:id="1"/>
    </w:p>
    <w:sectPr w:rsidR="00811DEE" w:rsidSect="00811D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51A8"/>
    <w:multiLevelType w:val="hybridMultilevel"/>
    <w:tmpl w:val="27E26100"/>
    <w:lvl w:ilvl="0" w:tplc="440872CA">
      <w:start w:val="2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36E22D0B"/>
    <w:multiLevelType w:val="hybridMultilevel"/>
    <w:tmpl w:val="06901804"/>
    <w:lvl w:ilvl="0" w:tplc="A1E2DC68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05894"/>
    <w:multiLevelType w:val="hybridMultilevel"/>
    <w:tmpl w:val="B762B506"/>
    <w:lvl w:ilvl="0" w:tplc="2C204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286C97"/>
    <w:multiLevelType w:val="hybridMultilevel"/>
    <w:tmpl w:val="A684B818"/>
    <w:lvl w:ilvl="0" w:tplc="988238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963144C"/>
    <w:multiLevelType w:val="hybridMultilevel"/>
    <w:tmpl w:val="358A5912"/>
    <w:lvl w:ilvl="0" w:tplc="B22482B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6E17B7"/>
    <w:multiLevelType w:val="hybridMultilevel"/>
    <w:tmpl w:val="064CD6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6245CE"/>
    <w:multiLevelType w:val="hybridMultilevel"/>
    <w:tmpl w:val="165078C0"/>
    <w:lvl w:ilvl="0" w:tplc="9A40F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4D3D7C"/>
    <w:multiLevelType w:val="hybridMultilevel"/>
    <w:tmpl w:val="4AAC0FF2"/>
    <w:lvl w:ilvl="0" w:tplc="02409E1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903F09"/>
    <w:multiLevelType w:val="hybridMultilevel"/>
    <w:tmpl w:val="603669DE"/>
    <w:lvl w:ilvl="0" w:tplc="E91A4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64136"/>
    <w:multiLevelType w:val="hybridMultilevel"/>
    <w:tmpl w:val="F388561A"/>
    <w:lvl w:ilvl="0" w:tplc="440872CA">
      <w:start w:val="2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A5430F"/>
    <w:multiLevelType w:val="hybridMultilevel"/>
    <w:tmpl w:val="73642F6A"/>
    <w:lvl w:ilvl="0" w:tplc="C818E930">
      <w:start w:val="1"/>
      <w:numFmt w:val="decimal"/>
      <w:lvlText w:val="%1."/>
      <w:lvlJc w:val="center"/>
      <w:pPr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A70ED1"/>
    <w:multiLevelType w:val="hybridMultilevel"/>
    <w:tmpl w:val="68305D58"/>
    <w:lvl w:ilvl="0" w:tplc="BAB2E1F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7"/>
  </w:num>
  <w:num w:numId="12">
    <w:abstractNumId w:val="3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B8"/>
    <w:rsid w:val="00011630"/>
    <w:rsid w:val="0002526C"/>
    <w:rsid w:val="000265B6"/>
    <w:rsid w:val="00042003"/>
    <w:rsid w:val="00042E3F"/>
    <w:rsid w:val="0004571B"/>
    <w:rsid w:val="00047ED0"/>
    <w:rsid w:val="000661D6"/>
    <w:rsid w:val="00071392"/>
    <w:rsid w:val="00071801"/>
    <w:rsid w:val="00073845"/>
    <w:rsid w:val="000747BF"/>
    <w:rsid w:val="00076E71"/>
    <w:rsid w:val="0008074C"/>
    <w:rsid w:val="000810B8"/>
    <w:rsid w:val="0008126E"/>
    <w:rsid w:val="0008343B"/>
    <w:rsid w:val="000874D0"/>
    <w:rsid w:val="000931D6"/>
    <w:rsid w:val="00094E0E"/>
    <w:rsid w:val="000A4098"/>
    <w:rsid w:val="000B3E34"/>
    <w:rsid w:val="000C0E31"/>
    <w:rsid w:val="000C3FF0"/>
    <w:rsid w:val="000C6383"/>
    <w:rsid w:val="000C7FEE"/>
    <w:rsid w:val="000E4E55"/>
    <w:rsid w:val="000E5180"/>
    <w:rsid w:val="000E662B"/>
    <w:rsid w:val="000F4DC1"/>
    <w:rsid w:val="000F4DC7"/>
    <w:rsid w:val="000F5F7F"/>
    <w:rsid w:val="000F6D13"/>
    <w:rsid w:val="00101C3C"/>
    <w:rsid w:val="001132A1"/>
    <w:rsid w:val="00116FDB"/>
    <w:rsid w:val="00117E25"/>
    <w:rsid w:val="00123EFB"/>
    <w:rsid w:val="00132341"/>
    <w:rsid w:val="00135E13"/>
    <w:rsid w:val="0013621D"/>
    <w:rsid w:val="001364AD"/>
    <w:rsid w:val="0013759A"/>
    <w:rsid w:val="00141A32"/>
    <w:rsid w:val="00143AFD"/>
    <w:rsid w:val="00154567"/>
    <w:rsid w:val="001609DB"/>
    <w:rsid w:val="0016250C"/>
    <w:rsid w:val="00172A2E"/>
    <w:rsid w:val="00184772"/>
    <w:rsid w:val="00186121"/>
    <w:rsid w:val="0019581C"/>
    <w:rsid w:val="001966CF"/>
    <w:rsid w:val="001A32F0"/>
    <w:rsid w:val="001A4E7A"/>
    <w:rsid w:val="001A7399"/>
    <w:rsid w:val="001C00B4"/>
    <w:rsid w:val="001C33D4"/>
    <w:rsid w:val="001D0B62"/>
    <w:rsid w:val="001D373B"/>
    <w:rsid w:val="001D50D8"/>
    <w:rsid w:val="001D5579"/>
    <w:rsid w:val="001D5B88"/>
    <w:rsid w:val="001E205B"/>
    <w:rsid w:val="001F2922"/>
    <w:rsid w:val="001F585F"/>
    <w:rsid w:val="00200C29"/>
    <w:rsid w:val="0021033D"/>
    <w:rsid w:val="0021385E"/>
    <w:rsid w:val="00216D8D"/>
    <w:rsid w:val="00226AB0"/>
    <w:rsid w:val="00233292"/>
    <w:rsid w:val="00240E5F"/>
    <w:rsid w:val="00243CCF"/>
    <w:rsid w:val="00246487"/>
    <w:rsid w:val="002550D9"/>
    <w:rsid w:val="00261727"/>
    <w:rsid w:val="00270012"/>
    <w:rsid w:val="0027005E"/>
    <w:rsid w:val="00274DDE"/>
    <w:rsid w:val="00275E8D"/>
    <w:rsid w:val="00287567"/>
    <w:rsid w:val="002B04C7"/>
    <w:rsid w:val="002B543F"/>
    <w:rsid w:val="002B7725"/>
    <w:rsid w:val="002C2CE2"/>
    <w:rsid w:val="002C39DA"/>
    <w:rsid w:val="002C7C87"/>
    <w:rsid w:val="002D75E9"/>
    <w:rsid w:val="002F5A7C"/>
    <w:rsid w:val="00302E0A"/>
    <w:rsid w:val="0031247E"/>
    <w:rsid w:val="003146FF"/>
    <w:rsid w:val="003205A7"/>
    <w:rsid w:val="00323FF6"/>
    <w:rsid w:val="003254C6"/>
    <w:rsid w:val="0034630B"/>
    <w:rsid w:val="00347792"/>
    <w:rsid w:val="00347D05"/>
    <w:rsid w:val="003523D4"/>
    <w:rsid w:val="00364817"/>
    <w:rsid w:val="00376CB6"/>
    <w:rsid w:val="0038041A"/>
    <w:rsid w:val="003966AF"/>
    <w:rsid w:val="003A4961"/>
    <w:rsid w:val="003B1BE8"/>
    <w:rsid w:val="003B7587"/>
    <w:rsid w:val="003C42EC"/>
    <w:rsid w:val="003D4837"/>
    <w:rsid w:val="0040452C"/>
    <w:rsid w:val="00410A69"/>
    <w:rsid w:val="00411C7D"/>
    <w:rsid w:val="00422278"/>
    <w:rsid w:val="004265AD"/>
    <w:rsid w:val="00433474"/>
    <w:rsid w:val="0043710F"/>
    <w:rsid w:val="00440BEA"/>
    <w:rsid w:val="00440C16"/>
    <w:rsid w:val="004417C9"/>
    <w:rsid w:val="0044313F"/>
    <w:rsid w:val="004572A0"/>
    <w:rsid w:val="00465B56"/>
    <w:rsid w:val="0047498B"/>
    <w:rsid w:val="004753DC"/>
    <w:rsid w:val="00475B8F"/>
    <w:rsid w:val="0047705B"/>
    <w:rsid w:val="00483275"/>
    <w:rsid w:val="004833D7"/>
    <w:rsid w:val="004852CB"/>
    <w:rsid w:val="00487535"/>
    <w:rsid w:val="00490282"/>
    <w:rsid w:val="00495191"/>
    <w:rsid w:val="004A1A54"/>
    <w:rsid w:val="004B0366"/>
    <w:rsid w:val="004B61A0"/>
    <w:rsid w:val="004D3CF3"/>
    <w:rsid w:val="004E1EE4"/>
    <w:rsid w:val="004F0C9A"/>
    <w:rsid w:val="004F3C6D"/>
    <w:rsid w:val="004F5626"/>
    <w:rsid w:val="004F5D3A"/>
    <w:rsid w:val="004F6008"/>
    <w:rsid w:val="004F7823"/>
    <w:rsid w:val="004F7CCF"/>
    <w:rsid w:val="00500CDF"/>
    <w:rsid w:val="00501DE7"/>
    <w:rsid w:val="005025D6"/>
    <w:rsid w:val="005060D0"/>
    <w:rsid w:val="0050782F"/>
    <w:rsid w:val="005164BD"/>
    <w:rsid w:val="0052157D"/>
    <w:rsid w:val="0053072F"/>
    <w:rsid w:val="005324B9"/>
    <w:rsid w:val="00533B4A"/>
    <w:rsid w:val="005341E4"/>
    <w:rsid w:val="00556667"/>
    <w:rsid w:val="0056681E"/>
    <w:rsid w:val="005677BE"/>
    <w:rsid w:val="005715C9"/>
    <w:rsid w:val="0057286B"/>
    <w:rsid w:val="005766E2"/>
    <w:rsid w:val="0059278C"/>
    <w:rsid w:val="00594F29"/>
    <w:rsid w:val="005A008B"/>
    <w:rsid w:val="005B16C5"/>
    <w:rsid w:val="005B45B6"/>
    <w:rsid w:val="005B7876"/>
    <w:rsid w:val="005C7687"/>
    <w:rsid w:val="005D013A"/>
    <w:rsid w:val="005D0A59"/>
    <w:rsid w:val="005D3A82"/>
    <w:rsid w:val="005D65DD"/>
    <w:rsid w:val="005E199E"/>
    <w:rsid w:val="005E2D29"/>
    <w:rsid w:val="005E7EF9"/>
    <w:rsid w:val="005F57E1"/>
    <w:rsid w:val="0060598C"/>
    <w:rsid w:val="0060743A"/>
    <w:rsid w:val="006141B2"/>
    <w:rsid w:val="006177C6"/>
    <w:rsid w:val="006179C0"/>
    <w:rsid w:val="0062742C"/>
    <w:rsid w:val="006317DB"/>
    <w:rsid w:val="0063217C"/>
    <w:rsid w:val="006344AF"/>
    <w:rsid w:val="00635FC0"/>
    <w:rsid w:val="00636568"/>
    <w:rsid w:val="006466A0"/>
    <w:rsid w:val="00661DF0"/>
    <w:rsid w:val="00664222"/>
    <w:rsid w:val="006654A9"/>
    <w:rsid w:val="00672DF3"/>
    <w:rsid w:val="00683230"/>
    <w:rsid w:val="006942AF"/>
    <w:rsid w:val="006A0BCD"/>
    <w:rsid w:val="006C6F04"/>
    <w:rsid w:val="006E1CB2"/>
    <w:rsid w:val="006E32C1"/>
    <w:rsid w:val="006F3E62"/>
    <w:rsid w:val="00702DD9"/>
    <w:rsid w:val="0070682B"/>
    <w:rsid w:val="00716CE0"/>
    <w:rsid w:val="007211A1"/>
    <w:rsid w:val="007241AB"/>
    <w:rsid w:val="00724D4E"/>
    <w:rsid w:val="00736FD5"/>
    <w:rsid w:val="00741BE0"/>
    <w:rsid w:val="0074572C"/>
    <w:rsid w:val="00762CAC"/>
    <w:rsid w:val="00766B9E"/>
    <w:rsid w:val="007729BE"/>
    <w:rsid w:val="007824BB"/>
    <w:rsid w:val="007838A4"/>
    <w:rsid w:val="0079232B"/>
    <w:rsid w:val="007A4AF7"/>
    <w:rsid w:val="007A59D3"/>
    <w:rsid w:val="007B2068"/>
    <w:rsid w:val="007C1619"/>
    <w:rsid w:val="007C6A2E"/>
    <w:rsid w:val="007D0549"/>
    <w:rsid w:val="007D2A83"/>
    <w:rsid w:val="007D3EEF"/>
    <w:rsid w:val="007D5D2A"/>
    <w:rsid w:val="007E5DD8"/>
    <w:rsid w:val="00804236"/>
    <w:rsid w:val="0080457E"/>
    <w:rsid w:val="008051C5"/>
    <w:rsid w:val="00811DEE"/>
    <w:rsid w:val="0082259C"/>
    <w:rsid w:val="00824396"/>
    <w:rsid w:val="00824C4A"/>
    <w:rsid w:val="00826FB5"/>
    <w:rsid w:val="00840134"/>
    <w:rsid w:val="008403BD"/>
    <w:rsid w:val="008434DF"/>
    <w:rsid w:val="008508DD"/>
    <w:rsid w:val="008509DA"/>
    <w:rsid w:val="008516E9"/>
    <w:rsid w:val="008550F5"/>
    <w:rsid w:val="00863AD3"/>
    <w:rsid w:val="0086537E"/>
    <w:rsid w:val="008825CF"/>
    <w:rsid w:val="00883D92"/>
    <w:rsid w:val="00887D43"/>
    <w:rsid w:val="00890B3B"/>
    <w:rsid w:val="008946E8"/>
    <w:rsid w:val="008B39B5"/>
    <w:rsid w:val="008C7439"/>
    <w:rsid w:val="008D0F37"/>
    <w:rsid w:val="008D1D34"/>
    <w:rsid w:val="008D2DCB"/>
    <w:rsid w:val="008E5E61"/>
    <w:rsid w:val="008F32C2"/>
    <w:rsid w:val="008F3466"/>
    <w:rsid w:val="009019C9"/>
    <w:rsid w:val="00905DCB"/>
    <w:rsid w:val="00921C96"/>
    <w:rsid w:val="00922557"/>
    <w:rsid w:val="009314BC"/>
    <w:rsid w:val="009323F4"/>
    <w:rsid w:val="00932613"/>
    <w:rsid w:val="00960F47"/>
    <w:rsid w:val="009651EF"/>
    <w:rsid w:val="009755D1"/>
    <w:rsid w:val="00977C28"/>
    <w:rsid w:val="0098023E"/>
    <w:rsid w:val="0098125E"/>
    <w:rsid w:val="009813FF"/>
    <w:rsid w:val="00981CB5"/>
    <w:rsid w:val="00986586"/>
    <w:rsid w:val="00994821"/>
    <w:rsid w:val="009B2804"/>
    <w:rsid w:val="009B3322"/>
    <w:rsid w:val="009C5259"/>
    <w:rsid w:val="009D07E6"/>
    <w:rsid w:val="009D71FC"/>
    <w:rsid w:val="009E0E54"/>
    <w:rsid w:val="009E419F"/>
    <w:rsid w:val="009F474C"/>
    <w:rsid w:val="009F727E"/>
    <w:rsid w:val="00A11B29"/>
    <w:rsid w:val="00A17718"/>
    <w:rsid w:val="00A21E39"/>
    <w:rsid w:val="00A257AB"/>
    <w:rsid w:val="00A310ED"/>
    <w:rsid w:val="00A31570"/>
    <w:rsid w:val="00A3251D"/>
    <w:rsid w:val="00A32B20"/>
    <w:rsid w:val="00A3358C"/>
    <w:rsid w:val="00A4045C"/>
    <w:rsid w:val="00A5251B"/>
    <w:rsid w:val="00A52F5C"/>
    <w:rsid w:val="00A56362"/>
    <w:rsid w:val="00A61FC3"/>
    <w:rsid w:val="00A64382"/>
    <w:rsid w:val="00A75306"/>
    <w:rsid w:val="00A80C89"/>
    <w:rsid w:val="00A834F8"/>
    <w:rsid w:val="00A868DF"/>
    <w:rsid w:val="00A90C13"/>
    <w:rsid w:val="00A951E8"/>
    <w:rsid w:val="00A95826"/>
    <w:rsid w:val="00AA03A0"/>
    <w:rsid w:val="00AA1454"/>
    <w:rsid w:val="00AA578B"/>
    <w:rsid w:val="00AB3436"/>
    <w:rsid w:val="00AC3C3F"/>
    <w:rsid w:val="00AC4DB3"/>
    <w:rsid w:val="00AC4DFC"/>
    <w:rsid w:val="00AC5053"/>
    <w:rsid w:val="00AC7956"/>
    <w:rsid w:val="00AD1792"/>
    <w:rsid w:val="00AD44AE"/>
    <w:rsid w:val="00AD5367"/>
    <w:rsid w:val="00AD6F49"/>
    <w:rsid w:val="00AE2800"/>
    <w:rsid w:val="00AE3D47"/>
    <w:rsid w:val="00AE613A"/>
    <w:rsid w:val="00AE7DA8"/>
    <w:rsid w:val="00B00AC4"/>
    <w:rsid w:val="00B02A32"/>
    <w:rsid w:val="00B04154"/>
    <w:rsid w:val="00B06573"/>
    <w:rsid w:val="00B11CE4"/>
    <w:rsid w:val="00B14235"/>
    <w:rsid w:val="00B15416"/>
    <w:rsid w:val="00B200FB"/>
    <w:rsid w:val="00B2175B"/>
    <w:rsid w:val="00B24FFF"/>
    <w:rsid w:val="00B32EB9"/>
    <w:rsid w:val="00B35386"/>
    <w:rsid w:val="00B40355"/>
    <w:rsid w:val="00B41E0D"/>
    <w:rsid w:val="00B447F2"/>
    <w:rsid w:val="00B4548B"/>
    <w:rsid w:val="00B55EB9"/>
    <w:rsid w:val="00B578A2"/>
    <w:rsid w:val="00B66465"/>
    <w:rsid w:val="00B66874"/>
    <w:rsid w:val="00B676E2"/>
    <w:rsid w:val="00B73CAB"/>
    <w:rsid w:val="00B73EB5"/>
    <w:rsid w:val="00B80BFB"/>
    <w:rsid w:val="00B84C2F"/>
    <w:rsid w:val="00B85768"/>
    <w:rsid w:val="00B87D20"/>
    <w:rsid w:val="00B94FDD"/>
    <w:rsid w:val="00BA6203"/>
    <w:rsid w:val="00BA6D87"/>
    <w:rsid w:val="00BA6E2F"/>
    <w:rsid w:val="00BA7553"/>
    <w:rsid w:val="00BB72BD"/>
    <w:rsid w:val="00BC0AE5"/>
    <w:rsid w:val="00BC29BB"/>
    <w:rsid w:val="00BC7296"/>
    <w:rsid w:val="00BD5364"/>
    <w:rsid w:val="00BD78C2"/>
    <w:rsid w:val="00BE3C96"/>
    <w:rsid w:val="00BF0943"/>
    <w:rsid w:val="00BF2A51"/>
    <w:rsid w:val="00C01CD7"/>
    <w:rsid w:val="00C04768"/>
    <w:rsid w:val="00C20BFD"/>
    <w:rsid w:val="00C224B4"/>
    <w:rsid w:val="00C25B56"/>
    <w:rsid w:val="00C3299D"/>
    <w:rsid w:val="00C47824"/>
    <w:rsid w:val="00C544CE"/>
    <w:rsid w:val="00C63B52"/>
    <w:rsid w:val="00C67F95"/>
    <w:rsid w:val="00C754BE"/>
    <w:rsid w:val="00C80459"/>
    <w:rsid w:val="00C81A27"/>
    <w:rsid w:val="00C92496"/>
    <w:rsid w:val="00CA3416"/>
    <w:rsid w:val="00CA3E96"/>
    <w:rsid w:val="00CA515D"/>
    <w:rsid w:val="00CA6F1D"/>
    <w:rsid w:val="00CB1CD2"/>
    <w:rsid w:val="00CB37B7"/>
    <w:rsid w:val="00CB71BE"/>
    <w:rsid w:val="00CC21FD"/>
    <w:rsid w:val="00CD464E"/>
    <w:rsid w:val="00CE1355"/>
    <w:rsid w:val="00CE45D5"/>
    <w:rsid w:val="00CF2615"/>
    <w:rsid w:val="00CF4286"/>
    <w:rsid w:val="00D42D55"/>
    <w:rsid w:val="00D45141"/>
    <w:rsid w:val="00D5085B"/>
    <w:rsid w:val="00D5261A"/>
    <w:rsid w:val="00D63453"/>
    <w:rsid w:val="00D73FD8"/>
    <w:rsid w:val="00D80596"/>
    <w:rsid w:val="00D839C6"/>
    <w:rsid w:val="00D96DB0"/>
    <w:rsid w:val="00DA7B8F"/>
    <w:rsid w:val="00DB53E0"/>
    <w:rsid w:val="00DB735D"/>
    <w:rsid w:val="00DB77A5"/>
    <w:rsid w:val="00DD43A2"/>
    <w:rsid w:val="00E102B7"/>
    <w:rsid w:val="00E156A3"/>
    <w:rsid w:val="00E159C7"/>
    <w:rsid w:val="00E204B2"/>
    <w:rsid w:val="00E23165"/>
    <w:rsid w:val="00E30C76"/>
    <w:rsid w:val="00E34F19"/>
    <w:rsid w:val="00E35863"/>
    <w:rsid w:val="00E42ECF"/>
    <w:rsid w:val="00E44117"/>
    <w:rsid w:val="00E51FF7"/>
    <w:rsid w:val="00E547FC"/>
    <w:rsid w:val="00E60085"/>
    <w:rsid w:val="00E632F0"/>
    <w:rsid w:val="00E72AFE"/>
    <w:rsid w:val="00E75759"/>
    <w:rsid w:val="00E85C2F"/>
    <w:rsid w:val="00E9308E"/>
    <w:rsid w:val="00E941BD"/>
    <w:rsid w:val="00E94FBA"/>
    <w:rsid w:val="00EB53A5"/>
    <w:rsid w:val="00EB7EB2"/>
    <w:rsid w:val="00ED5DB9"/>
    <w:rsid w:val="00EE1181"/>
    <w:rsid w:val="00EE5AC3"/>
    <w:rsid w:val="00EE7882"/>
    <w:rsid w:val="00EF0848"/>
    <w:rsid w:val="00F02EA4"/>
    <w:rsid w:val="00F1382C"/>
    <w:rsid w:val="00F260FD"/>
    <w:rsid w:val="00F30516"/>
    <w:rsid w:val="00F30DC6"/>
    <w:rsid w:val="00F5413C"/>
    <w:rsid w:val="00F60389"/>
    <w:rsid w:val="00F64136"/>
    <w:rsid w:val="00F65026"/>
    <w:rsid w:val="00F74978"/>
    <w:rsid w:val="00F76550"/>
    <w:rsid w:val="00F77220"/>
    <w:rsid w:val="00F7784E"/>
    <w:rsid w:val="00F80E39"/>
    <w:rsid w:val="00F839B6"/>
    <w:rsid w:val="00F8536B"/>
    <w:rsid w:val="00F857E3"/>
    <w:rsid w:val="00F86097"/>
    <w:rsid w:val="00FA23B4"/>
    <w:rsid w:val="00FB6D5A"/>
    <w:rsid w:val="00FD0282"/>
    <w:rsid w:val="00FD5A1A"/>
    <w:rsid w:val="00FE42A9"/>
    <w:rsid w:val="00FE451E"/>
    <w:rsid w:val="00FE635B"/>
    <w:rsid w:val="00FE77B4"/>
    <w:rsid w:val="00FF2393"/>
    <w:rsid w:val="00FF550E"/>
    <w:rsid w:val="00FF595A"/>
    <w:rsid w:val="00FF6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D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9651EF"/>
    <w:pPr>
      <w:keepNext/>
      <w:ind w:firstLine="709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Body Text Indent"/>
    <w:basedOn w:val="a"/>
    <w:pPr>
      <w:ind w:firstLine="900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rsid w:val="00411C7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D44AE"/>
    <w:pPr>
      <w:spacing w:after="120" w:line="480" w:lineRule="auto"/>
      <w:ind w:left="283"/>
    </w:pPr>
  </w:style>
  <w:style w:type="table" w:styleId="a9">
    <w:name w:val="Table Grid"/>
    <w:basedOn w:val="a1"/>
    <w:rsid w:val="00443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link w:val="a4"/>
    <w:rsid w:val="001966CF"/>
    <w:rPr>
      <w:sz w:val="28"/>
      <w:szCs w:val="24"/>
    </w:rPr>
  </w:style>
  <w:style w:type="character" w:styleId="aa">
    <w:name w:val="Hyperlink"/>
    <w:basedOn w:val="a0"/>
    <w:rsid w:val="00AE613A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59"/>
    <w:rsid w:val="00AE613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9651EF"/>
    <w:rPr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651EF"/>
  </w:style>
  <w:style w:type="paragraph" w:customStyle="1" w:styleId="12">
    <w:name w:val="Стиль1"/>
    <w:basedOn w:val="a"/>
    <w:qFormat/>
    <w:rsid w:val="009651EF"/>
    <w:rPr>
      <w:szCs w:val="20"/>
    </w:rPr>
  </w:style>
  <w:style w:type="paragraph" w:customStyle="1" w:styleId="ConsPlusTitle">
    <w:name w:val="ConsPlusTitle"/>
    <w:rsid w:val="009651E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9651E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651EF"/>
    <w:pPr>
      <w:ind w:left="720"/>
      <w:contextualSpacing/>
    </w:pPr>
    <w:rPr>
      <w:sz w:val="20"/>
      <w:szCs w:val="20"/>
    </w:rPr>
  </w:style>
  <w:style w:type="paragraph" w:customStyle="1" w:styleId="ac">
    <w:name w:val="Знак Знак Знак Знак Знак Знак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9"/>
    <w:uiPriority w:val="59"/>
    <w:rsid w:val="009651E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9651E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14"/>
    <w:rsid w:val="00C544CE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44CE"/>
    <w:pPr>
      <w:widowControl w:val="0"/>
      <w:shd w:val="clear" w:color="auto" w:fill="FFFFFF"/>
      <w:spacing w:after="320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D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9651EF"/>
    <w:pPr>
      <w:keepNext/>
      <w:ind w:firstLine="709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paragraph" w:styleId="a6">
    <w:name w:val="Body Text Indent"/>
    <w:basedOn w:val="a"/>
    <w:pPr>
      <w:ind w:firstLine="900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rsid w:val="00411C7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D44AE"/>
    <w:pPr>
      <w:spacing w:after="120" w:line="480" w:lineRule="auto"/>
      <w:ind w:left="283"/>
    </w:pPr>
  </w:style>
  <w:style w:type="table" w:styleId="a9">
    <w:name w:val="Table Grid"/>
    <w:basedOn w:val="a1"/>
    <w:rsid w:val="004431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link w:val="a4"/>
    <w:rsid w:val="001966CF"/>
    <w:rPr>
      <w:sz w:val="28"/>
      <w:szCs w:val="24"/>
    </w:rPr>
  </w:style>
  <w:style w:type="character" w:styleId="aa">
    <w:name w:val="Hyperlink"/>
    <w:basedOn w:val="a0"/>
    <w:rsid w:val="00AE613A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9"/>
    <w:uiPriority w:val="59"/>
    <w:rsid w:val="00AE613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9651EF"/>
    <w:rPr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651EF"/>
  </w:style>
  <w:style w:type="paragraph" w:customStyle="1" w:styleId="12">
    <w:name w:val="Стиль1"/>
    <w:basedOn w:val="a"/>
    <w:qFormat/>
    <w:rsid w:val="009651EF"/>
    <w:rPr>
      <w:szCs w:val="20"/>
    </w:rPr>
  </w:style>
  <w:style w:type="paragraph" w:customStyle="1" w:styleId="ConsPlusTitle">
    <w:name w:val="ConsPlusTitle"/>
    <w:rsid w:val="009651E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9651E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651EF"/>
    <w:pPr>
      <w:ind w:left="720"/>
      <w:contextualSpacing/>
    </w:pPr>
    <w:rPr>
      <w:sz w:val="20"/>
      <w:szCs w:val="20"/>
    </w:rPr>
  </w:style>
  <w:style w:type="paragraph" w:customStyle="1" w:styleId="ac">
    <w:name w:val="Знак Знак Знак Знак Знак Знак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651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9"/>
    <w:uiPriority w:val="59"/>
    <w:rsid w:val="009651E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9651E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14"/>
    <w:rsid w:val="00C544CE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44CE"/>
    <w:pPr>
      <w:widowControl w:val="0"/>
      <w:shd w:val="clear" w:color="auto" w:fill="FFFFFF"/>
      <w:spacing w:after="32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engamr.gov-murman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A516-BB8A-4900-B36A-E1AE9738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3242</Words>
  <Characters>25066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jarkova</dc:creator>
  <cp:lastModifiedBy>Пикина Надежда Анатольевна</cp:lastModifiedBy>
  <cp:revision>3</cp:revision>
  <cp:lastPrinted>2021-11-02T08:24:00Z</cp:lastPrinted>
  <dcterms:created xsi:type="dcterms:W3CDTF">2021-11-02T09:55:00Z</dcterms:created>
  <dcterms:modified xsi:type="dcterms:W3CDTF">2021-12-02T13:55:00Z</dcterms:modified>
</cp:coreProperties>
</file>