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C3" w:rsidRDefault="007A797D" w:rsidP="00450F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1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2B40F69D" wp14:editId="7641AA1E">
            <wp:simplePos x="0" y="0"/>
            <wp:positionH relativeFrom="column">
              <wp:posOffset>2708910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4BA7" w:rsidRPr="00FD16CC" w:rsidRDefault="00DC4BA7" w:rsidP="00450F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АДМИНИСТРАЦИЯ </w:t>
      </w: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ПЕЧЕНГСКОГО МУНИЦИПАЛЬНОГО ОКРУГА</w:t>
      </w: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МУРМАНСКОЙ ОБЛАСТИ</w:t>
      </w: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50F01" w:rsidRPr="00FD16CC" w:rsidRDefault="00450F01" w:rsidP="00450F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071D30" w:rsidRPr="00FD16CC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16"/>
          <w:szCs w:val="16"/>
          <w:lang w:eastAsia="ru-RU"/>
        </w:rPr>
      </w:pPr>
    </w:p>
    <w:p w:rsidR="00071D30" w:rsidRPr="00FD16CC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DC4B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30.06.2021   </w:t>
      </w:r>
      <w:r w:rsidR="007A797D"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</w:t>
      </w:r>
      <w:r w:rsidR="00AC0005"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C37FD7"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№</w:t>
      </w:r>
      <w:r w:rsidR="00C37FD7"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4B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667</w:t>
      </w:r>
    </w:p>
    <w:p w:rsidR="00071D30" w:rsidRPr="00FD16CC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п.г.т. Никель</w:t>
      </w:r>
    </w:p>
    <w:p w:rsidR="00071D30" w:rsidRDefault="00071D30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DC4BA7" w:rsidRPr="00FD16CC" w:rsidRDefault="00DC4BA7" w:rsidP="0051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247FB6" w:rsidRPr="00FD16CC" w:rsidRDefault="00247FB6" w:rsidP="00247F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утверждении Положения о системах оповещения населения </w:t>
      </w:r>
    </w:p>
    <w:p w:rsidR="00247FB6" w:rsidRPr="00FD16CC" w:rsidRDefault="00247FB6" w:rsidP="00247F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Печенгского муниципального округа </w:t>
      </w:r>
    </w:p>
    <w:p w:rsidR="00247FB6" w:rsidRPr="00FD16CC" w:rsidRDefault="00247FB6" w:rsidP="00247FB6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FD16CC" w:rsidRDefault="00247FB6" w:rsidP="00247FB6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FD16CC" w:rsidRDefault="00247FB6" w:rsidP="00247FB6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Федеральными законами от 21.12.1994 </w:t>
      </w:r>
      <w:hyperlink r:id="rId10" w:history="1">
        <w:r w:rsidRPr="00FD1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68-ФЗ</w:t>
        </w:r>
      </w:hyperlink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защите населения и территорий от чрезвычайных ситуаций природного и техногенного характера», от 12.02.1998 </w:t>
      </w:r>
      <w:hyperlink r:id="rId11" w:history="1">
        <w:r w:rsidRPr="00FD1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28-ФЗ</w:t>
        </w:r>
      </w:hyperlink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гражданской обороне», постановлением Правительства Мурманской области от 20.04.2021 № 209-ПП «Об утверждении Положения о системах оповещени</w:t>
      </w:r>
      <w:r w:rsidR="00FE7339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населения М</w:t>
      </w: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урманской области»,</w:t>
      </w:r>
    </w:p>
    <w:p w:rsidR="00247FB6" w:rsidRPr="00FD16CC" w:rsidRDefault="00247FB6" w:rsidP="00247FB6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7FB6" w:rsidRPr="00FD16CC" w:rsidRDefault="00247FB6" w:rsidP="00247FB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1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247FB6" w:rsidRPr="00FD16CC" w:rsidRDefault="00247FB6" w:rsidP="00247F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7FB6" w:rsidRPr="00FD16CC" w:rsidRDefault="00247FB6" w:rsidP="00247FB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hyperlink r:id="rId12" w:anchor="P37" w:history="1">
        <w:r w:rsidRPr="00FD1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Положение</w:t>
        </w:r>
      </w:hyperlink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7DA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системах оповещения населения Печенгского муниципального округа (далее – Положение)</w:t>
      </w:r>
      <w:r w:rsidR="00DC4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</w:t>
      </w:r>
      <w:r w:rsidR="002307DA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650B" w:rsidRDefault="00247FB6" w:rsidP="00247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3B34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Определить МКУ «ЕДДС Печенгског</w:t>
      </w:r>
      <w:r w:rsidR="001B38D3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3B34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1B38D3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38D3" w:rsidRPr="00FD16CC" w:rsidRDefault="00F6650B" w:rsidP="00247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У</w:t>
      </w:r>
      <w:r w:rsidR="001B38D3" w:rsidRPr="00FD16CC">
        <w:rPr>
          <w:rFonts w:ascii="Times New Roman" w:hAnsi="Times New Roman"/>
          <w:sz w:val="24"/>
          <w:szCs w:val="24"/>
        </w:rPr>
        <w:t>полномоченным органом Печенгского муниципального округа по заключению с операторами связи и редакциями средств массовой информации договоров (соглашений) о взаимодействии по обеспечению оповещения населения Печенгского муниципального округа при угрозе возникновения или возникновении чрезвычайных ситуаций.</w:t>
      </w:r>
    </w:p>
    <w:p w:rsidR="00FE7339" w:rsidRDefault="00F6650B" w:rsidP="005E5C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1B38D3" w:rsidRPr="00FD16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E5C24" w:rsidRPr="00FD16CC">
        <w:rPr>
          <w:rFonts w:ascii="Times New Roman" w:hAnsi="Times New Roman" w:cs="Times New Roman"/>
          <w:sz w:val="24"/>
          <w:szCs w:val="24"/>
        </w:rPr>
        <w:t>полномоченным органом по направлению заявок операторам связи для передачи сигналов оповещения и редакциям средств массовой информации на выпуск в эфир (публикацию) сигналов оповещения и (или) экстренной информации при угрозе возникновения или возн</w:t>
      </w:r>
      <w:r w:rsidR="00FE7339">
        <w:rPr>
          <w:rFonts w:ascii="Times New Roman" w:hAnsi="Times New Roman" w:cs="Times New Roman"/>
          <w:sz w:val="24"/>
          <w:szCs w:val="24"/>
        </w:rPr>
        <w:t>икновении чрезвычайных ситуаций.</w:t>
      </w:r>
    </w:p>
    <w:p w:rsidR="005E5C24" w:rsidRDefault="00F6650B" w:rsidP="005E5C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5C24" w:rsidRPr="00FD16CC">
        <w:rPr>
          <w:rFonts w:ascii="Times New Roman" w:hAnsi="Times New Roman" w:cs="Times New Roman"/>
          <w:sz w:val="24"/>
          <w:szCs w:val="24"/>
        </w:rPr>
        <w:t xml:space="preserve">. МКУ «ЕДДС Печенгского района» </w:t>
      </w:r>
      <w:r w:rsidR="00FE7339" w:rsidRPr="00F6650B">
        <w:rPr>
          <w:rFonts w:ascii="Times New Roman" w:hAnsi="Times New Roman" w:cs="Times New Roman"/>
          <w:sz w:val="24"/>
          <w:szCs w:val="24"/>
        </w:rPr>
        <w:t>(</w:t>
      </w:r>
      <w:r w:rsidR="00FE7339">
        <w:rPr>
          <w:rFonts w:ascii="Times New Roman" w:hAnsi="Times New Roman" w:cs="Times New Roman"/>
          <w:sz w:val="24"/>
          <w:szCs w:val="24"/>
        </w:rPr>
        <w:t xml:space="preserve">Шипилов С.В.) </w:t>
      </w:r>
      <w:r w:rsidR="005E5C24" w:rsidRPr="00FD16CC">
        <w:rPr>
          <w:rFonts w:ascii="Times New Roman" w:hAnsi="Times New Roman" w:cs="Times New Roman"/>
          <w:sz w:val="24"/>
          <w:szCs w:val="24"/>
        </w:rPr>
        <w:t>организовать создание и поддержание в постоянной готовности муниципальных автоматизированных систем централизованного оповещения населения Печенгского муниципального округа.</w:t>
      </w:r>
    </w:p>
    <w:p w:rsidR="00747883" w:rsidRPr="00FD16CC" w:rsidRDefault="00F6650B" w:rsidP="005E5C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47883">
        <w:rPr>
          <w:rFonts w:ascii="Times New Roman" w:hAnsi="Times New Roman" w:cs="Times New Roman"/>
          <w:sz w:val="24"/>
          <w:szCs w:val="24"/>
        </w:rPr>
        <w:t>. Отделу ГО, ЧС и ПБ администрации Печенгского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(Соболев А.В.)</w:t>
      </w:r>
      <w:r w:rsidR="00747883">
        <w:rPr>
          <w:rFonts w:ascii="Times New Roman" w:hAnsi="Times New Roman" w:cs="Times New Roman"/>
          <w:sz w:val="24"/>
          <w:szCs w:val="24"/>
        </w:rPr>
        <w:t>:</w:t>
      </w:r>
    </w:p>
    <w:p w:rsidR="004530B7" w:rsidRPr="00FD16CC" w:rsidRDefault="00F6650B" w:rsidP="005E5C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530B7" w:rsidRPr="00FD16CC">
        <w:rPr>
          <w:rFonts w:ascii="Times New Roman" w:hAnsi="Times New Roman" w:cs="Times New Roman"/>
          <w:sz w:val="24"/>
          <w:szCs w:val="24"/>
        </w:rPr>
        <w:t>.</w:t>
      </w:r>
      <w:r w:rsidR="0074788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721" w:rsidRPr="00FD16CC">
        <w:rPr>
          <w:rFonts w:ascii="Times New Roman" w:hAnsi="Times New Roman" w:cs="Times New Roman"/>
          <w:sz w:val="24"/>
          <w:szCs w:val="24"/>
        </w:rPr>
        <w:t>Направлять в организации, эксплуатирующие на территории Печенгского муниципального округа опасные производственные объекты I и II классов опасности, технические условия по сопряжению (присоединению) и проводить работы по сопряжению муниципальных автоматизированных систем централизованного оповещения населения Печенгского муниципального округа с локальными системами оповещения, эксплуатируемыми указанными организациями.</w:t>
      </w:r>
    </w:p>
    <w:p w:rsidR="00723721" w:rsidRPr="00FD16CC" w:rsidRDefault="00F6650B" w:rsidP="005E5C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47883">
        <w:rPr>
          <w:rFonts w:ascii="Times New Roman" w:hAnsi="Times New Roman" w:cs="Times New Roman"/>
          <w:sz w:val="24"/>
          <w:szCs w:val="24"/>
        </w:rPr>
        <w:t>.2</w:t>
      </w:r>
      <w:r w:rsidR="00723721" w:rsidRPr="00FD16CC">
        <w:rPr>
          <w:rFonts w:ascii="Times New Roman" w:hAnsi="Times New Roman" w:cs="Times New Roman"/>
          <w:sz w:val="24"/>
          <w:szCs w:val="24"/>
        </w:rPr>
        <w:t>.</w:t>
      </w:r>
      <w:r w:rsidR="00723721" w:rsidRPr="00FD16CC">
        <w:rPr>
          <w:rFonts w:ascii="Times New Roman" w:hAnsi="Times New Roman" w:cs="Times New Roman"/>
          <w:sz w:val="28"/>
          <w:szCs w:val="28"/>
        </w:rPr>
        <w:t xml:space="preserve"> </w:t>
      </w:r>
      <w:r w:rsidR="00723721" w:rsidRPr="00FD16CC">
        <w:rPr>
          <w:rFonts w:ascii="Times New Roman" w:hAnsi="Times New Roman" w:cs="Times New Roman"/>
          <w:sz w:val="24"/>
          <w:szCs w:val="24"/>
        </w:rPr>
        <w:t xml:space="preserve">Рекомендовать руководителям организаций, эксплуатирующих опасные </w:t>
      </w:r>
      <w:r w:rsidR="00723721" w:rsidRPr="00FD16CC">
        <w:rPr>
          <w:rFonts w:ascii="Times New Roman" w:hAnsi="Times New Roman" w:cs="Times New Roman"/>
          <w:sz w:val="24"/>
          <w:szCs w:val="24"/>
        </w:rPr>
        <w:lastRenderedPageBreak/>
        <w:t>производственные объекты I и II классов опасности, запрашивать в Печенгском муниципальном округе, на территории которого находится организация, технические условия по сопряжению (присоединению) эксплуатируемой локальной системы оповещения с муниципальной автоматизированной системой централизованного оповещения населения Печенгского муниципального округа и проводить работы по сопряжению систем оповещения.</w:t>
      </w:r>
    </w:p>
    <w:p w:rsidR="00B12155" w:rsidRDefault="00F6650B" w:rsidP="00B1215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3E4D71" w:rsidRPr="00FD16CC">
        <w:rPr>
          <w:rFonts w:ascii="Times New Roman" w:hAnsi="Times New Roman" w:cs="Times New Roman"/>
          <w:b w:val="0"/>
          <w:sz w:val="24"/>
          <w:szCs w:val="24"/>
        </w:rPr>
        <w:t>. Признать утратившим силу постановление администрации муниципального образования Печенгский район Мурманской области от 07.09.2017 № 990 «</w:t>
      </w:r>
      <w:r w:rsidR="00B12155" w:rsidRPr="00FD16CC">
        <w:rPr>
          <w:rFonts w:ascii="Times New Roman" w:hAnsi="Times New Roman" w:cs="Times New Roman"/>
          <w:b w:val="0"/>
          <w:sz w:val="24"/>
          <w:szCs w:val="24"/>
        </w:rPr>
        <w:t>О порядке оповещения и информирования населения муниципального образования Печенгский район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характера».</w:t>
      </w:r>
    </w:p>
    <w:p w:rsidR="00FE7339" w:rsidRDefault="00FE7339" w:rsidP="00FE733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6. Настоящее постановление вступает в силу после его опубликования в газете «Печенга».</w:t>
      </w:r>
    </w:p>
    <w:p w:rsidR="00FE7339" w:rsidRPr="00FE7339" w:rsidRDefault="00FE7339" w:rsidP="00FE73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339">
        <w:rPr>
          <w:rFonts w:ascii="Times New Roman" w:hAnsi="Times New Roman" w:cs="Times New Roman"/>
          <w:sz w:val="24"/>
          <w:szCs w:val="24"/>
        </w:rPr>
        <w:t xml:space="preserve">7. </w:t>
      </w:r>
      <w:r w:rsidRPr="00FE7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размещению на официальном сайте Печенгского муниципального округа https://pechengamr.gov-murman.ru/.</w:t>
      </w:r>
    </w:p>
    <w:p w:rsidR="00B12155" w:rsidRDefault="00FE7339" w:rsidP="00FE733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B12155" w:rsidRPr="00FD16CC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B12155" w:rsidRPr="00FD16CC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="00B12155" w:rsidRPr="00FD16CC"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824780" w:rsidRDefault="00824780" w:rsidP="008247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24780" w:rsidRDefault="00824780" w:rsidP="008247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47FB6" w:rsidRPr="00FD16CC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B12155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</w:t>
      </w:r>
      <w:r w:rsidR="00EE3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155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824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E3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B12155" w:rsidRPr="00FD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А.В. Кузнецов</w:t>
      </w: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12155" w:rsidRPr="00247FB6" w:rsidRDefault="00B12155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FB6" w:rsidRPr="00247FB6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C4BA7" w:rsidRDefault="00DC4BA7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50BC" w:rsidRDefault="003D50BC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12155" w:rsidRDefault="00B12155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Соболев А.В.</w:t>
      </w:r>
    </w:p>
    <w:p w:rsidR="00B12155" w:rsidRDefault="00247FB6" w:rsidP="00247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47FB6">
        <w:rPr>
          <w:rFonts w:ascii="Times New Roman" w:eastAsia="Times New Roman" w:hAnsi="Times New Roman" w:cs="Times New Roman"/>
          <w:sz w:val="16"/>
          <w:szCs w:val="16"/>
          <w:lang w:eastAsia="ru-RU"/>
        </w:rPr>
        <w:t>50007</w:t>
      </w:r>
    </w:p>
    <w:p w:rsidR="00DC4BA7" w:rsidRDefault="005E56D9" w:rsidP="00DC4BA7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5E56D9" w:rsidRPr="003D50BC" w:rsidRDefault="005E56D9" w:rsidP="00DC4BA7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DC4BA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56D9" w:rsidRPr="003D50BC" w:rsidRDefault="005E56D9" w:rsidP="00DC4BA7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</w:t>
      </w:r>
      <w:r w:rsidR="00DC4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</w:p>
    <w:p w:rsidR="005E56D9" w:rsidRPr="003D50BC" w:rsidRDefault="005E56D9" w:rsidP="00DC4BA7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C4BA7">
        <w:rPr>
          <w:rFonts w:ascii="Times New Roman" w:eastAsia="Times New Roman" w:hAnsi="Times New Roman" w:cs="Times New Roman"/>
          <w:sz w:val="24"/>
          <w:szCs w:val="24"/>
          <w:lang w:eastAsia="ru-RU"/>
        </w:rPr>
        <w:t>30.06.2021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C4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667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56D9" w:rsidRPr="003D50BC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5E56D9" w:rsidRPr="00DC4BA7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системах оповещения населения Печенгского муниципального округа</w:t>
      </w:r>
    </w:p>
    <w:p w:rsidR="005E56D9" w:rsidRPr="003D50BC" w:rsidRDefault="005E56D9" w:rsidP="005E56D9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ОБЩИЕ ПОЛОЖЕНИЯ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27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определяет назначение, задачи и требования к системам оповещения населения Печенгского муниципального округа, порядок их задействования и поддержания в состоянии постоянной готовности.</w:t>
      </w:r>
    </w:p>
    <w:p w:rsidR="005E56D9" w:rsidRPr="003D50BC" w:rsidRDefault="0002767F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Оповещение населения о чрезвычайных ситуациях –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5E56D9" w:rsidRPr="003D50BC" w:rsidRDefault="0002767F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оповещения населения включается в систему управления гражданской обороной (далее – ГО) и единой государственной системы предупреждения и ликвидации чрезвычайных ситуаций (далее – РСЧС), обеспечивающей доведение до населения, органов управления и сил ГО и РСЧС сигналов оповещения и (или) экстренной информации, и состоит из комбинации взаимодействующих элементов, состоящих из специальных программно-технических средств оповещения, средств комплексной системы экстренного оповещения населения, общероссийской комплексной системы</w:t>
      </w:r>
      <w:proofErr w:type="gramEnd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информирования и оповещения населения в местах массового пребывания людей, громкоговорящих средств на подвижных объектах, мобильных и носимых средств оповещения, а также обеспечивающих ее функционирование каналов, линий связи и сетей передачи данных единой сети электросвязи Российской Федерации.</w:t>
      </w:r>
    </w:p>
    <w:p w:rsidR="005E56D9" w:rsidRPr="003D50BC" w:rsidRDefault="0002767F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 система экстренного оповещения населения об угрозе возникновения или о возникновении чрезвычайных ситуаций (далее – КСЭОН) –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</w:t>
      </w:r>
      <w:proofErr w:type="gramEnd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автоматическом</w:t>
      </w:r>
      <w:proofErr w:type="gramEnd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автоматизированном режимах.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экстренного оповещения населения –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</w:t>
      </w:r>
      <w:r w:rsidR="000276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3D50BC" w:rsidRDefault="0002767F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 технических средств оповещения – специализированная упорядоченная совокупность изделий средств оповещения, в том числе оборудования, запасных частей,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сменяемых узлов, типовых элементов замены, территориально распределенная и размещенная как на объектах, специально предназначенных для их хранения и обслуживания, так и на договорной основе на объектах операторов связи, базах и складах промышленных и иных предприятий и организаций, с которых возможна их оперативная доставка в</w:t>
      </w:r>
      <w:proofErr w:type="gramEnd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 чрезвычайных ситуаций.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50B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НАЗНАЧЕНИЕ И ОСНОВНЫЕ ЗАДАЧИ СИСТЕМ ОПОВЕЩЕНИЯ</w:t>
      </w: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ПЕЧЕНГСКОГО МУНИЦИПАЛЬНОГО ОКРУГА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56D9" w:rsidRPr="003D50BC" w:rsidRDefault="0002767F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оповещения </w:t>
      </w:r>
      <w:r w:rsidR="008D3C2E" w:rsidRPr="008D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Печенгского муниципального округа </w:t>
      </w:r>
      <w:r w:rsidR="008D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муниципальная система оповещения)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</w:t>
      </w:r>
      <w:r w:rsidR="008D3C2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3C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D3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системы оповещения создают организации, эксплуатирующие опасные производственные объекты I и II классов опасности, особо </w:t>
      </w:r>
      <w:proofErr w:type="spell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радиационно</w:t>
      </w:r>
      <w:proofErr w:type="spell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опасные и </w:t>
      </w:r>
      <w:proofErr w:type="spell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ядерно</w:t>
      </w:r>
      <w:proofErr w:type="spell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 (далее – опасные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производственные объекты).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оповещают работников организаций об угрозе возникновения или о возникновении чрезвычайных ситуаций, а также иных граждан, находящихся на территории организации.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действия муниципальной системы оповещения являются административные границы </w:t>
      </w:r>
      <w:r w:rsidR="00FD16CC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зоны действия локальной системы оповещения являются границы территории (зон) воздействия поражающих факторов, определяемых в соответствии с законодательством Российской Федерации, от аварий на опасных производственных объектах I и II классов опасности, особо </w:t>
      </w:r>
      <w:proofErr w:type="spell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радиационно</w:t>
      </w:r>
      <w:proofErr w:type="spell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и </w:t>
      </w:r>
      <w:proofErr w:type="spell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ядерно</w:t>
      </w:r>
      <w:proofErr w:type="spell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производствах и объектах, на гидротехнических сооружениях чрезвычайно высокой опасности и гидротехнических сооружениях высокой опасности, которые могут причинять вред жизни и здоровью населения, проживающего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осуществляющего хозяйственную деятельность за пределами их территорий (для гидротехнических сооружений чрезвычайно высокой опасности и гидротехнических сооружений высокой опасности – в нижнем бьефе, в зонах затопления на расстоянии до 6 км от объектов).</w:t>
      </w:r>
    </w:p>
    <w:p w:rsidR="005E56D9" w:rsidRPr="003D50BC" w:rsidRDefault="00000C0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КСЭОН создается на муниципальном и объектовом уровнях.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Границами зон действия (создания) КСЭОН являются границы зон экстренного оповещения населения.</w:t>
      </w:r>
    </w:p>
    <w:p w:rsidR="005E56D9" w:rsidRPr="00F6650B" w:rsidRDefault="00000C0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56D9"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и поддержание в состоянии постоянной готовности систем оповещения населения является составной частью комплекса мероприятий, проводимых </w:t>
      </w:r>
      <w:r w:rsidR="00F8608D"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«ЕДДС Печенгского района».</w:t>
      </w:r>
    </w:p>
    <w:p w:rsidR="005E56D9" w:rsidRPr="003D50BC" w:rsidRDefault="00000C0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Основной задачей муниципальной системы оповещения является обеспечение доведения сигналов оповещения и экстренной информации 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56D9" w:rsidRPr="00F6650B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руководящего состава гражданской обороны и </w:t>
      </w:r>
      <w:r w:rsidR="00F6650B"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</w:t>
      </w:r>
      <w:r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звена </w:t>
      </w:r>
      <w:r w:rsid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Мурманской территориальной подсистемы РСЧС (далее 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>МТП РСЧС</w:t>
      </w:r>
      <w:r w:rsid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665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ажданской обороны на территории </w:t>
      </w:r>
      <w:r w:rsidR="00202EFA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6D9" w:rsidRPr="003D50BC" w:rsidRDefault="00000C0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дежурно-диспетчерских служб (далее –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эксплуатирующих опасные производственные объекты, и дежурных служб (руководителей) социально значимых объектов;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находящихся на территории муниципального образования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Печенгский муниципальный округ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Основной задачей локальной системы оповещения является доведение сигналов оповещения и экстренной информации </w:t>
      </w: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руководящего состава гражданской обороны</w:t>
      </w:r>
      <w:r w:rsidRPr="003D5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персонала организации, эксплуатирующей опасный производственный объект, а также объектового звена РСЧС; 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объектовых аварийно-спасательных формирований, в том числе специализированных;</w:t>
      </w:r>
    </w:p>
    <w:p w:rsidR="005E56D9" w:rsidRPr="00D85384" w:rsidRDefault="00D85384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«ЕДДС</w:t>
      </w:r>
      <w:r w:rsidR="005E56D9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EFA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</w:t>
      </w:r>
      <w:r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района»</w:t>
      </w:r>
      <w:r w:rsidR="005E56D9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 и ДДС организаций, расположенных в зоне действия локальной системы оповещения;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находящихся в границах зоны действия локальной системы оповещения.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0C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Основной задачей КСЭОН является обеспечение доведения сигналов оповещения и экстренной информации до людей, находящихся в зонах экстренного оповещения населения, а также органов повседневного управления </w:t>
      </w:r>
      <w:r w:rsidR="00D234A2" w:rsidRPr="00D2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="00D234A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234A2" w:rsidRPr="00D234A2">
        <w:rPr>
          <w:rFonts w:ascii="Times New Roman" w:eastAsia="Times New Roman" w:hAnsi="Times New Roman" w:cs="Times New Roman"/>
          <w:sz w:val="24"/>
          <w:szCs w:val="24"/>
          <w:lang w:eastAsia="ru-RU"/>
        </w:rPr>
        <w:t>ТП РСЧС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ЗАДЕЙСТВОВАНИЯ СИСТЕМ ОПОВЕЩЕНИЯ</w:t>
      </w: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ПЕЧЕНГСКОГО МУНИЦИПАЛЬНОГО ОКРУГА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56D9" w:rsidRPr="003D50BC" w:rsidRDefault="00D234A2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Задействование по предназначению систем оповещения населения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и осуществляется в соответствии с 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>ем, положениями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системах оповещения населения, 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утверждаемыми организациями,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обороны и защиты населения (план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 гражданской обороны) и план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действий по предупреждению и ликвидации чрезвычайных ситуаций.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Дежурные (дежурно-диспетчерские) службы органов повседневного управления 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МТП РСЧС, получив в системе управления ГО и РСЧС сигналы оповещения и (или) экстренную информацию, подтверждают получение и немедленно доводят их до </w:t>
      </w:r>
      <w:r w:rsidR="00D85384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F07F1D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заместителей Главы</w:t>
      </w:r>
      <w:r w:rsidR="00F07F1D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="00F07F1D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лиц исполняющих </w:t>
      </w:r>
      <w:r w:rsid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07F1D"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</w:t>
      </w:r>
      <w:r w:rsidRPr="00D85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организаций, эксплуатирующих опасные производственные объекты, на территории которых могут возникнуть или возникли чрезвычайные ситуации, а также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отдела ГО, ЧС и ПБ администрации Печенгского муниципального округа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58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на задействование </w:t>
      </w:r>
      <w:r w:rsidR="009758EA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системы оповещения Печенгского муниципального округа </w:t>
      </w:r>
      <w:r w:rsidR="00975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Печенгского муниципального округа - председателем Комиссии по предупреждению и ликвидации чрезвычайных ситуаций и обеспечению пожарной безопасности Печенгского муниципального округа</w:t>
      </w:r>
      <w:r w:rsidR="00975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3D50BC" w:rsidRDefault="009758EA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на задействование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локальной (объектовой) системы оповещения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принимается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организации, эксплуатирующей данный объект.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Руководители ликвидации чрезвычайных ситуаций по согласованию с </w:t>
      </w:r>
      <w:r w:rsidR="00B7267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975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КСЭОН задействуется в автоматическом режиме от систем мониторинга опасных природных явлений и техногенных процессов или в автоматизированном режиме по решению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руководителя организации, эксплуатирующей опасный производственный объект, в ведении которого находится соответствующая КСЭОН.</w:t>
      </w:r>
    </w:p>
    <w:p w:rsidR="005E56D9" w:rsidRPr="003D50BC" w:rsidRDefault="00B7267A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Передача сигналов оповещения и экстренной информации может осуществляться в автоматическом, автоматизированном либо ручном режимах функционирования систем оповещения населения.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автоматическом режиме функционирования системы оповещения населения включаются (запускаются) по заранее установленным программам при получении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управляющих сигналов (команд)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(дежурно-диспетчерских) служб, ответственных за включение (запуск) систем оповещения населения. </w:t>
      </w:r>
      <w:proofErr w:type="gramEnd"/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автоматизированном режиме функционирования включение (запуск) систем оповещения населения осуществляется соответствующими дежурными (дежурно-диспетчерскими) службами, уполномоченными на включение (запуск) систем оповещения населения, с автоматизированных рабочих мест при поступлении установленных сигналов (команд) и распоряжений.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ручном режиме функционирования:</w:t>
      </w:r>
    </w:p>
    <w:p w:rsidR="005E56D9" w:rsidRPr="003D50BC" w:rsidRDefault="00430B15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«ЕДДС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района», ДДС организаций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 включение (запуск) оконечных средств оповещения непосредственно с мест их установки, а также направляют заявки операторам связи и (или) редакциям средств массовой информации на передачу сигналов оповещения и экстренной информации в соответствии с заключенными договорами (соглашениями);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задействуются громкоговорящие средства на подвижных объектах, мобильные и носимые средства оповещения.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Автоматический режим функционирования является основным для локальных систем оповещения и КСЭОН, при этом допускается функционирование данных систем оповещения в автоматизированном режиме.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режим функционирования муниципальн</w:t>
      </w:r>
      <w:r w:rsidR="00430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 w:rsidR="00430B1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оповещения – автоматизированный.</w:t>
      </w:r>
    </w:p>
    <w:p w:rsidR="00430B15" w:rsidRPr="003D50BC" w:rsidRDefault="005E56D9" w:rsidP="00430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Приоритетный режим функционирования </w:t>
      </w:r>
      <w:r w:rsidR="00430B15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430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430B15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 w:rsidR="00430B1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30B15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оповещения – автоматизированный.</w:t>
      </w:r>
    </w:p>
    <w:p w:rsidR="00430B15" w:rsidRDefault="00430B15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Приоритетный режим функционирования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локальных систем оповещения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положениями о системах оповещения населения,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утверждаемыми организациями. </w:t>
      </w:r>
    </w:p>
    <w:p w:rsidR="005E56D9" w:rsidRPr="003D50BC" w:rsidRDefault="00622A8D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0B1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Передача сигналов оповещения и экстренной информации населению осуществляется подачей сигнала «ВНИМАНИЕ ВСЕМ!» путем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ауди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аудиовизуальных сообщений длительностью не более 5 минут (для сетей связи подвижной радиотелефонной связи – сообщений объемом не более 134 символов русского алфавита, включая цифры, пробелы и знаки препинания).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Сигналы оповещения и </w:t>
      </w: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экстренная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передаются непосредственно с рабочих мест дежурных (дежурно-диспетчерских) служб органов повседневного управления </w:t>
      </w:r>
      <w:r w:rsidR="0032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МТП РСЧС.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трехкратное повторение этих сообщений (для сетей подвижной радиотелефонной связи – повтор передачи сообщения осуществляется не ранее, чем закончится передача предыдущего сообщения).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2729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Типовые аудио- и аудиовизуальные, а также текстовые и графические сообщения (далее – тексты речевых сообщений) населению о фактических и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прогнозируемых чрезвычайных ситуациях </w:t>
      </w:r>
      <w:r w:rsidR="00327297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</w:t>
      </w:r>
      <w:r w:rsidR="003272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7297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организу</w:t>
      </w:r>
      <w:r w:rsidR="003272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7297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их запись на </w:t>
      </w:r>
      <w:r w:rsidR="00327297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магнитные и иные носители информации МКУ «ЕДДС Печенгского района»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27297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речевых сообщений согласовываются Главой Печенгского муниципального округа.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речевых сообщений разрабатываются на каждый сигнал гражданской обороны и возможные типы техногенных чрезвычайных ситуаций в организациях </w:t>
      </w:r>
      <w:r w:rsidR="0032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организаций, в которых возможно возникновение техногенных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чрезвычайных ситуаций муниципального характера, разрабатывается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речевых сообщений о возможных техногенных чрезвычайных ситуациях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характера на химически опасных и (или) </w:t>
      </w:r>
      <w:proofErr w:type="spell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радиационно</w:t>
      </w:r>
      <w:proofErr w:type="spell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 утверждаются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9C1163" w:rsidRDefault="00327297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5E56D9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обеспечения своевременной передачи населению сигналов оповещения и экстренной информации комплексно могут использоваться: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электрических, электронных сирен и мощных акустических систем;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проводного радиовещания;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уличной радиофикации; 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связи операторов связи и ведомственные;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информационно-телекоммуникационная сеть Интернет;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громкоговорящие средства на подвижных объектах, мобильные и носимые средства оповещения.</w:t>
      </w:r>
    </w:p>
    <w:p w:rsidR="005E56D9" w:rsidRPr="004E1B25" w:rsidRDefault="00C620DE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обеспечения доведения сигналов оповещения и экстренной информации до населения в составе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оповещения используются: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технических средств оповещения ГОКУ «Управление по ГОЧС и ПБ Мурманской области»;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технических средств оповещения введенных в эксплуатацию муниципальных систем оповещения </w:t>
      </w:r>
      <w:r w:rsidR="009C1163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9C1163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9C1163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круга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Мурманской области;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телекоммуникационных средств и каналов связи Мурманского филиала ПАО «Ростелеком», включая радиотрансляционные установки сетей проводного вещания и радиовещательные передатчики;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телевизионного и радиовещания филиала ФГУП «ВГТРК» «ГТРК «</w:t>
      </w:r>
      <w:proofErr w:type="spellStart"/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</w:t>
      </w:r>
      <w:proofErr w:type="spellEnd"/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каналы вещания: программа телевизионного вещания «Россия-1», программы радиовещания «Радио России» и «Маяк». Режим передачи сообщений – автоматизированный;</w:t>
      </w:r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технических средств передачи информации организаций независимо от форм собственности, расположенных на территории Мурманской области.</w:t>
      </w:r>
    </w:p>
    <w:p w:rsidR="005E56D9" w:rsidRPr="005D7A80" w:rsidRDefault="00C620DE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Рассмотрение вопросов об организации оповещения населения и определении способов и сроков оповещения населения осуществляется </w:t>
      </w:r>
      <w:r w:rsidR="005E56D9" w:rsidRPr="005D7A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r w:rsidR="005D7A80" w:rsidRPr="005D7A8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E56D9" w:rsidRPr="005D7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предупреждению и ликвидации чрезвычайных ситуаций и обеспечению пожарной безопасности </w:t>
      </w:r>
      <w:r w:rsidR="005D7A80" w:rsidRPr="005D7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="005E56D9" w:rsidRPr="005D7A8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КЧС и ОПБ).</w:t>
      </w:r>
    </w:p>
    <w:p w:rsidR="005E56D9" w:rsidRPr="003D50BC" w:rsidRDefault="00C620DE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действий дежурных (дежурно-диспетчерских) служб органов повседневного управления </w:t>
      </w:r>
      <w:r w:rsidR="00F84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МТП РСЧС, а также операторов связи, телерадиовещательных организаций и редакций средств массовой информации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власти, Правительства Мурманской области, </w:t>
      </w:r>
      <w:r w:rsidR="004E7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F840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</w:t>
      </w:r>
      <w:r w:rsidR="004E76B0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муниципальный</w:t>
      </w:r>
      <w:r w:rsidR="00F84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организаций.  </w:t>
      </w:r>
      <w:proofErr w:type="gramEnd"/>
    </w:p>
    <w:p w:rsidR="005E56D9" w:rsidRPr="009C1163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76B0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Печенгского муниципального округа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организации, в ведении которых находятся системы оповещения населения, а также постоянно действующие органы управления</w:t>
      </w:r>
      <w:r w:rsidR="00E75164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звена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МТП РСЧС, органы повседневного управления </w:t>
      </w:r>
      <w:r w:rsidR="00E75164"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Pr="009C1163">
        <w:rPr>
          <w:rFonts w:ascii="Times New Roman" w:eastAsia="Times New Roman" w:hAnsi="Times New Roman" w:cs="Times New Roman"/>
          <w:sz w:val="24"/>
          <w:szCs w:val="24"/>
          <w:lang w:eastAsia="ru-RU"/>
        </w:rPr>
        <w:t>МТП РСЧС, операторы связи и редакции средств массовой информации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ПОДДЕРЖАНИЕ В ГОТОВНОСТИ СИСТЕМ ОПОВЕЩЕНИЯ НАСЕЛЕНИЯ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51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Поддержание муниципальн</w:t>
      </w:r>
      <w:r w:rsidR="00E75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локальных систем оповещения в готовности организуется и осуществляется </w:t>
      </w:r>
      <w:r w:rsidR="00E75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7516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 Печенгского района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E7516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организациями,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эксплуатирующими локальные </w:t>
      </w:r>
      <w:r w:rsidR="00E75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оповещения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3D50BC" w:rsidRDefault="00AC6DBE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3E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Готовность систем оповещения населения достигается: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актуализированных нормативных актов в области создания, поддержания в состоянии постоянной готовности и задействования систем оповещения населения;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дежурного (дежурно-диспетчерского) персонала, ответственного за включение (запуск) системы оповещения населения, и уровнем его профессиональной подготовки;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регулярным проведением </w:t>
      </w:r>
      <w:proofErr w:type="gramStart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 готовности систем оповещения населения</w:t>
      </w:r>
      <w:proofErr w:type="gramEnd"/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своевременным проведением мероприятий по созданию, в том числе совершенствованию, систем оповещения населения.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3EC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целью </w:t>
      </w:r>
      <w:proofErr w:type="gram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поддержанием в готовности систем оповещения населения в </w:t>
      </w:r>
      <w:r w:rsidR="00AC6DBE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организуются и проводятся следующие виды проверок: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проверки готовности к задействованию систем оповещения населения без включения оконечных средств оповещения населения.</w:t>
      </w:r>
    </w:p>
    <w:p w:rsidR="005E56D9" w:rsidRPr="004E1B25" w:rsidRDefault="001E3EC2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проведении комплексной </w:t>
      </w:r>
      <w:proofErr w:type="gramStart"/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готовности систем оповещения населения</w:t>
      </w:r>
      <w:proofErr w:type="gramEnd"/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проверке подлеж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F74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CF74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56D9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оповещения и КСЭОН.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проверки готовности муниципальн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оповещения и КСЭОН проводятся два раза в год комиссией в составе представителей постоянно действующих органов управления МТП РСЧС и органов повседневного управления МТП РСЧС регионального и муниципального уровней, а также операторов связи, организаций, осуществляющих телерадиовещание, вещателей, </w:t>
      </w:r>
      <w:proofErr w:type="spell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задействуемых</w:t>
      </w:r>
      <w:proofErr w:type="spell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оповещении населения, при этом включение оконечных средств оповещения и доведение проверочных сигналов и информации до населения осуществляется</w:t>
      </w:r>
      <w:proofErr w:type="gram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дневное время в первую среду марта и октября.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</w:t>
      </w:r>
      <w:r w:rsidRPr="005D7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КЧС и ОПБ могут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проводиться дополнительные комплексные проверки готовности муниципальн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оповещения и КСЭОН, при этом перерыв трансляции телеканалов (радиоканалов) возможен только по согласованию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вещателями.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Комплексные проверки готовности локальной системы оповещения проводятся во взаимодействии с 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реже одного раза в год комиссией из числа должностных лиц организации.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Замещение сигнала телеканала (радиоканала) вещателя в ходе комплексной проверки системы оповещения населения возможно только проверочным сигналом «Техническая проверка».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работы комиссий проверяется выполнение всех требований, предъявляемых к системам оповещения населения, 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требований настоящего П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а </w:t>
      </w:r>
      <w:r w:rsidR="00CF74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положений о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локальных системах оповещения.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комплексной </w:t>
      </w:r>
      <w:proofErr w:type="gram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готовности системы оповещения населения</w:t>
      </w:r>
      <w:proofErr w:type="gram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а также уточняется паспорт системы оповещения населения.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проверки готовности к задействованию муниципальн</w:t>
      </w:r>
      <w:r w:rsidR="0047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ой,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локальных систем оповещения и КСЭОН проводятся без включения оконечных средств оповещения и замещения сигналов телеканалов (радиоканалов) вещателей дежурными (дежурно-диспетчерскими) службами органов повседневного управления </w:t>
      </w:r>
      <w:r w:rsidR="0047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звена 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МТП РСЧС и организации путем передачи проверочного сигнала и речевого сообщения «Техническая проверка» с периодичностью не реже одного раза в сутки, при этом передача пользователям услугами связи (на пользовательское</w:t>
      </w:r>
      <w:proofErr w:type="gram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 (оконечное оборудование)), а также выпуск в эфир (публикация) редакциями средств массовой информации проверочного сигнала «Техническая проверка» не производится.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проведением всех проверок в обязательном порядке проводится комплекс организационно-технических мероприятий с целью </w:t>
      </w:r>
      <w:proofErr w:type="gram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исключения несанкционированного запуска систем оповещения населения</w:t>
      </w:r>
      <w:proofErr w:type="gram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вещательных программ при выступлении высших должностных лиц страны, передаче сообщений о важных государственных событиях, экстренных сообщениях в области защиты населения и территорий от чрезвычайных ситуаций природного и техногенного характера в ходе </w:t>
      </w:r>
      <w:proofErr w:type="gramStart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проверок систем оповещения населения</w:t>
      </w:r>
      <w:proofErr w:type="gramEnd"/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ОРГАНИЗАЦИЯ ЗАПАСОВ (РЕЗЕРВОВ) ТЕХНИЧЕСКИХ СРЕДСТВ</w:t>
      </w: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ОПОВЕЩЕНИЯ НАСЕЛЕНИЯ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14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обеспечения оповещения максимального количества людей, попавших в зону чрезвычайной ситуации, в том числе на территориях, не охваченных 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 (запас) технических средств оповещения, как правило, включает в себя резервные (стационарные, мобильные, носимые) технические средства оповещения и комплекты запасных частей и принадлежностей (ЗИП).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Резервные стационарные технические средства оповещения в основном предназначаются для аварийной замены отказавших стационарных технических средств систем оповещения населения.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Резервные мобильные и носимые технические средства оповещения предназначаются для обеспечения максимально возможного охвата населения, до которого доводятся сигналы оповещения. Резервные мобильные технические средства оповещения могут размещаться (монтироваться) на автомобильных, водных и других транспортных средствах.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Запасные части, инструмент, принадлежности и материалы предназначены для поддержания работоспособности и исправности составных частей технических средств оповещения при эксплуатации, проведении всех видов технического обслуживания, плановых и неплановых ремонтов изделий в соответствии с требованиями эксплуатационной документации и скомплектованы в зависимости от назначения и особенностей использования.</w:t>
      </w:r>
    </w:p>
    <w:p w:rsidR="005E56D9" w:rsidRPr="004E1B25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14F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оменклатур</w:t>
      </w:r>
      <w:r w:rsid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объемы, порядок создания и использования резервов технических средств оповещения </w:t>
      </w:r>
      <w:r w:rsidR="007C14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Печенгском муниципальном округе</w:t>
      </w:r>
      <w:r w:rsid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постановлением </w:t>
      </w:r>
      <w:r w:rsidR="004E1B25"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Печенгского муниципального округа</w:t>
      </w: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решением руководителя организации соответственно.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Разрабатываемые номенклатура и объемы резерва технических средств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оповещения должны учитывать: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эксплуатируемого оборудования оповещения, надежность и взаимозаменяемость его отдельных узлов, а также временное отсутствие необходимых изделий в местах хранения;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населенные пункты, в которых отсутствуют автоматизированные системы оповещения населения, их количество, площадь, количество проживаемого там населения, характер застроек;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выхода из строя технических средств оповещения с учетом прогнозируемых возможных чрезвычайных ситуаций, сроков эксплуатации систем оповещения и других факторов;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прогнозируемые возможные чрезвычайные ситуации;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использования резервов технических средств оповещения.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ОРГАНИЗАЦИЯ ФИНАНСИРОВАНИЯ МЕРОПРИЯТИЙ ПО СОЗДАНИЮ, СОВЕРШЕНСТВОВАНИЮ</w:t>
      </w: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ПОДДЕРЖАНИЮ В ГОТОВНОСТИ СИСТЕМ</w:t>
      </w:r>
    </w:p>
    <w:p w:rsidR="005E56D9" w:rsidRPr="00DC4BA7" w:rsidRDefault="00DC4BA7" w:rsidP="005E5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ОПОВЕЩЕНИЯ НАСЕЛЕНИЯ</w:t>
      </w:r>
    </w:p>
    <w:p w:rsidR="005E56D9" w:rsidRPr="003D50BC" w:rsidRDefault="005E56D9" w:rsidP="005E5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6D9" w:rsidRPr="003D50BC" w:rsidRDefault="00BB13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5E56D9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Финансирование создания, совершенствования и поддержания в постоянной готовности и развития систем оповещения населения, создания и содержания запасов технических средств оповещения, возмещение затрат, понесенных организациями, операторами связи, редакциями средств массовой информации, а также организациями телерадиовещания, привлекаемыми к обеспечению оповещения населения, осуществляются в соответствии с законодательством Российской Федерации и Мурманской области.</w:t>
      </w: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5E5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045" w:rsidRDefault="002A1045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045" w:rsidRDefault="002A1045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045" w:rsidRDefault="002A1045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045" w:rsidRDefault="002A1045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045" w:rsidRDefault="002A1045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045" w:rsidRPr="003D50BC" w:rsidRDefault="002A1045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РЕЕСТР РАССЫЛКИ</w:t>
      </w:r>
    </w:p>
    <w:p w:rsidR="00650E58" w:rsidRPr="003D50BC" w:rsidRDefault="00650E58" w:rsidP="00650E58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</w:p>
    <w:p w:rsidR="00650E58" w:rsidRPr="003D50BC" w:rsidRDefault="00650E58" w:rsidP="00650E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Положения о системах оповещения населения </w:t>
      </w:r>
    </w:p>
    <w:p w:rsidR="00650E58" w:rsidRPr="003D50BC" w:rsidRDefault="00650E58" w:rsidP="00650E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</w:p>
    <w:p w:rsidR="00650E58" w:rsidRPr="003D50BC" w:rsidRDefault="00650E58" w:rsidP="00650E58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 №___________________</w:t>
      </w: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650E58" w:rsidRPr="003D50BC" w:rsidTr="00650E58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о получении </w:t>
            </w: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650E58" w:rsidRPr="003D50BC" w:rsidTr="00650E5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Печенгского муниципального округа Пономарев А.В.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E58" w:rsidRPr="003D50BC" w:rsidTr="00650E5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ГО, ЧС и ПБ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824780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ЕДДС Печенгского района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650E5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«ОДА»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824780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650E5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Советники Главы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824780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824780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«Печенга»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650E5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gramStart"/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Кольская</w:t>
            </w:r>
            <w:proofErr w:type="gramEnd"/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ГМК»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780" w:rsidRPr="003D50BC" w:rsidRDefault="00824780" w:rsidP="00AD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 w:rsidP="00AD49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650E5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780" w:rsidRPr="003D50BC" w:rsidRDefault="00824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дело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780" w:rsidRPr="003D50BC" w:rsidRDefault="0082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780" w:rsidRPr="003D50BC" w:rsidTr="00650E58"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780" w:rsidRPr="003D50BC" w:rsidRDefault="00824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780" w:rsidRPr="003D50BC" w:rsidRDefault="0082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780" w:rsidRPr="003D50BC" w:rsidRDefault="008247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50E58" w:rsidRPr="003D50BC" w:rsidRDefault="00650E58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x-none"/>
        </w:rPr>
        <w:t>Н</w:t>
      </w:r>
      <w:r w:rsidR="003D50B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ачальник отдела ГО, ЧС и ПБ                                                     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А.В. Соболев</w:t>
      </w: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1B25" w:rsidRPr="003D50BC" w:rsidRDefault="004E1B25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4780" w:rsidRPr="003D50BC" w:rsidRDefault="00824780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СОГЛАСОВАНИЯ</w:t>
      </w:r>
    </w:p>
    <w:p w:rsidR="00650E58" w:rsidRPr="003D50BC" w:rsidRDefault="00824780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постановления</w:t>
      </w:r>
    </w:p>
    <w:p w:rsidR="00824780" w:rsidRPr="003D50BC" w:rsidRDefault="00824780" w:rsidP="008247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Положения о системах оповещения населения </w:t>
      </w:r>
    </w:p>
    <w:p w:rsidR="00824780" w:rsidRPr="003D50BC" w:rsidRDefault="00824780" w:rsidP="008247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</w:p>
    <w:p w:rsidR="00824780" w:rsidRPr="003D50BC" w:rsidRDefault="00824780" w:rsidP="00650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Исполнитель: 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x-none"/>
        </w:rPr>
        <w:t>начальник отдела ГО, ЧС и ПБ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Соболев А.В.</w:t>
      </w:r>
      <w:r w:rsidRPr="003D50B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50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x-none"/>
        </w:rPr>
        <w:t>007</w:t>
      </w: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ответственное за соблюдение сроков согласования: начальник отдела ГО, ЧС и ПБ Соболев А.В. 50007</w:t>
      </w: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листов в документе (начиная с титула, включая приложения) - </w:t>
      </w:r>
      <w:r w:rsidR="00824780"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>«     » апреля 2021 г.                                                                               _____________________</w:t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50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подпись исполнителя</w:t>
      </w:r>
    </w:p>
    <w:p w:rsidR="00650E58" w:rsidRPr="003D50BC" w:rsidRDefault="00650E58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50E58" w:rsidRPr="003D50BC" w:rsidRDefault="00650E58" w:rsidP="0065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650E58" w:rsidRPr="003D50BC" w:rsidTr="00650E58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о результатах согласования</w:t>
            </w:r>
          </w:p>
        </w:tc>
      </w:tr>
      <w:tr w:rsidR="00650E58" w:rsidRPr="003D50BC" w:rsidTr="00650E58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Печенгского муниципального округа</w:t>
            </w:r>
          </w:p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E58" w:rsidRPr="003D50BC" w:rsidTr="00650E58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E58" w:rsidRPr="003D50BC" w:rsidTr="00650E58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 Самойлов С.А.</w:t>
            </w:r>
          </w:p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E58" w:rsidRPr="003D50BC" w:rsidTr="00650E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Сведения о нормативности документа:</w:t>
            </w:r>
          </w:p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«НПА» или «не НПА» </w:t>
            </w:r>
          </w:p>
        </w:tc>
      </w:tr>
      <w:tr w:rsidR="00650E58" w:rsidRPr="003D50BC" w:rsidTr="00650E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650E58" w:rsidRPr="003D50BC" w:rsidTr="00650E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Сведения о необходимости размещения проекта на официальном сайте Печенгского муниципального округа в сети Интернет </w:t>
            </w:r>
          </w:p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«Подлежит размещению» или «Не подлежит размещению»</w:t>
            </w:r>
          </w:p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650E58" w:rsidRPr="00DC4BA7" w:rsidRDefault="00650E5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«___»_________20__ г</w:t>
            </w:r>
            <w:proofErr w:type="gramStart"/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___________ (_____________________)</w:t>
            </w:r>
            <w:proofErr w:type="gramEnd"/>
          </w:p>
        </w:tc>
      </w:tr>
      <w:tr w:rsidR="00650E58" w:rsidRPr="003D50BC" w:rsidTr="00650E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58" w:rsidRPr="003D50BC" w:rsidRDefault="0065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DC4BA7" w:rsidRDefault="00650E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К проекту приложены заключения: </w:t>
            </w:r>
          </w:p>
          <w:p w:rsidR="00650E58" w:rsidRPr="00DC4BA7" w:rsidRDefault="00650E58" w:rsidP="00650E58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Правовое заключение - «Да»  или «Нет»;</w:t>
            </w:r>
          </w:p>
          <w:p w:rsidR="00650E58" w:rsidRPr="00DC4BA7" w:rsidRDefault="00650E58" w:rsidP="00650E58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C4BA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650E58" w:rsidRPr="003D50BC" w:rsidTr="00650E58">
        <w:trPr>
          <w:trHeight w:val="91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E58" w:rsidRPr="003D50BC" w:rsidRDefault="00650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0AFB" w:rsidRPr="003D50BC" w:rsidRDefault="00DC4BA7" w:rsidP="0082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1C0AFB" w:rsidRPr="003D50BC" w:rsidSect="00DC4BA7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4C8" w:rsidRDefault="003624C8">
      <w:pPr>
        <w:spacing w:after="0" w:line="240" w:lineRule="auto"/>
      </w:pPr>
      <w:r>
        <w:separator/>
      </w:r>
    </w:p>
  </w:endnote>
  <w:endnote w:type="continuationSeparator" w:id="0">
    <w:p w:rsidR="003624C8" w:rsidRDefault="0036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4C8" w:rsidRDefault="003624C8">
      <w:pPr>
        <w:spacing w:after="0" w:line="240" w:lineRule="auto"/>
      </w:pPr>
      <w:r>
        <w:separator/>
      </w:r>
    </w:p>
  </w:footnote>
  <w:footnote w:type="continuationSeparator" w:id="0">
    <w:p w:rsidR="003624C8" w:rsidRDefault="00362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781"/>
    <w:multiLevelType w:val="multilevel"/>
    <w:tmpl w:val="D894528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417F5949"/>
    <w:multiLevelType w:val="multilevel"/>
    <w:tmpl w:val="25823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564416C"/>
    <w:multiLevelType w:val="multilevel"/>
    <w:tmpl w:val="A11062EC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49661DF5"/>
    <w:multiLevelType w:val="hybridMultilevel"/>
    <w:tmpl w:val="046A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248A"/>
    <w:multiLevelType w:val="hybridMultilevel"/>
    <w:tmpl w:val="5B8C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4ED2"/>
    <w:multiLevelType w:val="hybridMultilevel"/>
    <w:tmpl w:val="805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B151F"/>
    <w:multiLevelType w:val="hybridMultilevel"/>
    <w:tmpl w:val="40F094E6"/>
    <w:lvl w:ilvl="0" w:tplc="196A5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A562D"/>
    <w:multiLevelType w:val="multilevel"/>
    <w:tmpl w:val="24D08C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76"/>
    <w:rsid w:val="00000C09"/>
    <w:rsid w:val="0002016A"/>
    <w:rsid w:val="0002767F"/>
    <w:rsid w:val="00027DB5"/>
    <w:rsid w:val="00034A38"/>
    <w:rsid w:val="00071D30"/>
    <w:rsid w:val="00074CA1"/>
    <w:rsid w:val="00085218"/>
    <w:rsid w:val="00087774"/>
    <w:rsid w:val="00092409"/>
    <w:rsid w:val="00094852"/>
    <w:rsid w:val="000962A4"/>
    <w:rsid w:val="000970F4"/>
    <w:rsid w:val="000A45B9"/>
    <w:rsid w:val="000A6AFC"/>
    <w:rsid w:val="000B0294"/>
    <w:rsid w:val="000C5485"/>
    <w:rsid w:val="001209B5"/>
    <w:rsid w:val="00180D24"/>
    <w:rsid w:val="00191B78"/>
    <w:rsid w:val="001A2E7F"/>
    <w:rsid w:val="001B2F49"/>
    <w:rsid w:val="001B38D3"/>
    <w:rsid w:val="001C0AFB"/>
    <w:rsid w:val="001D3743"/>
    <w:rsid w:val="001E3EC2"/>
    <w:rsid w:val="0020077F"/>
    <w:rsid w:val="00202EFA"/>
    <w:rsid w:val="00204B6A"/>
    <w:rsid w:val="002307DA"/>
    <w:rsid w:val="00245ED1"/>
    <w:rsid w:val="00247FB6"/>
    <w:rsid w:val="00263F01"/>
    <w:rsid w:val="0027178E"/>
    <w:rsid w:val="002A1045"/>
    <w:rsid w:val="002A148C"/>
    <w:rsid w:val="002A3EF3"/>
    <w:rsid w:val="002A4A35"/>
    <w:rsid w:val="002B35A2"/>
    <w:rsid w:val="002C1975"/>
    <w:rsid w:val="002C22E2"/>
    <w:rsid w:val="002D7151"/>
    <w:rsid w:val="00327297"/>
    <w:rsid w:val="00335B62"/>
    <w:rsid w:val="00352008"/>
    <w:rsid w:val="003624C8"/>
    <w:rsid w:val="003749DB"/>
    <w:rsid w:val="00385601"/>
    <w:rsid w:val="00393B34"/>
    <w:rsid w:val="003B2187"/>
    <w:rsid w:val="003B669F"/>
    <w:rsid w:val="003D50BC"/>
    <w:rsid w:val="003D64A9"/>
    <w:rsid w:val="003E4D71"/>
    <w:rsid w:val="00400018"/>
    <w:rsid w:val="00402D3F"/>
    <w:rsid w:val="00410616"/>
    <w:rsid w:val="00421BD1"/>
    <w:rsid w:val="00430B15"/>
    <w:rsid w:val="0043781D"/>
    <w:rsid w:val="00450F01"/>
    <w:rsid w:val="004530B7"/>
    <w:rsid w:val="004531BB"/>
    <w:rsid w:val="004579D1"/>
    <w:rsid w:val="004626B5"/>
    <w:rsid w:val="00462C8D"/>
    <w:rsid w:val="004736B8"/>
    <w:rsid w:val="004770B2"/>
    <w:rsid w:val="00485A1C"/>
    <w:rsid w:val="004A75EC"/>
    <w:rsid w:val="004B1173"/>
    <w:rsid w:val="004C4C70"/>
    <w:rsid w:val="004E1B25"/>
    <w:rsid w:val="004E3761"/>
    <w:rsid w:val="004E76B0"/>
    <w:rsid w:val="00510665"/>
    <w:rsid w:val="00514485"/>
    <w:rsid w:val="00514EE9"/>
    <w:rsid w:val="005165F2"/>
    <w:rsid w:val="00530515"/>
    <w:rsid w:val="00534FD1"/>
    <w:rsid w:val="00546D3B"/>
    <w:rsid w:val="00574F21"/>
    <w:rsid w:val="005B3205"/>
    <w:rsid w:val="005B43AC"/>
    <w:rsid w:val="005D7A80"/>
    <w:rsid w:val="005E56D9"/>
    <w:rsid w:val="005E5C24"/>
    <w:rsid w:val="005F6229"/>
    <w:rsid w:val="00611401"/>
    <w:rsid w:val="0061531F"/>
    <w:rsid w:val="00622A8D"/>
    <w:rsid w:val="006411D8"/>
    <w:rsid w:val="00650E58"/>
    <w:rsid w:val="006524AE"/>
    <w:rsid w:val="00672F74"/>
    <w:rsid w:val="00683F17"/>
    <w:rsid w:val="0068770C"/>
    <w:rsid w:val="006A4F28"/>
    <w:rsid w:val="006B1709"/>
    <w:rsid w:val="006C708D"/>
    <w:rsid w:val="006D5CA3"/>
    <w:rsid w:val="006F535C"/>
    <w:rsid w:val="00705683"/>
    <w:rsid w:val="007219DD"/>
    <w:rsid w:val="00723721"/>
    <w:rsid w:val="00744FE0"/>
    <w:rsid w:val="00747883"/>
    <w:rsid w:val="007567B1"/>
    <w:rsid w:val="0076712B"/>
    <w:rsid w:val="00791820"/>
    <w:rsid w:val="00791D35"/>
    <w:rsid w:val="007A797D"/>
    <w:rsid w:val="007B02C3"/>
    <w:rsid w:val="007C14F7"/>
    <w:rsid w:val="007D158A"/>
    <w:rsid w:val="007E3546"/>
    <w:rsid w:val="007F4C83"/>
    <w:rsid w:val="007F4CDD"/>
    <w:rsid w:val="00805AE2"/>
    <w:rsid w:val="00824780"/>
    <w:rsid w:val="00832DBC"/>
    <w:rsid w:val="00855603"/>
    <w:rsid w:val="00861DCA"/>
    <w:rsid w:val="008B1E62"/>
    <w:rsid w:val="008C0DA7"/>
    <w:rsid w:val="008D3C2E"/>
    <w:rsid w:val="008E54EF"/>
    <w:rsid w:val="008F271D"/>
    <w:rsid w:val="009055EE"/>
    <w:rsid w:val="00911DDB"/>
    <w:rsid w:val="009260D9"/>
    <w:rsid w:val="00931B28"/>
    <w:rsid w:val="00932579"/>
    <w:rsid w:val="00962EBA"/>
    <w:rsid w:val="00973322"/>
    <w:rsid w:val="009758EA"/>
    <w:rsid w:val="009768A7"/>
    <w:rsid w:val="009C1163"/>
    <w:rsid w:val="009E09AC"/>
    <w:rsid w:val="00A030A1"/>
    <w:rsid w:val="00A3406A"/>
    <w:rsid w:val="00A40F83"/>
    <w:rsid w:val="00A46A9C"/>
    <w:rsid w:val="00A636B4"/>
    <w:rsid w:val="00A657E7"/>
    <w:rsid w:val="00AA3303"/>
    <w:rsid w:val="00AB499E"/>
    <w:rsid w:val="00AC0005"/>
    <w:rsid w:val="00AC06C1"/>
    <w:rsid w:val="00AC5FED"/>
    <w:rsid w:val="00AC6DBE"/>
    <w:rsid w:val="00AD350A"/>
    <w:rsid w:val="00AD4377"/>
    <w:rsid w:val="00AE4FD9"/>
    <w:rsid w:val="00B11E26"/>
    <w:rsid w:val="00B12155"/>
    <w:rsid w:val="00B360EC"/>
    <w:rsid w:val="00B368E7"/>
    <w:rsid w:val="00B44867"/>
    <w:rsid w:val="00B52A11"/>
    <w:rsid w:val="00B56166"/>
    <w:rsid w:val="00B61D39"/>
    <w:rsid w:val="00B7267A"/>
    <w:rsid w:val="00BA01C6"/>
    <w:rsid w:val="00BA30EE"/>
    <w:rsid w:val="00BB1358"/>
    <w:rsid w:val="00C309CB"/>
    <w:rsid w:val="00C37FD7"/>
    <w:rsid w:val="00C404A5"/>
    <w:rsid w:val="00C5590B"/>
    <w:rsid w:val="00C56B02"/>
    <w:rsid w:val="00C60C8E"/>
    <w:rsid w:val="00C620DE"/>
    <w:rsid w:val="00C64BA9"/>
    <w:rsid w:val="00C7749E"/>
    <w:rsid w:val="00C8264D"/>
    <w:rsid w:val="00C85315"/>
    <w:rsid w:val="00CB6BEC"/>
    <w:rsid w:val="00CD11A6"/>
    <w:rsid w:val="00CF3919"/>
    <w:rsid w:val="00CF74D9"/>
    <w:rsid w:val="00D118B7"/>
    <w:rsid w:val="00D234A2"/>
    <w:rsid w:val="00D2434C"/>
    <w:rsid w:val="00D26AAC"/>
    <w:rsid w:val="00D30622"/>
    <w:rsid w:val="00D36704"/>
    <w:rsid w:val="00D44767"/>
    <w:rsid w:val="00D5786F"/>
    <w:rsid w:val="00D61A65"/>
    <w:rsid w:val="00D650DB"/>
    <w:rsid w:val="00D85384"/>
    <w:rsid w:val="00DB5767"/>
    <w:rsid w:val="00DC2CB3"/>
    <w:rsid w:val="00DC4BA7"/>
    <w:rsid w:val="00DD55E1"/>
    <w:rsid w:val="00DF50C0"/>
    <w:rsid w:val="00E2189E"/>
    <w:rsid w:val="00E436AD"/>
    <w:rsid w:val="00E469AC"/>
    <w:rsid w:val="00E477EC"/>
    <w:rsid w:val="00E52257"/>
    <w:rsid w:val="00E6186D"/>
    <w:rsid w:val="00E64ADD"/>
    <w:rsid w:val="00E75164"/>
    <w:rsid w:val="00E75596"/>
    <w:rsid w:val="00E91419"/>
    <w:rsid w:val="00E975D8"/>
    <w:rsid w:val="00EA19EE"/>
    <w:rsid w:val="00EC19C6"/>
    <w:rsid w:val="00EC2095"/>
    <w:rsid w:val="00EC5A76"/>
    <w:rsid w:val="00EE3FA2"/>
    <w:rsid w:val="00EE6813"/>
    <w:rsid w:val="00EE7753"/>
    <w:rsid w:val="00EF268E"/>
    <w:rsid w:val="00EF667F"/>
    <w:rsid w:val="00F037D5"/>
    <w:rsid w:val="00F07F1D"/>
    <w:rsid w:val="00F35598"/>
    <w:rsid w:val="00F6650B"/>
    <w:rsid w:val="00F8403F"/>
    <w:rsid w:val="00F8608D"/>
    <w:rsid w:val="00F906DD"/>
    <w:rsid w:val="00FC2A32"/>
    <w:rsid w:val="00FD16CC"/>
    <w:rsid w:val="00FE0F78"/>
    <w:rsid w:val="00FE7339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5C2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121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header"/>
    <w:basedOn w:val="a"/>
    <w:link w:val="ab"/>
    <w:uiPriority w:val="99"/>
    <w:unhideWhenUsed/>
    <w:rsid w:val="0082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4780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2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4780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5C2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121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header"/>
    <w:basedOn w:val="a"/>
    <w:link w:val="ab"/>
    <w:uiPriority w:val="99"/>
    <w:unhideWhenUsed/>
    <w:rsid w:val="0082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4780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2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478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tarasov\Desktop\990%20&#1086;&#1090;%2007.09.2017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DCFAAB61E52C4A91B0F9FAAB06EE3D08C1BE0CF7D8E7A3DB49D8259F6DE1A2A05DB8E1ZAv6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0DCFAAB61E52C4A91B0F9FAAB06EE3D0BC8BF0AF3DEE7A3DB49D8259F6DE1A2A05DB8E1ZAv2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E7C0-938E-4DE3-9A8D-A5FA56ED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3352</Words>
  <Characters>27243</Characters>
  <Application>Microsoft Office Word</Application>
  <DocSecurity>4</DocSecurity>
  <Lines>227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30534</CharactersWithSpaces>
  <SharedDoc>false</SharedDoc>
  <HLinks>
    <vt:vector size="30" baseType="variant">
      <vt:variant>
        <vt:i4>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consultantplus://offline/ref=F3424354463CCB3E5B465B4300797BC8996B748183C0F4AC39AF38A70DE29C720D9E36B464E20D220BC2566C1DEBED266029A455018EC7707E8527D7q1J</vt:lpwstr>
      </vt:variant>
      <vt:variant>
        <vt:lpwstr/>
      </vt:variant>
      <vt:variant>
        <vt:i4>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consultantplus://offline/ref=F3424354463CCB3E5B465B4300797BC8996B748183C0F4AC39AF38A70DE29C720D9E36B464E20D220BC2566F1DEBED266029A455018EC7707E8527D7q1J</vt:lpwstr>
      </vt:variant>
      <vt:variant>
        <vt:lpwstr/>
      </vt:variant>
      <vt:variant>
        <vt:i4>75431981</vt:i4>
      </vt:variant>
      <vt:variant>
        <vt:i4>6</vt:i4>
      </vt:variant>
      <vt:variant>
        <vt:i4>0</vt:i4>
      </vt:variant>
      <vt:variant>
        <vt:i4>5</vt:i4>
      </vt:variant>
      <vt:variant>
        <vt:lpwstr>C:\Users\isakov\Desktop\Паводок 2021.docx</vt:lpwstr>
      </vt:variant>
      <vt:variant>
        <vt:lpwstr>P69</vt:lpwstr>
      </vt:variant>
      <vt:variant>
        <vt:i4>3276858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consultantplus://offline/ref=86C7DC3431D0F05275F6FA3A288BF98B4D5D650EB6346EB8340870850BD287FBA888CCE92BC657B4E241675A7025B746U2mAJ</vt:lpwstr>
      </vt:variant>
      <vt:variant>
        <vt:lpwstr/>
      </vt:variant>
      <vt:variant>
        <vt:i4>3801146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consultantplus://offline/ref=86C7DC3431D0F05275F6E4373EE7A78E48563B02B23360EC68572BD85CDB8DACEFC795B96F935AB2E154330F2A72BA4626974B9C1EC33A31UAm9J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Ирина Викторовна</dc:creator>
  <cp:lastModifiedBy>Татаринцева Наталия Андреевна</cp:lastModifiedBy>
  <cp:revision>2</cp:revision>
  <cp:lastPrinted>2021-06-30T09:15:00Z</cp:lastPrinted>
  <dcterms:created xsi:type="dcterms:W3CDTF">2021-06-30T09:15:00Z</dcterms:created>
  <dcterms:modified xsi:type="dcterms:W3CDTF">2021-06-30T09:15:00Z</dcterms:modified>
</cp:coreProperties>
</file>