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Default="00FE56AB" w:rsidP="0039235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FE77C0">
              <w:t>Обеспечение общественного порядка и безопасности населения</w:t>
            </w:r>
            <w:r>
              <w:t>»</w:t>
            </w:r>
            <w:r w:rsidR="00D84718">
              <w:t xml:space="preserve"> </w:t>
            </w:r>
          </w:p>
          <w:p w:rsidR="00BB63AE" w:rsidRDefault="00D84718" w:rsidP="00392353">
            <w:pPr>
              <w:snapToGrid w:val="0"/>
              <w:spacing w:line="100" w:lineRule="atLeast"/>
              <w:jc w:val="center"/>
            </w:pPr>
            <w:r>
              <w:t>на 2022-2024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77C0" w:rsidP="00FE77C0">
            <w:pPr>
              <w:pStyle w:val="ac"/>
              <w:snapToGrid w:val="0"/>
              <w:jc w:val="center"/>
            </w:pPr>
            <w:r w:rsidRPr="00FE14F8">
              <w:t xml:space="preserve">Администрация </w:t>
            </w:r>
            <w:proofErr w:type="spellStart"/>
            <w:r w:rsidRPr="00FE14F8">
              <w:t>Печенгского</w:t>
            </w:r>
            <w:proofErr w:type="spellEnd"/>
            <w:r w:rsidRPr="00FE14F8">
              <w:t xml:space="preserve"> муниципального округа (Отдел гражданской обороны, чрезвычайных ситуаций и пожарной безопасности администрации </w:t>
            </w:r>
            <w:proofErr w:type="spellStart"/>
            <w:r w:rsidRPr="00FE14F8">
              <w:t>Печенгского</w:t>
            </w:r>
            <w:proofErr w:type="spellEnd"/>
            <w:r w:rsidRPr="00FE14F8">
              <w:t xml:space="preserve"> муниципального округа)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8471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05.11.2021-09.11.2021</w:t>
            </w:r>
          </w:p>
        </w:tc>
      </w:tr>
      <w:tr w:rsidR="00BB63AE" w:rsidTr="00D9136F">
        <w:tc>
          <w:tcPr>
            <w:tcW w:w="628" w:type="dxa"/>
            <w:tcBorders>
              <w:lef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D9136F">
        <w:tc>
          <w:tcPr>
            <w:tcW w:w="62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E77C0" w:rsidRPr="00FE77C0" w:rsidRDefault="00EE27F4" w:rsidP="00FE77C0">
            <w:pPr>
              <w:spacing w:line="276" w:lineRule="auto"/>
              <w:jc w:val="both"/>
              <w:rPr>
                <w:rFonts w:eastAsia="Times New Roman"/>
                <w:kern w:val="0"/>
                <w:sz w:val="22"/>
                <w:szCs w:val="22"/>
              </w:rPr>
            </w:pPr>
            <w:r w:rsidRPr="00FE77C0">
              <w:rPr>
                <w:sz w:val="20"/>
                <w:szCs w:val="20"/>
              </w:rPr>
              <w:t>«</w:t>
            </w:r>
            <w:r w:rsidR="00FE77C0" w:rsidRPr="00FE77C0">
              <w:rPr>
                <w:sz w:val="20"/>
                <w:szCs w:val="20"/>
              </w:rPr>
              <w:t>П</w:t>
            </w:r>
            <w:r w:rsidR="00FE77C0" w:rsidRPr="00FE77C0">
              <w:rPr>
                <w:rFonts w:eastAsia="Times New Roman"/>
                <w:kern w:val="0"/>
                <w:sz w:val="22"/>
                <w:szCs w:val="22"/>
              </w:rPr>
              <w:t>редлагаю установить дорожные знаки "5.21. Жилая зона" на  участке  проезжей части, которая вплотную проходит по придомовой территории домов № 7, 11, 15 по улице Ленина, город Заполярный.</w:t>
            </w:r>
          </w:p>
          <w:p w:rsidR="00BB63AE" w:rsidRPr="00FE77C0" w:rsidRDefault="00FE77C0" w:rsidP="00FE77C0">
            <w:pPr>
              <w:widowControl/>
              <w:suppressAutoHyphens w:val="0"/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FE77C0">
              <w:rPr>
                <w:rFonts w:eastAsia="Times New Roman"/>
                <w:kern w:val="0"/>
                <w:sz w:val="22"/>
                <w:szCs w:val="22"/>
              </w:rPr>
              <w:t>Опасение  вызывает установленный Законом скоростной  режим в черте города. Ширина дорожного покрытия ~6 м, учитывая припаркованные транспортные средства, дорожное полотно сужается вдвое. Что особенно важно, наличие "закрытых", а в ночное время слабоосвещённых, поворотов во двор. Так же на  данный участок дороги ведут выходы из магазинов, салонов, кафе и службы доставки, что подразумевает большое скопление  людей</w:t>
            </w:r>
            <w:proofErr w:type="gramStart"/>
            <w:r w:rsidRPr="00FE77C0">
              <w:rPr>
                <w:rFonts w:eastAsia="Times New Roman"/>
                <w:kern w:val="0"/>
                <w:sz w:val="22"/>
                <w:szCs w:val="22"/>
              </w:rPr>
              <w:t>.</w:t>
            </w:r>
            <w:r w:rsidR="00FB2D6A" w:rsidRPr="00FE77C0">
              <w:rPr>
                <w:rFonts w:eastAsia="Times New Roman"/>
                <w:kern w:val="0"/>
                <w:sz w:val="20"/>
                <w:szCs w:val="20"/>
              </w:rPr>
              <w:t>».</w:t>
            </w:r>
            <w:proofErr w:type="gramEnd"/>
          </w:p>
        </w:tc>
      </w:tr>
      <w:tr w:rsidR="00D9136F" w:rsidTr="00D9136F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9136F" w:rsidRDefault="00D9136F">
            <w:pPr>
              <w:pStyle w:val="ac"/>
              <w:jc w:val="center"/>
            </w:pPr>
            <w:r>
              <w:t>2.2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9136F" w:rsidRDefault="00D9136F">
            <w:pPr>
              <w:pStyle w:val="ac"/>
            </w:pPr>
            <w:r>
              <w:t>Результат рассмотрения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9136F" w:rsidRPr="00D9136F" w:rsidRDefault="00896EFD" w:rsidP="00896EFD">
            <w:pPr>
              <w:spacing w:line="276" w:lineRule="auto"/>
              <w:jc w:val="both"/>
            </w:pPr>
            <w:r w:rsidRPr="00D9136F">
              <w:t>Поступивш</w:t>
            </w:r>
            <w:r>
              <w:t>е</w:t>
            </w:r>
            <w:r w:rsidRPr="00D9136F">
              <w:t xml:space="preserve">е </w:t>
            </w:r>
            <w:r>
              <w:t>предложение</w:t>
            </w:r>
            <w:r w:rsidRPr="00D9136F">
              <w:t xml:space="preserve"> рассмотрен</w:t>
            </w:r>
            <w:r>
              <w:t xml:space="preserve">о на заседании программно-целевого совета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округа. Принято решение, что</w:t>
            </w:r>
            <w:r w:rsidRPr="00D9136F">
              <w:t xml:space="preserve"> с учетом действующего законодательства и </w:t>
            </w:r>
            <w:r w:rsidRPr="00D9136F">
              <w:lastRenderedPageBreak/>
              <w:t xml:space="preserve">содержания мероприятий, включенных в проект муниципальной программы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</w:t>
            </w:r>
            <w:r w:rsidRPr="00D9136F">
              <w:t>«</w:t>
            </w:r>
            <w:bookmarkStart w:id="0" w:name="_GoBack"/>
            <w:bookmarkEnd w:id="0"/>
            <w:r>
              <w:t>Обеспечение общественного порядка и безопасности населения»</w:t>
            </w:r>
            <w:r w:rsidRPr="00D9136F">
              <w:t xml:space="preserve"> на </w:t>
            </w:r>
            <w:r>
              <w:t xml:space="preserve">2022-2024 </w:t>
            </w:r>
            <w:r w:rsidRPr="00D9136F">
              <w:t>годы</w:t>
            </w:r>
            <w:r>
              <w:t>, внесение изменений в проект муниципальной программы</w:t>
            </w:r>
            <w:r w:rsidRPr="00D9136F">
              <w:t xml:space="preserve"> </w:t>
            </w:r>
            <w:r>
              <w:t>не требуется.</w:t>
            </w:r>
          </w:p>
        </w:tc>
      </w:tr>
    </w:tbl>
    <w:p w:rsidR="00BB63AE" w:rsidRDefault="00BB63AE" w:rsidP="000A3449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 w:rsidSect="000A3449">
      <w:pgSz w:w="11906" w:h="16838"/>
      <w:pgMar w:top="1134" w:right="850" w:bottom="426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A3449"/>
    <w:rsid w:val="00300A6F"/>
    <w:rsid w:val="00373167"/>
    <w:rsid w:val="00392353"/>
    <w:rsid w:val="003C0F04"/>
    <w:rsid w:val="004625E0"/>
    <w:rsid w:val="0055532A"/>
    <w:rsid w:val="007252C9"/>
    <w:rsid w:val="007716E3"/>
    <w:rsid w:val="00797138"/>
    <w:rsid w:val="00896EFD"/>
    <w:rsid w:val="009C059F"/>
    <w:rsid w:val="00BB63AE"/>
    <w:rsid w:val="00C7435E"/>
    <w:rsid w:val="00C96F07"/>
    <w:rsid w:val="00D84718"/>
    <w:rsid w:val="00D9136F"/>
    <w:rsid w:val="00E6360A"/>
    <w:rsid w:val="00EA7AE9"/>
    <w:rsid w:val="00EE27F4"/>
    <w:rsid w:val="00FB2D6A"/>
    <w:rsid w:val="00FE56AB"/>
    <w:rsid w:val="00FE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7962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53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4</cp:revision>
  <cp:lastPrinted>1995-11-21T14:41:00Z</cp:lastPrinted>
  <dcterms:created xsi:type="dcterms:W3CDTF">2021-11-11T11:36:00Z</dcterms:created>
  <dcterms:modified xsi:type="dcterms:W3CDTF">2021-11-12T09:58:00Z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