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4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6F" w:rsidRPr="00D0336F" w:rsidRDefault="00D0336F" w:rsidP="00D0336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0336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05F33E14" wp14:editId="5FA14BD9">
            <wp:extent cx="581025" cy="723900"/>
            <wp:effectExtent l="0" t="0" r="0" b="0"/>
            <wp:docPr id="1" name="Рисунок 1" descr="C:\Documents and Settings\fomenko.APR\Мои документы\Символика\Изображение герба красн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fomenko.APR\Мои документы\Символика\Изображение герба красное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36F" w:rsidRPr="00D0336F" w:rsidRDefault="00D0336F" w:rsidP="00D0336F">
      <w:pPr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36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D0336F" w:rsidRPr="00D0336F" w:rsidRDefault="00D0336F" w:rsidP="00D0336F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36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  <w:r w:rsidRPr="00D03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ОБРАЗОВАНИЕ</w:t>
      </w:r>
    </w:p>
    <w:p w:rsidR="00D0336F" w:rsidRPr="00D0336F" w:rsidRDefault="00D0336F" w:rsidP="00D0336F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03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ПЕЧЕНГСКИЙ РАЙОН МУРМАНСКОЙ ОБЛАСТИ</w:t>
      </w:r>
    </w:p>
    <w:p w:rsidR="00D0336F" w:rsidRDefault="00D0336F" w:rsidP="00D0336F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0336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КОНТРОЛЬНО-СЧЕТНАЯ ПАЛАТА</w:t>
      </w:r>
    </w:p>
    <w:p w:rsidR="00F33CD1" w:rsidRPr="00F33CD1" w:rsidRDefault="00F33CD1" w:rsidP="00D0336F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0336F" w:rsidRPr="00D0336F" w:rsidRDefault="00D0336F" w:rsidP="00F33CD1">
      <w:pPr>
        <w:ind w:right="-23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033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184421, Мурманская область, пос. Никель, ул. Пионерская, д. 2</w:t>
      </w:r>
      <w:r w:rsidR="00F33C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F33CD1" w:rsidRPr="00F33C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телефон (815 54) 5-</w:t>
      </w:r>
      <w:r w:rsidR="009E75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19</w:t>
      </w:r>
      <w:r w:rsidR="00F33CD1" w:rsidRPr="00F33C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r w:rsidR="009E75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17</w:t>
      </w:r>
    </w:p>
    <w:p w:rsidR="00247D1A" w:rsidRPr="0033306E" w:rsidRDefault="00247D1A" w:rsidP="000C7B0D">
      <w:pPr>
        <w:pStyle w:val="a8"/>
        <w:widowControl w:val="0"/>
        <w:spacing w:line="240" w:lineRule="auto"/>
        <w:rPr>
          <w:sz w:val="28"/>
          <w:szCs w:val="28"/>
        </w:rPr>
      </w:pPr>
      <w:r w:rsidRPr="0033306E">
        <w:rPr>
          <w:sz w:val="28"/>
          <w:szCs w:val="28"/>
        </w:rPr>
        <w:t>Заключение</w:t>
      </w:r>
    </w:p>
    <w:p w:rsidR="00247D1A" w:rsidRPr="0033306E" w:rsidRDefault="000C7B0D" w:rsidP="000C7B0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</w:t>
      </w:r>
      <w:r w:rsidR="00247D1A" w:rsidRPr="0033306E">
        <w:rPr>
          <w:rFonts w:ascii="Times New Roman" w:hAnsi="Times New Roman"/>
          <w:b/>
          <w:sz w:val="28"/>
          <w:szCs w:val="28"/>
        </w:rPr>
        <w:t>на отчет об исполнении бюджета</w:t>
      </w:r>
    </w:p>
    <w:p w:rsidR="000C7B0D" w:rsidRDefault="000C7B0D" w:rsidP="000C7B0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  <w:r w:rsidR="00247D1A" w:rsidRPr="0033306E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0C7B0D" w:rsidRDefault="00247D1A" w:rsidP="000C7B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306E">
        <w:rPr>
          <w:rFonts w:ascii="Times New Roman" w:hAnsi="Times New Roman"/>
          <w:b/>
          <w:sz w:val="28"/>
          <w:szCs w:val="28"/>
        </w:rPr>
        <w:t>городское поселение Никель Печенгского района</w:t>
      </w:r>
    </w:p>
    <w:p w:rsidR="00247D1A" w:rsidRPr="0033306E" w:rsidRDefault="000C7B0D" w:rsidP="000C7B0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r w:rsidR="00247D1A" w:rsidRPr="0033306E">
        <w:rPr>
          <w:rFonts w:ascii="Times New Roman" w:hAnsi="Times New Roman"/>
          <w:b/>
          <w:sz w:val="28"/>
          <w:szCs w:val="28"/>
        </w:rPr>
        <w:t>за 1-й квартал 2018 года</w:t>
      </w:r>
    </w:p>
    <w:p w:rsidR="009000A3" w:rsidRPr="0033306E" w:rsidRDefault="009000A3" w:rsidP="00434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434EF2" w:rsidRPr="0033306E" w:rsidRDefault="00434EF2" w:rsidP="00434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33306E">
        <w:rPr>
          <w:rFonts w:ascii="Times New Roman" w:hAnsi="Times New Roman" w:cs="Times New Roman"/>
          <w:iCs/>
          <w:sz w:val="28"/>
          <w:szCs w:val="28"/>
        </w:rPr>
        <w:t>гп</w:t>
      </w:r>
      <w:proofErr w:type="spellEnd"/>
      <w:r w:rsidR="00247D1A" w:rsidRPr="0033306E">
        <w:rPr>
          <w:rFonts w:ascii="Times New Roman" w:hAnsi="Times New Roman" w:cs="Times New Roman"/>
          <w:iCs/>
          <w:sz w:val="28"/>
          <w:szCs w:val="28"/>
        </w:rPr>
        <w:t>.</w:t>
      </w:r>
      <w:r w:rsidRPr="0033306E">
        <w:rPr>
          <w:rFonts w:ascii="Times New Roman" w:hAnsi="Times New Roman" w:cs="Times New Roman"/>
          <w:iCs/>
          <w:sz w:val="28"/>
          <w:szCs w:val="28"/>
        </w:rPr>
        <w:t xml:space="preserve"> Никель</w:t>
      </w:r>
      <w:r w:rsidRPr="0033306E">
        <w:rPr>
          <w:rFonts w:ascii="Times New Roman" w:hAnsi="Times New Roman" w:cs="Times New Roman"/>
          <w:iCs/>
          <w:sz w:val="28"/>
          <w:szCs w:val="28"/>
        </w:rPr>
        <w:tab/>
      </w:r>
      <w:r w:rsidR="0033306E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                   </w:t>
      </w:r>
      <w:r w:rsidRPr="0033306E">
        <w:rPr>
          <w:rFonts w:ascii="Times New Roman" w:hAnsi="Times New Roman" w:cs="Times New Roman"/>
          <w:iCs/>
          <w:sz w:val="28"/>
          <w:szCs w:val="28"/>
        </w:rPr>
        <w:t xml:space="preserve">           </w:t>
      </w:r>
      <w:r w:rsidR="0033306E">
        <w:rPr>
          <w:rFonts w:ascii="Times New Roman" w:hAnsi="Times New Roman" w:cs="Times New Roman"/>
          <w:iCs/>
          <w:sz w:val="28"/>
          <w:szCs w:val="28"/>
        </w:rPr>
        <w:t>0</w:t>
      </w:r>
      <w:r w:rsidR="00474914">
        <w:rPr>
          <w:rFonts w:ascii="Times New Roman" w:hAnsi="Times New Roman" w:cs="Times New Roman"/>
          <w:iCs/>
          <w:sz w:val="28"/>
          <w:szCs w:val="28"/>
        </w:rPr>
        <w:t>8</w:t>
      </w:r>
      <w:r w:rsidRPr="0033306E">
        <w:rPr>
          <w:rFonts w:ascii="Times New Roman" w:hAnsi="Times New Roman" w:cs="Times New Roman"/>
          <w:iCs/>
          <w:sz w:val="28"/>
          <w:szCs w:val="28"/>
        </w:rPr>
        <w:t>.0</w:t>
      </w:r>
      <w:r w:rsidR="0033306E">
        <w:rPr>
          <w:rFonts w:ascii="Times New Roman" w:hAnsi="Times New Roman" w:cs="Times New Roman"/>
          <w:iCs/>
          <w:sz w:val="28"/>
          <w:szCs w:val="28"/>
        </w:rPr>
        <w:t>5</w:t>
      </w:r>
      <w:r w:rsidRPr="0033306E">
        <w:rPr>
          <w:rFonts w:ascii="Times New Roman" w:hAnsi="Times New Roman" w:cs="Times New Roman"/>
          <w:iCs/>
          <w:sz w:val="28"/>
          <w:szCs w:val="28"/>
        </w:rPr>
        <w:t>.2018 года</w:t>
      </w:r>
    </w:p>
    <w:p w:rsidR="00247D1A" w:rsidRPr="0033306E" w:rsidRDefault="00247D1A" w:rsidP="00247D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7D1A" w:rsidRPr="0033306E" w:rsidRDefault="00247D1A" w:rsidP="00247D1A">
      <w:pPr>
        <w:pStyle w:val="a3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33306E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247D1A" w:rsidRPr="0033306E" w:rsidRDefault="00247D1A" w:rsidP="00247D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proofErr w:type="gramStart"/>
      <w:r w:rsidRPr="0033306E">
        <w:rPr>
          <w:szCs w:val="28"/>
        </w:rPr>
        <w:t>Заключение Контрольно-счетной палаты муниципального образования Печенгский район (далее – Контрольно-счетная палата) на отчет об исполнении бюджета муниципального образования городское поселение Никель Печенгского района (далее – бюджет поселения, местный бюджет или бюджет</w:t>
      </w:r>
      <w:r w:rsidR="000D6DC5" w:rsidRPr="0033306E">
        <w:rPr>
          <w:szCs w:val="28"/>
        </w:rPr>
        <w:t xml:space="preserve">) за 1-й квартал </w:t>
      </w:r>
      <w:r w:rsidRPr="0033306E">
        <w:rPr>
          <w:szCs w:val="28"/>
        </w:rPr>
        <w:t>2018 года подготовлено в соответствии с требованиями Бюджетного кодекса Российской Федерации (далее – БК РФ), Положения «О Контрольно-счетной палате Печенгского района Мурманской области», утвержденного решением Совета депутатов муниципального образования</w:t>
      </w:r>
      <w:proofErr w:type="gramEnd"/>
      <w:r w:rsidRPr="0033306E">
        <w:rPr>
          <w:szCs w:val="28"/>
        </w:rPr>
        <w:t xml:space="preserve"> Печенгский район от 17.03.201</w:t>
      </w:r>
      <w:r w:rsidR="00474914">
        <w:rPr>
          <w:szCs w:val="28"/>
        </w:rPr>
        <w:t>6</w:t>
      </w:r>
      <w:r w:rsidRPr="0033306E">
        <w:rPr>
          <w:szCs w:val="28"/>
        </w:rPr>
        <w:t xml:space="preserve"> № 70 и планом работы Контрольно-счетной палаты на 2018 год, утвержденным приказом Контрольно-счетной палаты от 27.12.2017 № 45</w:t>
      </w:r>
      <w:r w:rsidR="00474914">
        <w:rPr>
          <w:szCs w:val="28"/>
        </w:rPr>
        <w:t>,</w:t>
      </w:r>
      <w:r w:rsidRPr="0033306E">
        <w:rPr>
          <w:szCs w:val="28"/>
        </w:rPr>
        <w:t xml:space="preserve"> с использованием данных: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- отчета об исполнении бюджета городского поселения за 1-й квартал 2018 года с приложенными материалами по состоянию на 1 апреля 2018 года (далее – Отчетные данные за 1 квартал), представленных письмом Совета депутатов муниципального образования городское поселение Никель Печенгского района от 19.04.2018 № 183;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- иные материалы, представленные в электронном виде финансовым управлением администрации муниципального образования Печенгский район  (далее – Финансовое управление).</w:t>
      </w:r>
    </w:p>
    <w:p w:rsidR="00247D1A" w:rsidRPr="00247D1A" w:rsidRDefault="00247D1A" w:rsidP="00247D1A">
      <w:pPr>
        <w:pStyle w:val="a3"/>
        <w:spacing w:after="0" w:line="240" w:lineRule="auto"/>
        <w:ind w:left="0"/>
        <w:rPr>
          <w:rFonts w:ascii="Times New Roman" w:hAnsi="Times New Roman"/>
          <w:b/>
          <w:sz w:val="18"/>
          <w:szCs w:val="18"/>
        </w:rPr>
      </w:pPr>
    </w:p>
    <w:p w:rsidR="00247D1A" w:rsidRPr="0033306E" w:rsidRDefault="00247D1A" w:rsidP="00247D1A">
      <w:pPr>
        <w:pStyle w:val="a3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06E">
        <w:rPr>
          <w:rFonts w:ascii="Times New Roman" w:hAnsi="Times New Roman" w:cs="Times New Roman"/>
          <w:b/>
          <w:sz w:val="28"/>
          <w:szCs w:val="28"/>
        </w:rPr>
        <w:t>Общие итоги исполнения бюджета поселения</w:t>
      </w:r>
    </w:p>
    <w:p w:rsidR="00247D1A" w:rsidRPr="0033306E" w:rsidRDefault="00247D1A" w:rsidP="00247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Решением Совета депутатов муниципального образования городское поселение Никель Печенгского района </w:t>
      </w:r>
      <w:r w:rsidR="00474914" w:rsidRPr="0033306E">
        <w:rPr>
          <w:szCs w:val="28"/>
        </w:rPr>
        <w:t xml:space="preserve">(далее – Совет депутатов) </w:t>
      </w:r>
      <w:r w:rsidRPr="0033306E">
        <w:rPr>
          <w:szCs w:val="28"/>
        </w:rPr>
        <w:t xml:space="preserve">от 26.12.2017 № 100 «О бюджете городского поселения Никель Печенгского района на 2018 </w:t>
      </w:r>
      <w:r w:rsidRPr="0033306E">
        <w:rPr>
          <w:szCs w:val="28"/>
        </w:rPr>
        <w:lastRenderedPageBreak/>
        <w:t>год» (далее – решение о бюджете) утверждены основные характеристики бюджета поселения на 2018 год: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- прогнозируемый общий объем доходов в сумме 172 723,4 тыс. рублей;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- общий объем расходов в сумме 184 021,7 тыс. рублей;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- верхний предел муниципального долга на 1 января 2018 года в сумме 10 000,0 тыс. рублей;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- предельный объем муниципального долга на 2018 год в сумме 10 000,0 тыс. рублей;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- дефицит в сумме 11 298,3 тыс. рублей.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Согласно Отчету об исполнении бюджета на 1 апреля 201</w:t>
      </w:r>
      <w:r w:rsidR="00D06484" w:rsidRPr="0033306E">
        <w:rPr>
          <w:szCs w:val="28"/>
        </w:rPr>
        <w:t>8</w:t>
      </w:r>
      <w:r w:rsidRPr="0033306E">
        <w:rPr>
          <w:szCs w:val="28"/>
        </w:rPr>
        <w:t xml:space="preserve"> года, форма по ОКУД 0503117 (далее – Отчет), бюджет выполнен: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- по доходам в сумме 36 685,5 тыс. рублей, что составило 21,2 % от годовых назначений;</w:t>
      </w:r>
    </w:p>
    <w:p w:rsidR="00247D1A" w:rsidRPr="0033306E" w:rsidRDefault="00247D1A" w:rsidP="00247D1A">
      <w:pPr>
        <w:spacing w:after="0" w:line="283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3306E">
        <w:rPr>
          <w:rFonts w:ascii="Times New Roman" w:hAnsi="Times New Roman" w:cs="Times New Roman"/>
          <w:sz w:val="28"/>
          <w:szCs w:val="28"/>
        </w:rPr>
        <w:t xml:space="preserve">- </w:t>
      </w:r>
      <w:r w:rsidRPr="003330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 расходам в сумме 32 279,4 тыс. рублей, или 17,6 % от годовых бюджетных назначений, утвержденных сводной бюджетной росписью (182 959,5 тыс. рублей). Расхождения плановых назначений, утвержденных сводной бюджетной росписью, с плановыми назначениями, утвержденными решением Совета депутатов в части расходов составили 1 062,3 тыс. рублей. Согласно сводной бюджетной росписи расходы составили 182 959,5 тыс. рублей. </w:t>
      </w:r>
      <w:proofErr w:type="gramStart"/>
      <w:r w:rsidRPr="003330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Приказом Финансового управления от 22.02.2018 № 17н внесены изменения в сводную бюджетную роспись (в части уменьшения расходов) в соответствии со статьёй 217 Бюджетного кодекса Российской Федерации, положением «О финансовом управлении администрации муниципального образования Печенгский район», утверждённым решением Совета депутатов муниципального образования Печенгский район от 20.09.2012 № 448 на основании уведомлений Министерства строительства и территориального развития Мурманской области от 09.02.2018 № 109 и </w:t>
      </w:r>
      <w:r w:rsidR="0047491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</w:t>
      </w:r>
      <w:r w:rsidRPr="003330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инансового</w:t>
      </w:r>
      <w:proofErr w:type="gramEnd"/>
      <w:r w:rsidRPr="003330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управления от 21.02.2018 № 52.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- профицит 4 406,1 тыс. рублей.</w:t>
      </w:r>
    </w:p>
    <w:p w:rsidR="00247D1A" w:rsidRPr="0033306E" w:rsidRDefault="00247D1A" w:rsidP="00247D1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914">
        <w:rPr>
          <w:rFonts w:ascii="Times New Roman" w:hAnsi="Times New Roman" w:cs="Times New Roman"/>
          <w:sz w:val="28"/>
          <w:szCs w:val="28"/>
        </w:rPr>
        <w:t xml:space="preserve">Кредиторская задолженность </w:t>
      </w:r>
      <w:r w:rsidR="000040FD" w:rsidRPr="0033306E">
        <w:rPr>
          <w:rFonts w:ascii="Times New Roman" w:hAnsi="Times New Roman" w:cs="Times New Roman"/>
          <w:sz w:val="28"/>
          <w:szCs w:val="28"/>
        </w:rPr>
        <w:t>с 01.01.2018 года</w:t>
      </w:r>
      <w:r w:rsidR="002052AF">
        <w:rPr>
          <w:rFonts w:ascii="Times New Roman" w:hAnsi="Times New Roman" w:cs="Times New Roman"/>
          <w:sz w:val="28"/>
          <w:szCs w:val="28"/>
        </w:rPr>
        <w:t xml:space="preserve"> </w:t>
      </w:r>
      <w:r w:rsidRPr="00474914">
        <w:rPr>
          <w:rFonts w:ascii="Times New Roman" w:hAnsi="Times New Roman" w:cs="Times New Roman"/>
          <w:sz w:val="28"/>
          <w:szCs w:val="28"/>
        </w:rPr>
        <w:t xml:space="preserve">увеличилась на </w:t>
      </w:r>
      <w:r w:rsidR="000040FD">
        <w:rPr>
          <w:rFonts w:ascii="Times New Roman" w:hAnsi="Times New Roman" w:cs="Times New Roman"/>
          <w:sz w:val="28"/>
          <w:szCs w:val="28"/>
        </w:rPr>
        <w:t xml:space="preserve"> </w:t>
      </w:r>
      <w:r w:rsidRPr="00474914">
        <w:rPr>
          <w:rFonts w:ascii="Times New Roman" w:hAnsi="Times New Roman" w:cs="Times New Roman"/>
          <w:sz w:val="28"/>
          <w:szCs w:val="28"/>
        </w:rPr>
        <w:t>45 805,6 тыс. рублей и составила 54 724,1 тыс. рублей.</w:t>
      </w:r>
      <w:r w:rsidRPr="0033306E">
        <w:rPr>
          <w:rFonts w:ascii="Times New Roman" w:hAnsi="Times New Roman" w:cs="Times New Roman"/>
          <w:sz w:val="28"/>
          <w:szCs w:val="28"/>
        </w:rPr>
        <w:t xml:space="preserve"> </w:t>
      </w:r>
      <w:r w:rsidR="00474914" w:rsidRPr="007B34A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Основное увеличение обусловлено </w:t>
      </w:r>
      <w:r w:rsidR="0047491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изменением ее учета в текущем году.</w:t>
      </w:r>
    </w:p>
    <w:p w:rsidR="00247D1A" w:rsidRPr="0033306E" w:rsidRDefault="00247D1A" w:rsidP="00247D1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2AF">
        <w:rPr>
          <w:rFonts w:ascii="Times New Roman" w:hAnsi="Times New Roman" w:cs="Times New Roman"/>
          <w:sz w:val="28"/>
          <w:szCs w:val="28"/>
        </w:rPr>
        <w:t xml:space="preserve">Дебиторская задолженность </w:t>
      </w:r>
      <w:r w:rsidR="000040FD" w:rsidRPr="0033306E">
        <w:rPr>
          <w:rFonts w:ascii="Times New Roman" w:hAnsi="Times New Roman" w:cs="Times New Roman"/>
          <w:sz w:val="28"/>
          <w:szCs w:val="28"/>
        </w:rPr>
        <w:t>с 01.01.2018 года</w:t>
      </w:r>
      <w:r w:rsidR="002052AF" w:rsidRPr="002052AF">
        <w:rPr>
          <w:rFonts w:ascii="Times New Roman" w:hAnsi="Times New Roman" w:cs="Times New Roman"/>
          <w:sz w:val="28"/>
          <w:szCs w:val="28"/>
        </w:rPr>
        <w:t xml:space="preserve"> </w:t>
      </w:r>
      <w:r w:rsidRPr="002052AF">
        <w:rPr>
          <w:rFonts w:ascii="Times New Roman" w:hAnsi="Times New Roman" w:cs="Times New Roman"/>
          <w:sz w:val="28"/>
          <w:szCs w:val="28"/>
        </w:rPr>
        <w:t xml:space="preserve">уменьшилась на </w:t>
      </w:r>
      <w:r w:rsidR="000040FD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052AF">
        <w:rPr>
          <w:rFonts w:ascii="Times New Roman" w:hAnsi="Times New Roman" w:cs="Times New Roman"/>
          <w:sz w:val="28"/>
          <w:szCs w:val="28"/>
        </w:rPr>
        <w:t>21 123,9 тыс. рублей и составила 29 255,2 тыс. рублей.</w:t>
      </w:r>
      <w:r w:rsidR="002052AF" w:rsidRPr="002052AF">
        <w:rPr>
          <w:rFonts w:ascii="Times New Roman" w:hAnsi="Times New Roman" w:cs="Times New Roman"/>
          <w:sz w:val="28"/>
          <w:szCs w:val="28"/>
        </w:rPr>
        <w:t xml:space="preserve"> Основное</w:t>
      </w:r>
      <w:r w:rsidR="002052AF">
        <w:rPr>
          <w:rFonts w:ascii="Times New Roman" w:hAnsi="Times New Roman" w:cs="Times New Roman"/>
          <w:sz w:val="28"/>
          <w:szCs w:val="28"/>
        </w:rPr>
        <w:t xml:space="preserve"> уменьшение обусловлено </w:t>
      </w:r>
      <w:r w:rsidR="002052A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изменением учета дебиторской задолженности в 2018 году.</w:t>
      </w:r>
    </w:p>
    <w:p w:rsidR="00247D1A" w:rsidRPr="0033306E" w:rsidRDefault="00247D1A" w:rsidP="00247D1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06E">
        <w:rPr>
          <w:rFonts w:ascii="Times New Roman" w:hAnsi="Times New Roman" w:cs="Times New Roman"/>
          <w:sz w:val="28"/>
          <w:szCs w:val="28"/>
        </w:rPr>
        <w:t>Остатки средств на едином счете бюджета составили 11 907,9 тыс. рублей.</w:t>
      </w:r>
    </w:p>
    <w:p w:rsidR="00247D1A" w:rsidRPr="00247D1A" w:rsidRDefault="00247D1A" w:rsidP="00247D1A">
      <w:pPr>
        <w:spacing w:after="0" w:line="283" w:lineRule="auto"/>
        <w:ind w:firstLine="709"/>
        <w:jc w:val="both"/>
        <w:rPr>
          <w:rFonts w:ascii="Times New Roman" w:hAnsi="Times New Roman"/>
          <w:sz w:val="18"/>
          <w:szCs w:val="18"/>
          <w:highlight w:val="yellow"/>
        </w:rPr>
      </w:pPr>
    </w:p>
    <w:p w:rsidR="00247D1A" w:rsidRPr="0033306E" w:rsidRDefault="00247D1A" w:rsidP="00247D1A">
      <w:pPr>
        <w:pStyle w:val="a3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33306E">
        <w:rPr>
          <w:rFonts w:ascii="Times New Roman" w:hAnsi="Times New Roman"/>
          <w:b/>
          <w:sz w:val="28"/>
          <w:szCs w:val="28"/>
        </w:rPr>
        <w:t>Итоги исполнения доходной части бюджета поселения</w:t>
      </w:r>
    </w:p>
    <w:p w:rsidR="00247D1A" w:rsidRPr="0033306E" w:rsidRDefault="00247D1A" w:rsidP="00247D1A">
      <w:pPr>
        <w:pStyle w:val="14"/>
        <w:tabs>
          <w:tab w:val="left" w:pos="0"/>
        </w:tabs>
        <w:rPr>
          <w:szCs w:val="28"/>
        </w:rPr>
      </w:pP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Исполнение объема доходной части бюджета поселения в целом за 1-й квартал 2018 года обеспечено: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lastRenderedPageBreak/>
        <w:t>- на 71,3 % поступлениями налоговых и неналоговых платежей (за 1-й квартал 2017 года - на 77,2 %), которые составили 26 173,3 тыс. рублей;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- на 28,7 % безвозмездными поступлениями (за 1-й квартал 2017 года – 22,8 %), которые составили 10 512,2 тыс. рублей.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Сравнительный анализ вышеуказанных показателей с данными за аналогичный период прошлого года приведен на диаграмме (тыс. рублей).</w:t>
      </w:r>
    </w:p>
    <w:p w:rsidR="00247D1A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 w:val="24"/>
          <w:szCs w:val="24"/>
        </w:rPr>
      </w:pPr>
    </w:p>
    <w:p w:rsidR="00247D1A" w:rsidRDefault="00247D1A" w:rsidP="00247D1A">
      <w:pPr>
        <w:pStyle w:val="14"/>
        <w:tabs>
          <w:tab w:val="left" w:pos="1080"/>
        </w:tabs>
        <w:spacing w:line="283" w:lineRule="auto"/>
        <w:rPr>
          <w:sz w:val="24"/>
          <w:szCs w:val="24"/>
        </w:rPr>
      </w:pPr>
      <w:r w:rsidRPr="00020260">
        <w:rPr>
          <w:noProof/>
          <w:snapToGrid/>
          <w:sz w:val="20"/>
        </w:rPr>
        <w:drawing>
          <wp:inline distT="0" distB="0" distL="0" distR="0" wp14:anchorId="54C47CE1" wp14:editId="10F7A3CD">
            <wp:extent cx="5600700" cy="2533650"/>
            <wp:effectExtent l="0" t="0" r="0" b="0"/>
            <wp:docPr id="5" name="Диаграмма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47D1A" w:rsidRPr="00B9649F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 w:val="24"/>
          <w:szCs w:val="24"/>
        </w:rPr>
      </w:pP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За 1-й квартал 2018 года по сравнению с аналогичным периодом 2017 года: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- объем налоговых и неналоговых доходов в структуре доходов бюджета поселения уменьшился на 5 803,3 тыс. рублей или на 18,1%;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- объем безвозмездных поступлений увеличился на 1 076,99 тыс. рублей или на 11,4%. 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Объем поступлений налоговых и неналоговых платежей за 1-й квартал 2018 года составил 26 173,3 тыс. рублей или 23,2 % от годовых назначений (за 1-й квартал 2017 года – 29,2 %) и на 88,5 % обеспечен: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- налогом на доходы физических лиц – 10 296,2 тыс. рублей или 39,3 % от объема поступлений налоговых и неналоговых доходов;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- доходами от использования имущества, находящегося в государственной и муниципальной собственности – 10 908,6 тыс. рублей или 41,7 % от объема поступлений налоговых и неналоговых доходов;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- налогами на совокупный доход – 1 697,1 тыс. рублей или 7,5% от объема поступлений налоговых и неналоговых доходов.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b/>
          <w:szCs w:val="28"/>
        </w:rPr>
        <w:t>Налоговые доходы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Исполнение налогов, имеющих наибольший удельный вес в общем объеме налоговых доходов за 1-й квартал 2018 года, по сравнению с данными за аналогичный период прошлого года представлено на следующей диаграмме (тыс. рублей).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</w:p>
    <w:p w:rsidR="00247D1A" w:rsidRDefault="00247D1A" w:rsidP="00247D1A">
      <w:pPr>
        <w:pStyle w:val="14"/>
        <w:tabs>
          <w:tab w:val="left" w:pos="1080"/>
        </w:tabs>
        <w:ind w:right="-101"/>
        <w:rPr>
          <w:szCs w:val="28"/>
        </w:rPr>
      </w:pPr>
      <w:r>
        <w:rPr>
          <w:noProof/>
          <w:snapToGrid/>
        </w:rPr>
        <w:lastRenderedPageBreak/>
        <w:drawing>
          <wp:inline distT="0" distB="0" distL="0" distR="0">
            <wp:extent cx="5791200" cy="2419350"/>
            <wp:effectExtent l="57150" t="57150" r="38100" b="38100"/>
            <wp:docPr id="4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47D1A" w:rsidRDefault="00247D1A" w:rsidP="00247D1A">
      <w:pPr>
        <w:pStyle w:val="af1"/>
        <w:jc w:val="right"/>
        <w:rPr>
          <w:b/>
          <w:sz w:val="22"/>
          <w:szCs w:val="22"/>
        </w:rPr>
      </w:pP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Поступления за 1-й квартал 2018 года по отношению к аналогичному периоду 2017 года уменьшились по налогу на доходы физических лиц на 7,9 %  или 888,2 тыс. рублей.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b/>
          <w:szCs w:val="28"/>
        </w:rPr>
        <w:t>Неналоговые доходы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Неналоговые доходы в бюджет поступили в объеме 12 594,1 тыс. рублей, что составило 26,4 % (за 1-й квартал 2017 года – 37,5 %) от прогнозируемого объема (47 730,0 тыс. рублей). По сравнению с аналогичным периодом 2017 года исполнение уменьшилось на 11,1 </w:t>
      </w:r>
      <w:proofErr w:type="gramStart"/>
      <w:r w:rsidRPr="0033306E">
        <w:rPr>
          <w:szCs w:val="28"/>
        </w:rPr>
        <w:t>процентных</w:t>
      </w:r>
      <w:proofErr w:type="gramEnd"/>
      <w:r w:rsidRPr="0033306E">
        <w:rPr>
          <w:szCs w:val="28"/>
        </w:rPr>
        <w:t xml:space="preserve"> пункта.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Сведения об исполнении по видам неналоговых доходов бюджета поселения за 1-й квартал 2018 года по сравнению с данными за аналогичный период прошлого года представлено на следующей диаграмме (тыс. рублей):</w:t>
      </w:r>
    </w:p>
    <w:p w:rsidR="00247D1A" w:rsidRDefault="00247D1A" w:rsidP="00247D1A">
      <w:pPr>
        <w:pStyle w:val="af1"/>
        <w:spacing w:line="283" w:lineRule="auto"/>
        <w:ind w:firstLine="0"/>
        <w:jc w:val="right"/>
        <w:rPr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5887085" cy="3216910"/>
            <wp:effectExtent l="57150" t="57150" r="56515" b="40640"/>
            <wp:docPr id="3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Основная доля 96,9% поступлений неналоговых доходов в отчетном периоде обеспечена за счет: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- доходов от использования имущества, находящегося в государственной и муниципальной собственности – 10 908,6 тыс. рублей или 86,6% от объема неналоговых доходов;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lastRenderedPageBreak/>
        <w:t>- доходов от продажи материальных и нематериальных активов – 1 291,3 тыс. рублей или 10,3% объема неналоговых доходов.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b/>
          <w:szCs w:val="28"/>
        </w:rPr>
      </w:pPr>
      <w:r w:rsidRPr="0033306E">
        <w:rPr>
          <w:b/>
          <w:szCs w:val="28"/>
        </w:rPr>
        <w:t>Безвозмездные поступления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Объем безвозмездных поступлений на отчетную дату соста</w:t>
      </w:r>
      <w:r w:rsidR="00F362A7" w:rsidRPr="0033306E">
        <w:rPr>
          <w:szCs w:val="28"/>
        </w:rPr>
        <w:t>вил 10 512,2 тыс. рублей или 17,</w:t>
      </w:r>
      <w:r w:rsidRPr="0033306E">
        <w:rPr>
          <w:szCs w:val="28"/>
        </w:rPr>
        <w:t>6 % от годовых назначений (59 738,7 тыс. рублей). Основная доля (74,1 %) приходится на поступление дотаций бюджетам бюджетной системы Российской Федерации.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Исполнение межбюджетных трансфертов за 1-й квартал 2018 года по сравнению с данными за аналогичный период прошлого года представлено на следующей диаграмме (тыс. рублей).</w:t>
      </w:r>
    </w:p>
    <w:p w:rsidR="00247D1A" w:rsidRPr="0033306E" w:rsidRDefault="00247D1A" w:rsidP="00247D1A">
      <w:pPr>
        <w:pStyle w:val="af1"/>
        <w:spacing w:line="283" w:lineRule="auto"/>
        <w:jc w:val="right"/>
        <w:rPr>
          <w:b/>
        </w:rPr>
      </w:pPr>
    </w:p>
    <w:p w:rsidR="00247D1A" w:rsidRDefault="00247D1A" w:rsidP="00247D1A">
      <w:pPr>
        <w:pStyle w:val="af1"/>
        <w:spacing w:line="283" w:lineRule="auto"/>
        <w:ind w:firstLine="0"/>
        <w:jc w:val="right"/>
        <w:rPr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5981700" cy="2924175"/>
            <wp:effectExtent l="38100" t="57150" r="38100" b="47625"/>
            <wp:docPr id="2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247D1A" w:rsidRPr="0033306E" w:rsidRDefault="00247D1A" w:rsidP="00247D1A">
      <w:pPr>
        <w:pStyle w:val="14"/>
        <w:tabs>
          <w:tab w:val="left" w:pos="1080"/>
        </w:tabs>
        <w:suppressAutoHyphens/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Сведения о показателях исполнения бюджета поселения за 1-й квартал 2018 года в части формирования доходов местного бюджета в разрезе видов доходов отражены в </w:t>
      </w:r>
      <w:r w:rsidR="00650C34">
        <w:rPr>
          <w:szCs w:val="28"/>
        </w:rPr>
        <w:t>П</w:t>
      </w:r>
      <w:r w:rsidRPr="0033306E">
        <w:rPr>
          <w:szCs w:val="28"/>
        </w:rPr>
        <w:t>риложении № 1 к Заключению.</w:t>
      </w:r>
    </w:p>
    <w:p w:rsidR="00247D1A" w:rsidRPr="0033306E" w:rsidRDefault="00247D1A" w:rsidP="00247D1A">
      <w:pPr>
        <w:pStyle w:val="14"/>
        <w:tabs>
          <w:tab w:val="left" w:pos="1080"/>
        </w:tabs>
        <w:suppressAutoHyphens/>
        <w:spacing w:line="283" w:lineRule="auto"/>
        <w:ind w:firstLine="709"/>
        <w:rPr>
          <w:szCs w:val="28"/>
        </w:rPr>
      </w:pPr>
    </w:p>
    <w:p w:rsidR="00247D1A" w:rsidRPr="0033306E" w:rsidRDefault="00247D1A" w:rsidP="00247D1A">
      <w:pPr>
        <w:pStyle w:val="a3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33306E">
        <w:rPr>
          <w:rFonts w:ascii="Times New Roman" w:hAnsi="Times New Roman"/>
          <w:b/>
          <w:sz w:val="28"/>
          <w:szCs w:val="28"/>
        </w:rPr>
        <w:t xml:space="preserve"> Итоги исполнения расходной части бюджета поселения</w:t>
      </w:r>
    </w:p>
    <w:p w:rsidR="00247D1A" w:rsidRPr="0033306E" w:rsidRDefault="00247D1A" w:rsidP="00247D1A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247D1A" w:rsidRPr="0033306E" w:rsidRDefault="00247D1A" w:rsidP="00247D1A">
      <w:pPr>
        <w:pStyle w:val="6"/>
        <w:spacing w:before="0" w:line="283" w:lineRule="auto"/>
        <w:rPr>
          <w:szCs w:val="28"/>
        </w:rPr>
      </w:pPr>
      <w:r w:rsidRPr="0033306E">
        <w:rPr>
          <w:snapToGrid w:val="0"/>
          <w:szCs w:val="28"/>
          <w:lang w:eastAsia="ru-RU"/>
        </w:rPr>
        <w:t xml:space="preserve">Бюджетные обязательства расходной части местного бюджета исполнены в сумме 32 279,4 тыс. рублей, или 17,6 % от годовых бюджетных назначений, утвержденных сводной бюджетной росписью </w:t>
      </w:r>
      <w:r w:rsidR="00650C34">
        <w:rPr>
          <w:snapToGrid w:val="0"/>
          <w:szCs w:val="28"/>
          <w:lang w:eastAsia="ru-RU"/>
        </w:rPr>
        <w:t xml:space="preserve">в размере </w:t>
      </w:r>
      <w:r w:rsidRPr="0033306E">
        <w:rPr>
          <w:snapToGrid w:val="0"/>
          <w:szCs w:val="28"/>
          <w:lang w:eastAsia="ru-RU"/>
        </w:rPr>
        <w:t>182 959,5 тыс. рублей</w:t>
      </w:r>
      <w:r w:rsidRPr="0033306E">
        <w:rPr>
          <w:szCs w:val="28"/>
        </w:rPr>
        <w:t>.</w:t>
      </w:r>
    </w:p>
    <w:p w:rsidR="00247D1A" w:rsidRPr="0033306E" w:rsidRDefault="00247D1A" w:rsidP="00247D1A">
      <w:pPr>
        <w:pStyle w:val="afc"/>
        <w:spacing w:line="283" w:lineRule="auto"/>
      </w:pPr>
      <w:r w:rsidRPr="0033306E">
        <w:t>Сведения о кассовом исполнении расходов бюджета</w:t>
      </w:r>
      <w:r w:rsidR="009C5343" w:rsidRPr="0033306E">
        <w:t xml:space="preserve"> поселения</w:t>
      </w:r>
      <w:r w:rsidRPr="0033306E">
        <w:t xml:space="preserve"> за 1-й квартал 2018 года в разрезе </w:t>
      </w:r>
      <w:proofErr w:type="gramStart"/>
      <w:r w:rsidRPr="0033306E">
        <w:t>разделов функциональной классификации расходов бюджета поселения</w:t>
      </w:r>
      <w:proofErr w:type="gramEnd"/>
      <w:r w:rsidRPr="0033306E">
        <w:t xml:space="preserve"> представлены в Таблице № 1.</w:t>
      </w:r>
    </w:p>
    <w:p w:rsidR="0033306E" w:rsidRDefault="0033306E" w:rsidP="00247D1A">
      <w:pPr>
        <w:pStyle w:val="afc"/>
        <w:rPr>
          <w:sz w:val="18"/>
          <w:szCs w:val="18"/>
        </w:rPr>
      </w:pPr>
    </w:p>
    <w:p w:rsidR="00650C34" w:rsidRDefault="00650C34" w:rsidP="00247D1A">
      <w:pPr>
        <w:pStyle w:val="afc"/>
        <w:rPr>
          <w:sz w:val="18"/>
          <w:szCs w:val="18"/>
        </w:rPr>
      </w:pPr>
    </w:p>
    <w:p w:rsidR="00650C34" w:rsidRDefault="00650C34" w:rsidP="00247D1A">
      <w:pPr>
        <w:pStyle w:val="afc"/>
        <w:rPr>
          <w:sz w:val="18"/>
          <w:szCs w:val="18"/>
        </w:rPr>
      </w:pPr>
    </w:p>
    <w:p w:rsidR="00650C34" w:rsidRDefault="00650C34" w:rsidP="00247D1A">
      <w:pPr>
        <w:pStyle w:val="afc"/>
        <w:rPr>
          <w:sz w:val="18"/>
          <w:szCs w:val="18"/>
        </w:rPr>
      </w:pPr>
    </w:p>
    <w:p w:rsidR="00650C34" w:rsidRDefault="00650C34" w:rsidP="00247D1A">
      <w:pPr>
        <w:pStyle w:val="afc"/>
        <w:rPr>
          <w:sz w:val="18"/>
          <w:szCs w:val="18"/>
        </w:rPr>
      </w:pPr>
    </w:p>
    <w:p w:rsidR="00650C34" w:rsidRDefault="00650C34" w:rsidP="00247D1A">
      <w:pPr>
        <w:pStyle w:val="afc"/>
        <w:rPr>
          <w:sz w:val="18"/>
          <w:szCs w:val="18"/>
        </w:rPr>
      </w:pPr>
    </w:p>
    <w:p w:rsidR="00650C34" w:rsidRDefault="00650C34" w:rsidP="00247D1A">
      <w:pPr>
        <w:pStyle w:val="afc"/>
        <w:rPr>
          <w:sz w:val="18"/>
          <w:szCs w:val="18"/>
        </w:rPr>
      </w:pPr>
    </w:p>
    <w:p w:rsidR="00650C34" w:rsidRDefault="00650C34" w:rsidP="00247D1A">
      <w:pPr>
        <w:pStyle w:val="afc"/>
        <w:rPr>
          <w:sz w:val="18"/>
          <w:szCs w:val="18"/>
        </w:rPr>
      </w:pPr>
    </w:p>
    <w:p w:rsidR="00650C34" w:rsidRDefault="00650C34" w:rsidP="00247D1A">
      <w:pPr>
        <w:pStyle w:val="afc"/>
        <w:rPr>
          <w:sz w:val="18"/>
          <w:szCs w:val="18"/>
        </w:rPr>
      </w:pPr>
    </w:p>
    <w:p w:rsidR="00650C34" w:rsidRDefault="00650C34" w:rsidP="00247D1A">
      <w:pPr>
        <w:pStyle w:val="afc"/>
        <w:rPr>
          <w:sz w:val="18"/>
          <w:szCs w:val="18"/>
        </w:rPr>
      </w:pPr>
    </w:p>
    <w:p w:rsidR="00650C34" w:rsidRPr="00E349CE" w:rsidRDefault="00650C34" w:rsidP="00247D1A">
      <w:pPr>
        <w:pStyle w:val="afc"/>
        <w:rPr>
          <w:sz w:val="18"/>
          <w:szCs w:val="18"/>
        </w:rPr>
      </w:pPr>
    </w:p>
    <w:p w:rsidR="00247D1A" w:rsidRPr="0006194B" w:rsidRDefault="00247D1A" w:rsidP="00247D1A">
      <w:pPr>
        <w:pStyle w:val="afc"/>
        <w:ind w:firstLine="0"/>
      </w:pPr>
      <w:r w:rsidRPr="0006194B">
        <w:rPr>
          <w:sz w:val="24"/>
        </w:rPr>
        <w:lastRenderedPageBreak/>
        <w:t xml:space="preserve">Таблица № </w:t>
      </w:r>
      <w:r>
        <w:rPr>
          <w:sz w:val="24"/>
        </w:rPr>
        <w:t>1</w:t>
      </w:r>
      <w:r w:rsidRPr="0006194B">
        <w:tab/>
      </w:r>
      <w:r w:rsidRPr="0006194B">
        <w:tab/>
        <w:t xml:space="preserve">                                                           </w:t>
      </w:r>
      <w:r w:rsidRPr="0006194B">
        <w:tab/>
      </w:r>
      <w:r w:rsidRPr="0006194B">
        <w:tab/>
        <w:t xml:space="preserve">            </w:t>
      </w:r>
      <w:r w:rsidRPr="0006194B">
        <w:rPr>
          <w:sz w:val="24"/>
        </w:rPr>
        <w:t>тыс. рублей</w:t>
      </w:r>
    </w:p>
    <w:tbl>
      <w:tblPr>
        <w:tblW w:w="103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67"/>
        <w:gridCol w:w="1686"/>
        <w:gridCol w:w="1065"/>
        <w:gridCol w:w="1062"/>
        <w:gridCol w:w="1701"/>
        <w:gridCol w:w="1311"/>
        <w:gridCol w:w="993"/>
      </w:tblGrid>
      <w:tr w:rsidR="00247D1A" w:rsidRPr="00F701A8" w:rsidTr="00650C34">
        <w:trPr>
          <w:trHeight w:val="300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Наименование раздела</w:t>
            </w:r>
          </w:p>
        </w:tc>
        <w:tc>
          <w:tcPr>
            <w:tcW w:w="3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2017 год</w:t>
            </w:r>
          </w:p>
        </w:tc>
        <w:tc>
          <w:tcPr>
            <w:tcW w:w="4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2018 год</w:t>
            </w:r>
          </w:p>
        </w:tc>
      </w:tr>
      <w:tr w:rsidR="00247D1A" w:rsidRPr="00F701A8" w:rsidTr="00650C34">
        <w:trPr>
          <w:trHeight w:val="979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Утвержденные бюджетные назначения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247D1A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 xml:space="preserve">Исполнено за </w:t>
            </w:r>
          </w:p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1 квартал 2017 года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Утвержденные бюджетные назначения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247D1A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 xml:space="preserve">Исполнено за </w:t>
            </w:r>
          </w:p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1 квартал 2018 года</w:t>
            </w:r>
          </w:p>
        </w:tc>
      </w:tr>
      <w:tr w:rsidR="00247D1A" w:rsidRPr="00F701A8" w:rsidTr="00650C34">
        <w:trPr>
          <w:trHeight w:val="300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</w:tr>
      <w:tr w:rsidR="00247D1A" w:rsidRPr="00F701A8" w:rsidTr="00650C34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43 994,0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7 391,2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16,8%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A41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49 351,6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A41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7 689,4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15,6%</w:t>
            </w:r>
          </w:p>
        </w:tc>
      </w:tr>
      <w:tr w:rsidR="00247D1A" w:rsidRPr="00F701A8" w:rsidTr="00650C34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1 177,8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155,6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13,2%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A41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1 297,3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A41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448,</w:t>
            </w:r>
            <w:r w:rsidR="00A41322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34,6%</w:t>
            </w:r>
          </w:p>
        </w:tc>
      </w:tr>
      <w:tr w:rsidR="00247D1A" w:rsidRPr="00F701A8" w:rsidTr="00650C34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18 034,1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172,6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1,0%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A41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13</w:t>
            </w:r>
            <w:r w:rsidR="00A41322">
              <w:rPr>
                <w:rFonts w:ascii="Times New Roman" w:eastAsia="Times New Roman" w:hAnsi="Times New Roman"/>
                <w:lang w:eastAsia="ru-RU"/>
              </w:rPr>
              <w:t> 572,0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540,5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4,0%</w:t>
            </w:r>
          </w:p>
        </w:tc>
      </w:tr>
      <w:tr w:rsidR="00247D1A" w:rsidRPr="00F701A8" w:rsidTr="00650C34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47 956,8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9 479,2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19,8%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A41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64 970,8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7 890,5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12,1%</w:t>
            </w:r>
          </w:p>
        </w:tc>
      </w:tr>
      <w:tr w:rsidR="00247D1A" w:rsidRPr="00F701A8" w:rsidTr="00650C34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Охрана окружающей среды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1 903,0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0,0%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A41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2 993,4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393,4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13,1%</w:t>
            </w:r>
          </w:p>
        </w:tc>
      </w:tr>
      <w:tr w:rsidR="00247D1A" w:rsidRPr="00F701A8" w:rsidTr="00650C34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28 435,0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8 479,8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29,8%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A41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30 930,</w:t>
            </w:r>
            <w:r w:rsidR="00A41322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9 989,8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32,3%</w:t>
            </w:r>
          </w:p>
        </w:tc>
      </w:tr>
      <w:tr w:rsidR="00247D1A" w:rsidRPr="00F701A8" w:rsidTr="00650C34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349,5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54,6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15,6%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A41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1 124,</w:t>
            </w:r>
            <w:r w:rsidR="00A41322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73,1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6,5%</w:t>
            </w:r>
          </w:p>
        </w:tc>
      </w:tr>
      <w:tr w:rsidR="00247D1A" w:rsidRPr="00F701A8" w:rsidTr="00650C34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17 139,2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3 711,6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21,7%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A41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18 117,8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5 191,8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28,7%</w:t>
            </w:r>
          </w:p>
        </w:tc>
      </w:tr>
      <w:tr w:rsidR="00247D1A" w:rsidRPr="00F701A8" w:rsidTr="00650C34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Средства массовой информации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650,0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23,6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3,6%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A41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600,0</w:t>
            </w:r>
            <w:bookmarkStart w:id="0" w:name="_GoBack"/>
            <w:bookmarkEnd w:id="0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62,2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10,4%</w:t>
            </w:r>
          </w:p>
        </w:tc>
      </w:tr>
      <w:tr w:rsidR="00247D1A" w:rsidRPr="00F701A8" w:rsidTr="00650C34">
        <w:trPr>
          <w:trHeight w:val="57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1,0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0,0%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1,0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lang w:eastAsia="ru-RU"/>
              </w:rPr>
              <w:t>0,0%</w:t>
            </w:r>
          </w:p>
        </w:tc>
      </w:tr>
      <w:tr w:rsidR="00247D1A" w:rsidRPr="00F701A8" w:rsidTr="00650C34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b/>
                <w:bCs/>
                <w:lang w:eastAsia="ru-RU"/>
              </w:rPr>
              <w:t>159 640,4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b/>
                <w:bCs/>
                <w:lang w:eastAsia="ru-RU"/>
              </w:rPr>
              <w:t>29 468,3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b/>
                <w:bCs/>
                <w:lang w:eastAsia="ru-RU"/>
              </w:rPr>
              <w:t>18,5%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b/>
                <w:bCs/>
                <w:lang w:eastAsia="ru-RU"/>
              </w:rPr>
              <w:t>182 959,5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b/>
                <w:bCs/>
                <w:lang w:eastAsia="ru-RU"/>
              </w:rPr>
              <w:t>32 279,4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247D1A" w:rsidRPr="00F701A8" w:rsidRDefault="00247D1A" w:rsidP="00474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01A8">
              <w:rPr>
                <w:rFonts w:ascii="Times New Roman" w:eastAsia="Times New Roman" w:hAnsi="Times New Roman"/>
                <w:b/>
                <w:bCs/>
                <w:lang w:eastAsia="ru-RU"/>
              </w:rPr>
              <w:t>17,6%</w:t>
            </w:r>
          </w:p>
        </w:tc>
      </w:tr>
    </w:tbl>
    <w:p w:rsidR="00247D1A" w:rsidRPr="00032080" w:rsidRDefault="00247D1A" w:rsidP="00247D1A">
      <w:pPr>
        <w:pStyle w:val="afc"/>
        <w:rPr>
          <w:sz w:val="16"/>
        </w:rPr>
      </w:pPr>
    </w:p>
    <w:p w:rsidR="00247D1A" w:rsidRPr="0033306E" w:rsidRDefault="00247D1A" w:rsidP="00247D1A">
      <w:pPr>
        <w:pStyle w:val="afc"/>
        <w:spacing w:line="283" w:lineRule="auto"/>
      </w:pPr>
      <w:proofErr w:type="gramStart"/>
      <w:r w:rsidRPr="0033306E">
        <w:t>Из резервного фонда администрации городского поселения Никель Печенгского района, сформированном на 2018 год в объеме 100,0 тыс. рублей, в течение 1 квартала 2018 года средства не выделялись.</w:t>
      </w:r>
      <w:proofErr w:type="gramEnd"/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b/>
          <w:szCs w:val="28"/>
        </w:rPr>
      </w:pPr>
      <w:r w:rsidRPr="0033306E">
        <w:rPr>
          <w:b/>
          <w:szCs w:val="28"/>
        </w:rPr>
        <w:t>Исполнение муниципальных программ за отчетный период</w:t>
      </w:r>
    </w:p>
    <w:p w:rsidR="00247D1A" w:rsidRPr="0033306E" w:rsidRDefault="00247D1A" w:rsidP="00247D1A">
      <w:pPr>
        <w:pStyle w:val="6"/>
        <w:spacing w:before="0" w:line="283" w:lineRule="auto"/>
        <w:rPr>
          <w:szCs w:val="28"/>
        </w:rPr>
      </w:pPr>
      <w:r w:rsidRPr="0033306E">
        <w:rPr>
          <w:szCs w:val="28"/>
        </w:rPr>
        <w:t xml:space="preserve">По итогам 1 квартала 2018 года расходы бюджета поселения на реализацию муниципальных программ исполнены в сумме 28 408,1 тыс. рублей, или на 17,6 % от годовых бюджетных назначений, </w:t>
      </w:r>
      <w:r w:rsidRPr="0033306E">
        <w:rPr>
          <w:snapToGrid w:val="0"/>
          <w:szCs w:val="28"/>
          <w:lang w:eastAsia="ru-RU"/>
        </w:rPr>
        <w:t xml:space="preserve">утвержденных сводной бюджетной росписью </w:t>
      </w:r>
      <w:r w:rsidRPr="0033306E">
        <w:rPr>
          <w:szCs w:val="28"/>
        </w:rPr>
        <w:t>(</w:t>
      </w:r>
      <w:r w:rsidR="00650C34">
        <w:rPr>
          <w:szCs w:val="28"/>
        </w:rPr>
        <w:t>П</w:t>
      </w:r>
      <w:r w:rsidRPr="0033306E">
        <w:rPr>
          <w:szCs w:val="28"/>
        </w:rPr>
        <w:t xml:space="preserve">риложение № 2 к Заключению). </w:t>
      </w:r>
    </w:p>
    <w:p w:rsidR="00247D1A" w:rsidRPr="0033306E" w:rsidRDefault="00247D1A" w:rsidP="00247D1A">
      <w:pPr>
        <w:pStyle w:val="afc"/>
        <w:spacing w:line="283" w:lineRule="auto"/>
      </w:pPr>
      <w:r w:rsidRPr="0033306E">
        <w:t>Из 6 муниципальных программ, финансирование которых предусмотрено в 2018 году, менее всего исполнены расходы по 2 программам (менее 5 % утвержденных бюджетных назначений):</w:t>
      </w:r>
    </w:p>
    <w:p w:rsidR="00247D1A" w:rsidRPr="0033306E" w:rsidRDefault="00247D1A" w:rsidP="00247D1A">
      <w:pPr>
        <w:pStyle w:val="afc"/>
        <w:spacing w:line="283" w:lineRule="auto"/>
      </w:pPr>
      <w:r w:rsidRPr="0033306E">
        <w:t xml:space="preserve">- Управление муниципальными финансами и развитие межбюджетного взаимодействия в муниципальном образовании городское поселение Никель Печенгского района Мурманской </w:t>
      </w:r>
      <w:r w:rsidR="006F44FB">
        <w:t>области - кассовый расход 4,7 % (р</w:t>
      </w:r>
      <w:r w:rsidR="006F44FB" w:rsidRPr="006F44FB">
        <w:t>асходы запланированы на более поздний период</w:t>
      </w:r>
      <w:r w:rsidR="006F44FB">
        <w:t>);</w:t>
      </w:r>
    </w:p>
    <w:p w:rsidR="00247D1A" w:rsidRPr="0033306E" w:rsidRDefault="00247D1A" w:rsidP="00247D1A">
      <w:pPr>
        <w:pStyle w:val="afc"/>
        <w:spacing w:line="283" w:lineRule="auto"/>
      </w:pPr>
      <w:r w:rsidRPr="0033306E">
        <w:t>- Формирование на территории муниципального образования городское поселение Никель современной городской среды - кассовый расход 0,0 %</w:t>
      </w:r>
      <w:r w:rsidR="006F44FB">
        <w:t xml:space="preserve"> (р</w:t>
      </w:r>
      <w:r w:rsidR="006F44FB" w:rsidRPr="006F44FB">
        <w:t>асходы запланированы на более поздний период</w:t>
      </w:r>
      <w:r w:rsidR="006F44FB">
        <w:t>)</w:t>
      </w:r>
      <w:r w:rsidRPr="0033306E">
        <w:t>.</w:t>
      </w:r>
    </w:p>
    <w:p w:rsidR="003C0796" w:rsidRPr="0033306E" w:rsidRDefault="003C0796" w:rsidP="003C0796">
      <w:pPr>
        <w:pStyle w:val="afc"/>
        <w:spacing w:line="283" w:lineRule="auto"/>
      </w:pPr>
      <w:r w:rsidRPr="0033306E">
        <w:lastRenderedPageBreak/>
        <w:t xml:space="preserve">Исполнение судебных решений по денежным обязательствам в </w:t>
      </w:r>
      <w:r w:rsidR="006F44FB">
        <w:t>1-ом</w:t>
      </w:r>
      <w:r w:rsidRPr="0033306E">
        <w:t xml:space="preserve"> квартале 2018 года составляет 115,8 тыс. рублей, что выше уровня аналогичного периода 2017 года в 2,6 раз.</w:t>
      </w:r>
    </w:p>
    <w:p w:rsidR="003C0796" w:rsidRPr="00214574" w:rsidRDefault="003C0796" w:rsidP="00247D1A">
      <w:pPr>
        <w:pStyle w:val="afc"/>
        <w:spacing w:line="283" w:lineRule="auto"/>
        <w:rPr>
          <w:sz w:val="24"/>
          <w:szCs w:val="24"/>
        </w:rPr>
      </w:pPr>
    </w:p>
    <w:p w:rsidR="00247D1A" w:rsidRPr="0033306E" w:rsidRDefault="00247D1A" w:rsidP="00247D1A">
      <w:pPr>
        <w:pStyle w:val="a3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33306E">
        <w:rPr>
          <w:rFonts w:ascii="Times New Roman" w:hAnsi="Times New Roman"/>
          <w:b/>
          <w:sz w:val="28"/>
          <w:szCs w:val="28"/>
        </w:rPr>
        <w:t>Дефицит и муниципальный долг бюджета поселения</w:t>
      </w:r>
    </w:p>
    <w:p w:rsidR="00247D1A" w:rsidRPr="0033306E" w:rsidRDefault="00247D1A" w:rsidP="00247D1A">
      <w:pPr>
        <w:pStyle w:val="a3"/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247D1A" w:rsidRPr="0033306E" w:rsidRDefault="00247D1A" w:rsidP="00247D1A">
      <w:pPr>
        <w:pStyle w:val="a3"/>
        <w:autoSpaceDE w:val="0"/>
        <w:autoSpaceDN w:val="0"/>
        <w:adjustRightInd w:val="0"/>
        <w:spacing w:after="0" w:line="283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highlight w:val="red"/>
        </w:rPr>
      </w:pPr>
      <w:r w:rsidRPr="0033306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Плановый дефицит на 2018 год составляет 11 298,3 тыс. руб. Результат исполнения бюджета поселения за 1 квартал 2018 года – профицит 4 406,1 тыс. руб. </w:t>
      </w:r>
    </w:p>
    <w:p w:rsidR="004E579C" w:rsidRPr="0033306E" w:rsidRDefault="00247D1A" w:rsidP="004E579C">
      <w:pPr>
        <w:spacing w:after="0" w:line="283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33306E">
        <w:rPr>
          <w:rFonts w:ascii="Times New Roman" w:hAnsi="Times New Roman"/>
          <w:sz w:val="28"/>
          <w:szCs w:val="28"/>
        </w:rPr>
        <w:t xml:space="preserve">Муниципальный внутренний долг поселения по состоянию на 01.04.2018 отсутствует. </w:t>
      </w:r>
      <w:r w:rsidR="004E579C" w:rsidRPr="0033306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Заимствования средств не осуществлялось.</w:t>
      </w:r>
    </w:p>
    <w:p w:rsidR="00247D1A" w:rsidRPr="00083131" w:rsidRDefault="00247D1A" w:rsidP="00247D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color w:val="FF0000"/>
          <w:sz w:val="24"/>
          <w:szCs w:val="24"/>
          <w:lang w:eastAsia="ru-RU"/>
        </w:rPr>
      </w:pPr>
    </w:p>
    <w:p w:rsidR="00247D1A" w:rsidRPr="00083131" w:rsidRDefault="00247D1A" w:rsidP="00247D1A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highlight w:val="red"/>
        </w:rPr>
      </w:pPr>
    </w:p>
    <w:p w:rsidR="00247D1A" w:rsidRPr="0033306E" w:rsidRDefault="00247D1A" w:rsidP="00247D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3306E">
        <w:rPr>
          <w:rFonts w:ascii="Times New Roman" w:hAnsi="Times New Roman"/>
          <w:b/>
          <w:sz w:val="28"/>
          <w:szCs w:val="28"/>
        </w:rPr>
        <w:t>Председатель Контрольно-счетной палаты</w:t>
      </w:r>
    </w:p>
    <w:p w:rsidR="0033306E" w:rsidRDefault="00247D1A" w:rsidP="00247D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3306E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</w:p>
    <w:p w:rsidR="00247D1A" w:rsidRPr="0033306E" w:rsidRDefault="00247D1A" w:rsidP="00247D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3306E">
        <w:rPr>
          <w:rFonts w:ascii="Times New Roman" w:hAnsi="Times New Roman"/>
          <w:b/>
          <w:sz w:val="28"/>
          <w:szCs w:val="28"/>
        </w:rPr>
        <w:t xml:space="preserve">Печенгский район                              </w:t>
      </w:r>
      <w:r w:rsidR="0033306E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33306E">
        <w:rPr>
          <w:rFonts w:ascii="Times New Roman" w:hAnsi="Times New Roman"/>
          <w:b/>
          <w:sz w:val="28"/>
          <w:szCs w:val="28"/>
        </w:rPr>
        <w:t xml:space="preserve">      Ю.М. Царевская</w:t>
      </w:r>
    </w:p>
    <w:p w:rsidR="00D02E33" w:rsidRPr="00247D1A" w:rsidRDefault="00D02E33" w:rsidP="00247D1A">
      <w:pPr>
        <w:pStyle w:val="ab"/>
        <w:tabs>
          <w:tab w:val="left" w:pos="0"/>
        </w:tabs>
        <w:ind w:firstLine="709"/>
        <w:jc w:val="both"/>
        <w:rPr>
          <w:szCs w:val="24"/>
          <w:lang w:val="ru-RU"/>
        </w:rPr>
      </w:pPr>
    </w:p>
    <w:sectPr w:rsidR="00D02E33" w:rsidRPr="00247D1A" w:rsidSect="00650C34">
      <w:pgSz w:w="11906" w:h="16838"/>
      <w:pgMar w:top="425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C34" w:rsidRDefault="00650C34" w:rsidP="00E53E65">
      <w:pPr>
        <w:spacing w:after="0" w:line="240" w:lineRule="auto"/>
      </w:pPr>
      <w:r>
        <w:separator/>
      </w:r>
    </w:p>
  </w:endnote>
  <w:endnote w:type="continuationSeparator" w:id="0">
    <w:p w:rsidR="00650C34" w:rsidRDefault="00650C34" w:rsidP="00E53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C34" w:rsidRDefault="00650C34" w:rsidP="00E53E65">
      <w:pPr>
        <w:spacing w:after="0" w:line="240" w:lineRule="auto"/>
      </w:pPr>
      <w:r>
        <w:separator/>
      </w:r>
    </w:p>
  </w:footnote>
  <w:footnote w:type="continuationSeparator" w:id="0">
    <w:p w:rsidR="00650C34" w:rsidRDefault="00650C34" w:rsidP="00E53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A6B50"/>
    <w:multiLevelType w:val="multilevel"/>
    <w:tmpl w:val="EB9EC5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056A6468"/>
    <w:multiLevelType w:val="hybridMultilevel"/>
    <w:tmpl w:val="A774ACA4"/>
    <w:lvl w:ilvl="0" w:tplc="7E5270EA">
      <w:start w:val="1"/>
      <w:numFmt w:val="decimal"/>
      <w:lvlText w:val="%1)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8071FA4"/>
    <w:multiLevelType w:val="hybridMultilevel"/>
    <w:tmpl w:val="17F68B00"/>
    <w:lvl w:ilvl="0" w:tplc="A65ED4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3D5B24"/>
    <w:multiLevelType w:val="hybridMultilevel"/>
    <w:tmpl w:val="E7FA19F0"/>
    <w:lvl w:ilvl="0" w:tplc="7340FD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DB25B7B"/>
    <w:multiLevelType w:val="multilevel"/>
    <w:tmpl w:val="DDC6860E"/>
    <w:lvl w:ilvl="0">
      <w:start w:val="1"/>
      <w:numFmt w:val="decimal"/>
      <w:lvlText w:val="%1."/>
      <w:lvlJc w:val="left"/>
      <w:pPr>
        <w:ind w:left="3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0" w:hanging="2160"/>
      </w:pPr>
      <w:rPr>
        <w:rFonts w:hint="default"/>
      </w:rPr>
    </w:lvl>
  </w:abstractNum>
  <w:abstractNum w:abstractNumId="5">
    <w:nsid w:val="34AC569E"/>
    <w:multiLevelType w:val="hybridMultilevel"/>
    <w:tmpl w:val="3F44A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2D02F0"/>
    <w:multiLevelType w:val="hybridMultilevel"/>
    <w:tmpl w:val="D746269C"/>
    <w:lvl w:ilvl="0" w:tplc="C5026374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570176F8"/>
    <w:multiLevelType w:val="hybridMultilevel"/>
    <w:tmpl w:val="461613F6"/>
    <w:lvl w:ilvl="0" w:tplc="D4BA63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03C2AC0"/>
    <w:multiLevelType w:val="hybridMultilevel"/>
    <w:tmpl w:val="D290738E"/>
    <w:lvl w:ilvl="0" w:tplc="9DB6EA0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7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287"/>
    <w:rsid w:val="000040FD"/>
    <w:rsid w:val="0001165D"/>
    <w:rsid w:val="00012B7E"/>
    <w:rsid w:val="00020260"/>
    <w:rsid w:val="00040B98"/>
    <w:rsid w:val="00071EFD"/>
    <w:rsid w:val="00081130"/>
    <w:rsid w:val="000816B7"/>
    <w:rsid w:val="00081B7F"/>
    <w:rsid w:val="000905E2"/>
    <w:rsid w:val="00093BEA"/>
    <w:rsid w:val="000B0F28"/>
    <w:rsid w:val="000C7B0D"/>
    <w:rsid w:val="000D0A04"/>
    <w:rsid w:val="000D3543"/>
    <w:rsid w:val="000D55B2"/>
    <w:rsid w:val="000D6DC5"/>
    <w:rsid w:val="00127A31"/>
    <w:rsid w:val="001601C5"/>
    <w:rsid w:val="001668ED"/>
    <w:rsid w:val="001830DF"/>
    <w:rsid w:val="00187E7C"/>
    <w:rsid w:val="001C549B"/>
    <w:rsid w:val="001E10B1"/>
    <w:rsid w:val="001E20CD"/>
    <w:rsid w:val="001E3620"/>
    <w:rsid w:val="001F41CF"/>
    <w:rsid w:val="002052AF"/>
    <w:rsid w:val="00216D8F"/>
    <w:rsid w:val="002212F2"/>
    <w:rsid w:val="00242071"/>
    <w:rsid w:val="002432D7"/>
    <w:rsid w:val="00247D1A"/>
    <w:rsid w:val="00256121"/>
    <w:rsid w:val="00271A8B"/>
    <w:rsid w:val="002B1E1A"/>
    <w:rsid w:val="002C2551"/>
    <w:rsid w:val="002E1AC0"/>
    <w:rsid w:val="002F68F6"/>
    <w:rsid w:val="00305770"/>
    <w:rsid w:val="00316240"/>
    <w:rsid w:val="003175C6"/>
    <w:rsid w:val="00317C99"/>
    <w:rsid w:val="0032549F"/>
    <w:rsid w:val="0033306E"/>
    <w:rsid w:val="00346C3A"/>
    <w:rsid w:val="00351019"/>
    <w:rsid w:val="00357CEF"/>
    <w:rsid w:val="00361DAC"/>
    <w:rsid w:val="00362CC9"/>
    <w:rsid w:val="00373D66"/>
    <w:rsid w:val="0038494F"/>
    <w:rsid w:val="003C0604"/>
    <w:rsid w:val="003C0796"/>
    <w:rsid w:val="003C5E37"/>
    <w:rsid w:val="003D1F4C"/>
    <w:rsid w:val="003E3D46"/>
    <w:rsid w:val="00413A23"/>
    <w:rsid w:val="00421A9B"/>
    <w:rsid w:val="0042373B"/>
    <w:rsid w:val="00430813"/>
    <w:rsid w:val="00434EF2"/>
    <w:rsid w:val="00437C27"/>
    <w:rsid w:val="00466A38"/>
    <w:rsid w:val="00474914"/>
    <w:rsid w:val="00484745"/>
    <w:rsid w:val="004A0948"/>
    <w:rsid w:val="004B4250"/>
    <w:rsid w:val="004D325F"/>
    <w:rsid w:val="004E1A17"/>
    <w:rsid w:val="004E579C"/>
    <w:rsid w:val="004E61DC"/>
    <w:rsid w:val="004F2AAB"/>
    <w:rsid w:val="004F53BF"/>
    <w:rsid w:val="00501FEF"/>
    <w:rsid w:val="00506A2C"/>
    <w:rsid w:val="00554347"/>
    <w:rsid w:val="00556DDF"/>
    <w:rsid w:val="00567D22"/>
    <w:rsid w:val="00570E0D"/>
    <w:rsid w:val="0058007C"/>
    <w:rsid w:val="00585043"/>
    <w:rsid w:val="005859E7"/>
    <w:rsid w:val="00596AE8"/>
    <w:rsid w:val="005A7B6E"/>
    <w:rsid w:val="005E2F7B"/>
    <w:rsid w:val="005E53B3"/>
    <w:rsid w:val="005F445D"/>
    <w:rsid w:val="00605DE9"/>
    <w:rsid w:val="0061383A"/>
    <w:rsid w:val="006154DF"/>
    <w:rsid w:val="00633E48"/>
    <w:rsid w:val="00635555"/>
    <w:rsid w:val="00650C34"/>
    <w:rsid w:val="0065136D"/>
    <w:rsid w:val="00684D48"/>
    <w:rsid w:val="00691B81"/>
    <w:rsid w:val="006B397C"/>
    <w:rsid w:val="006B4C04"/>
    <w:rsid w:val="006B7D4D"/>
    <w:rsid w:val="006F001D"/>
    <w:rsid w:val="006F2575"/>
    <w:rsid w:val="006F44FB"/>
    <w:rsid w:val="0072638E"/>
    <w:rsid w:val="007728D5"/>
    <w:rsid w:val="007741C2"/>
    <w:rsid w:val="007845EE"/>
    <w:rsid w:val="007935A6"/>
    <w:rsid w:val="007B7833"/>
    <w:rsid w:val="007E0E97"/>
    <w:rsid w:val="008101D2"/>
    <w:rsid w:val="00817457"/>
    <w:rsid w:val="00860DA7"/>
    <w:rsid w:val="0086553F"/>
    <w:rsid w:val="008A32BE"/>
    <w:rsid w:val="008A45C3"/>
    <w:rsid w:val="008E32E5"/>
    <w:rsid w:val="009000A3"/>
    <w:rsid w:val="00900A09"/>
    <w:rsid w:val="00907EFD"/>
    <w:rsid w:val="00942F04"/>
    <w:rsid w:val="00960511"/>
    <w:rsid w:val="00971DF7"/>
    <w:rsid w:val="0098049C"/>
    <w:rsid w:val="00981E37"/>
    <w:rsid w:val="009C5343"/>
    <w:rsid w:val="009E7521"/>
    <w:rsid w:val="00A16305"/>
    <w:rsid w:val="00A16BF0"/>
    <w:rsid w:val="00A41322"/>
    <w:rsid w:val="00AB327E"/>
    <w:rsid w:val="00AC5FE1"/>
    <w:rsid w:val="00AD390C"/>
    <w:rsid w:val="00AE0BA6"/>
    <w:rsid w:val="00AE1124"/>
    <w:rsid w:val="00AE175B"/>
    <w:rsid w:val="00AE3FA9"/>
    <w:rsid w:val="00AF2FF3"/>
    <w:rsid w:val="00AF7273"/>
    <w:rsid w:val="00AF72D7"/>
    <w:rsid w:val="00AF7EFB"/>
    <w:rsid w:val="00B044E5"/>
    <w:rsid w:val="00B1080A"/>
    <w:rsid w:val="00B30272"/>
    <w:rsid w:val="00B56C63"/>
    <w:rsid w:val="00B858AB"/>
    <w:rsid w:val="00BC489D"/>
    <w:rsid w:val="00BD2300"/>
    <w:rsid w:val="00BE562A"/>
    <w:rsid w:val="00C517C5"/>
    <w:rsid w:val="00C57A20"/>
    <w:rsid w:val="00C62FC4"/>
    <w:rsid w:val="00C8301A"/>
    <w:rsid w:val="00C86DBB"/>
    <w:rsid w:val="00C9704E"/>
    <w:rsid w:val="00CF10BE"/>
    <w:rsid w:val="00CF1AD8"/>
    <w:rsid w:val="00CF649F"/>
    <w:rsid w:val="00D02E33"/>
    <w:rsid w:val="00D0336F"/>
    <w:rsid w:val="00D06484"/>
    <w:rsid w:val="00D33612"/>
    <w:rsid w:val="00D43122"/>
    <w:rsid w:val="00D53F10"/>
    <w:rsid w:val="00D67F11"/>
    <w:rsid w:val="00D866BE"/>
    <w:rsid w:val="00DD447C"/>
    <w:rsid w:val="00E07879"/>
    <w:rsid w:val="00E2196D"/>
    <w:rsid w:val="00E45954"/>
    <w:rsid w:val="00E53E65"/>
    <w:rsid w:val="00E75633"/>
    <w:rsid w:val="00E80101"/>
    <w:rsid w:val="00E932F4"/>
    <w:rsid w:val="00EA034C"/>
    <w:rsid w:val="00EA0433"/>
    <w:rsid w:val="00EB2287"/>
    <w:rsid w:val="00EC658C"/>
    <w:rsid w:val="00F33CD1"/>
    <w:rsid w:val="00F362A7"/>
    <w:rsid w:val="00F413FB"/>
    <w:rsid w:val="00F438F3"/>
    <w:rsid w:val="00F43F85"/>
    <w:rsid w:val="00F44F87"/>
    <w:rsid w:val="00F609D5"/>
    <w:rsid w:val="00F6686A"/>
    <w:rsid w:val="00F73D93"/>
    <w:rsid w:val="00F82066"/>
    <w:rsid w:val="00FC383F"/>
    <w:rsid w:val="00FC5849"/>
    <w:rsid w:val="00FC705A"/>
    <w:rsid w:val="00FC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17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3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17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53E6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AE17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6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121"/>
    <w:rPr>
      <w:rFonts w:ascii="Tahoma" w:hAnsi="Tahoma" w:cs="Tahoma"/>
      <w:sz w:val="16"/>
      <w:szCs w:val="16"/>
    </w:rPr>
  </w:style>
  <w:style w:type="table" w:styleId="a6">
    <w:name w:val="Light Shading"/>
    <w:basedOn w:val="a1"/>
    <w:uiPriority w:val="60"/>
    <w:rsid w:val="00B56C6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7">
    <w:name w:val="Table Grid"/>
    <w:basedOn w:val="a1"/>
    <w:uiPriority w:val="39"/>
    <w:rsid w:val="00B56C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Должность1"/>
    <w:basedOn w:val="a"/>
    <w:rsid w:val="005800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4B42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2">
    <w:name w:val="Абзац списка1"/>
    <w:basedOn w:val="a"/>
    <w:rsid w:val="00567D22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8">
    <w:name w:val="Title"/>
    <w:basedOn w:val="a"/>
    <w:link w:val="a9"/>
    <w:qFormat/>
    <w:rsid w:val="009000A3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character" w:customStyle="1" w:styleId="a9">
    <w:name w:val="Название Знак"/>
    <w:basedOn w:val="a0"/>
    <w:link w:val="a8"/>
    <w:rsid w:val="009000A3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paragraph" w:styleId="aa">
    <w:name w:val="List"/>
    <w:basedOn w:val="a"/>
    <w:semiHidden/>
    <w:rsid w:val="00E53E65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ab">
    <w:name w:val="Основ"/>
    <w:basedOn w:val="a"/>
    <w:rsid w:val="00E53E6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6"/>
      <w:lang w:val="en-US" w:eastAsia="ru-RU"/>
    </w:rPr>
  </w:style>
  <w:style w:type="paragraph" w:styleId="ac">
    <w:name w:val="Body Text"/>
    <w:basedOn w:val="a"/>
    <w:link w:val="ad"/>
    <w:semiHidden/>
    <w:rsid w:val="00E53E6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E53E65"/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e">
    <w:name w:val="Текст сноски Знак"/>
    <w:link w:val="af"/>
    <w:locked/>
    <w:rsid w:val="00E53E65"/>
    <w:rPr>
      <w:rFonts w:ascii="Calibri" w:hAnsi="Calibri"/>
      <w:lang w:val="x-none"/>
    </w:rPr>
  </w:style>
  <w:style w:type="paragraph" w:styleId="af">
    <w:name w:val="footnote text"/>
    <w:basedOn w:val="a"/>
    <w:link w:val="ae"/>
    <w:rsid w:val="00E53E65"/>
    <w:pPr>
      <w:spacing w:after="0" w:line="240" w:lineRule="auto"/>
    </w:pPr>
    <w:rPr>
      <w:rFonts w:ascii="Calibri" w:hAnsi="Calibri"/>
      <w:lang w:val="x-none"/>
    </w:rPr>
  </w:style>
  <w:style w:type="character" w:customStyle="1" w:styleId="13">
    <w:name w:val="Текст сноски Знак1"/>
    <w:basedOn w:val="a0"/>
    <w:uiPriority w:val="99"/>
    <w:semiHidden/>
    <w:rsid w:val="00E53E65"/>
    <w:rPr>
      <w:sz w:val="20"/>
      <w:szCs w:val="20"/>
    </w:rPr>
  </w:style>
  <w:style w:type="character" w:styleId="af0">
    <w:name w:val="footnote reference"/>
    <w:rsid w:val="00E53E65"/>
    <w:rPr>
      <w:vertAlign w:val="superscript"/>
    </w:rPr>
  </w:style>
  <w:style w:type="paragraph" w:customStyle="1" w:styleId="af1">
    <w:name w:val="Акты"/>
    <w:basedOn w:val="a"/>
    <w:link w:val="af2"/>
    <w:qFormat/>
    <w:rsid w:val="00971DF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Акты Знак"/>
    <w:link w:val="af1"/>
    <w:rsid w:val="00971DF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s20fdfb881">
    <w:name w:val="cs20fdfb881"/>
    <w:basedOn w:val="a0"/>
    <w:rsid w:val="00F73D93"/>
    <w:rPr>
      <w:rFonts w:ascii="Courier New" w:hAnsi="Courier New" w:cs="Courier New" w:hint="default"/>
      <w:b w:val="0"/>
      <w:bCs w:val="0"/>
      <w:i w:val="0"/>
      <w:iCs w:val="0"/>
      <w:color w:val="000000"/>
      <w:sz w:val="28"/>
      <w:szCs w:val="28"/>
    </w:rPr>
  </w:style>
  <w:style w:type="character" w:styleId="af3">
    <w:name w:val="annotation reference"/>
    <w:basedOn w:val="a0"/>
    <w:uiPriority w:val="99"/>
    <w:semiHidden/>
    <w:unhideWhenUsed/>
    <w:rsid w:val="00484745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484745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484745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8474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484745"/>
    <w:rPr>
      <w:b/>
      <w:bCs/>
      <w:sz w:val="20"/>
      <w:szCs w:val="20"/>
    </w:rPr>
  </w:style>
  <w:style w:type="paragraph" w:styleId="af8">
    <w:name w:val="endnote text"/>
    <w:basedOn w:val="a"/>
    <w:link w:val="af9"/>
    <w:uiPriority w:val="99"/>
    <w:semiHidden/>
    <w:unhideWhenUsed/>
    <w:rsid w:val="00484745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484745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484745"/>
    <w:rPr>
      <w:vertAlign w:val="superscript"/>
    </w:rPr>
  </w:style>
  <w:style w:type="paragraph" w:customStyle="1" w:styleId="afb">
    <w:name w:val="Знак Знак Знак Знак Знак Знак Знак Знак Знак Знак"/>
    <w:basedOn w:val="a"/>
    <w:rsid w:val="00E80101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4">
    <w:name w:val="Основной текст1"/>
    <w:basedOn w:val="a"/>
    <w:rsid w:val="00247D1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c">
    <w:name w:val="Акт"/>
    <w:basedOn w:val="a"/>
    <w:link w:val="afd"/>
    <w:qFormat/>
    <w:rsid w:val="00247D1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x-none"/>
    </w:rPr>
  </w:style>
  <w:style w:type="character" w:customStyle="1" w:styleId="afd">
    <w:name w:val="Акт Знак"/>
    <w:link w:val="afc"/>
    <w:locked/>
    <w:rsid w:val="00247D1A"/>
    <w:rPr>
      <w:rFonts w:ascii="Times New Roman" w:eastAsia="Times New Roman" w:hAnsi="Times New Roman" w:cs="Times New Roman"/>
      <w:sz w:val="28"/>
      <w:szCs w:val="28"/>
      <w:lang w:eastAsia="x-none"/>
    </w:rPr>
  </w:style>
  <w:style w:type="paragraph" w:customStyle="1" w:styleId="6">
    <w:name w:val="Акт 6 пт"/>
    <w:basedOn w:val="afc"/>
    <w:qFormat/>
    <w:rsid w:val="00247D1A"/>
    <w:pPr>
      <w:tabs>
        <w:tab w:val="left" w:pos="284"/>
      </w:tabs>
      <w:spacing w:before="120"/>
    </w:pPr>
    <w:rPr>
      <w:szCs w:val="20"/>
    </w:rPr>
  </w:style>
  <w:style w:type="paragraph" w:styleId="afe">
    <w:name w:val="Normal (Web)"/>
    <w:basedOn w:val="a"/>
    <w:uiPriority w:val="99"/>
    <w:semiHidden/>
    <w:unhideWhenUsed/>
    <w:rsid w:val="0002026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17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3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17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53E6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AE17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6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121"/>
    <w:rPr>
      <w:rFonts w:ascii="Tahoma" w:hAnsi="Tahoma" w:cs="Tahoma"/>
      <w:sz w:val="16"/>
      <w:szCs w:val="16"/>
    </w:rPr>
  </w:style>
  <w:style w:type="table" w:styleId="a6">
    <w:name w:val="Light Shading"/>
    <w:basedOn w:val="a1"/>
    <w:uiPriority w:val="60"/>
    <w:rsid w:val="00B56C6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7">
    <w:name w:val="Table Grid"/>
    <w:basedOn w:val="a1"/>
    <w:uiPriority w:val="39"/>
    <w:rsid w:val="00B56C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Должность1"/>
    <w:basedOn w:val="a"/>
    <w:rsid w:val="005800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4B42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2">
    <w:name w:val="Абзац списка1"/>
    <w:basedOn w:val="a"/>
    <w:rsid w:val="00567D22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8">
    <w:name w:val="Title"/>
    <w:basedOn w:val="a"/>
    <w:link w:val="a9"/>
    <w:qFormat/>
    <w:rsid w:val="009000A3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character" w:customStyle="1" w:styleId="a9">
    <w:name w:val="Название Знак"/>
    <w:basedOn w:val="a0"/>
    <w:link w:val="a8"/>
    <w:rsid w:val="009000A3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paragraph" w:styleId="aa">
    <w:name w:val="List"/>
    <w:basedOn w:val="a"/>
    <w:semiHidden/>
    <w:rsid w:val="00E53E65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ab">
    <w:name w:val="Основ"/>
    <w:basedOn w:val="a"/>
    <w:rsid w:val="00E53E6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6"/>
      <w:lang w:val="en-US" w:eastAsia="ru-RU"/>
    </w:rPr>
  </w:style>
  <w:style w:type="paragraph" w:styleId="ac">
    <w:name w:val="Body Text"/>
    <w:basedOn w:val="a"/>
    <w:link w:val="ad"/>
    <w:semiHidden/>
    <w:rsid w:val="00E53E6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E53E65"/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e">
    <w:name w:val="Текст сноски Знак"/>
    <w:link w:val="af"/>
    <w:locked/>
    <w:rsid w:val="00E53E65"/>
    <w:rPr>
      <w:rFonts w:ascii="Calibri" w:hAnsi="Calibri"/>
      <w:lang w:val="x-none"/>
    </w:rPr>
  </w:style>
  <w:style w:type="paragraph" w:styleId="af">
    <w:name w:val="footnote text"/>
    <w:basedOn w:val="a"/>
    <w:link w:val="ae"/>
    <w:rsid w:val="00E53E65"/>
    <w:pPr>
      <w:spacing w:after="0" w:line="240" w:lineRule="auto"/>
    </w:pPr>
    <w:rPr>
      <w:rFonts w:ascii="Calibri" w:hAnsi="Calibri"/>
      <w:lang w:val="x-none"/>
    </w:rPr>
  </w:style>
  <w:style w:type="character" w:customStyle="1" w:styleId="13">
    <w:name w:val="Текст сноски Знак1"/>
    <w:basedOn w:val="a0"/>
    <w:uiPriority w:val="99"/>
    <w:semiHidden/>
    <w:rsid w:val="00E53E65"/>
    <w:rPr>
      <w:sz w:val="20"/>
      <w:szCs w:val="20"/>
    </w:rPr>
  </w:style>
  <w:style w:type="character" w:styleId="af0">
    <w:name w:val="footnote reference"/>
    <w:rsid w:val="00E53E65"/>
    <w:rPr>
      <w:vertAlign w:val="superscript"/>
    </w:rPr>
  </w:style>
  <w:style w:type="paragraph" w:customStyle="1" w:styleId="af1">
    <w:name w:val="Акты"/>
    <w:basedOn w:val="a"/>
    <w:link w:val="af2"/>
    <w:qFormat/>
    <w:rsid w:val="00971DF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Акты Знак"/>
    <w:link w:val="af1"/>
    <w:rsid w:val="00971DF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s20fdfb881">
    <w:name w:val="cs20fdfb881"/>
    <w:basedOn w:val="a0"/>
    <w:rsid w:val="00F73D93"/>
    <w:rPr>
      <w:rFonts w:ascii="Courier New" w:hAnsi="Courier New" w:cs="Courier New" w:hint="default"/>
      <w:b w:val="0"/>
      <w:bCs w:val="0"/>
      <w:i w:val="0"/>
      <w:iCs w:val="0"/>
      <w:color w:val="000000"/>
      <w:sz w:val="28"/>
      <w:szCs w:val="28"/>
    </w:rPr>
  </w:style>
  <w:style w:type="character" w:styleId="af3">
    <w:name w:val="annotation reference"/>
    <w:basedOn w:val="a0"/>
    <w:uiPriority w:val="99"/>
    <w:semiHidden/>
    <w:unhideWhenUsed/>
    <w:rsid w:val="00484745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484745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484745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8474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484745"/>
    <w:rPr>
      <w:b/>
      <w:bCs/>
      <w:sz w:val="20"/>
      <w:szCs w:val="20"/>
    </w:rPr>
  </w:style>
  <w:style w:type="paragraph" w:styleId="af8">
    <w:name w:val="endnote text"/>
    <w:basedOn w:val="a"/>
    <w:link w:val="af9"/>
    <w:uiPriority w:val="99"/>
    <w:semiHidden/>
    <w:unhideWhenUsed/>
    <w:rsid w:val="00484745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484745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484745"/>
    <w:rPr>
      <w:vertAlign w:val="superscript"/>
    </w:rPr>
  </w:style>
  <w:style w:type="paragraph" w:customStyle="1" w:styleId="afb">
    <w:name w:val="Знак Знак Знак Знак Знак Знак Знак Знак Знак Знак"/>
    <w:basedOn w:val="a"/>
    <w:rsid w:val="00E80101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4">
    <w:name w:val="Основной текст1"/>
    <w:basedOn w:val="a"/>
    <w:rsid w:val="00247D1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c">
    <w:name w:val="Акт"/>
    <w:basedOn w:val="a"/>
    <w:link w:val="afd"/>
    <w:qFormat/>
    <w:rsid w:val="00247D1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x-none"/>
    </w:rPr>
  </w:style>
  <w:style w:type="character" w:customStyle="1" w:styleId="afd">
    <w:name w:val="Акт Знак"/>
    <w:link w:val="afc"/>
    <w:locked/>
    <w:rsid w:val="00247D1A"/>
    <w:rPr>
      <w:rFonts w:ascii="Times New Roman" w:eastAsia="Times New Roman" w:hAnsi="Times New Roman" w:cs="Times New Roman"/>
      <w:sz w:val="28"/>
      <w:szCs w:val="28"/>
      <w:lang w:eastAsia="x-none"/>
    </w:rPr>
  </w:style>
  <w:style w:type="paragraph" w:customStyle="1" w:styleId="6">
    <w:name w:val="Акт 6 пт"/>
    <w:basedOn w:val="afc"/>
    <w:qFormat/>
    <w:rsid w:val="00247D1A"/>
    <w:pPr>
      <w:tabs>
        <w:tab w:val="left" w:pos="284"/>
      </w:tabs>
      <w:spacing w:before="120"/>
    </w:pPr>
    <w:rPr>
      <w:szCs w:val="20"/>
    </w:rPr>
  </w:style>
  <w:style w:type="paragraph" w:styleId="afe">
    <w:name w:val="Normal (Web)"/>
    <w:basedOn w:val="a"/>
    <w:uiPriority w:val="99"/>
    <w:semiHidden/>
    <w:unhideWhenUsed/>
    <w:rsid w:val="0002026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3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file:///D:\&#1082;&#1089;&#1087;\&#1050;&#1074;&#1072;&#1088;&#1090;&#1072;&#1083;&#1100;&#1085;&#1072;&#1103;%20&#1080;&#1085;&#1092;&#1086;&#1088;&#1084;&#1072;&#1094;&#1080;&#1103;\&#1085;&#1080;&#1082;&#1077;&#1083;&#1100;\&#1053;&#1080;&#1082;&#1077;&#1083;&#1100;\2017\excel-web2017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oleObject" Target="file:///D:\&#1082;&#1089;&#1087;\&#1050;&#1074;&#1072;&#1088;&#1090;&#1072;&#1083;&#1100;&#1085;&#1072;&#1103;%20&#1080;&#1085;&#1092;&#1086;&#1088;&#1084;&#1072;&#1094;&#1080;&#1103;\&#1085;&#1080;&#1082;&#1077;&#1083;&#1100;\&#1053;&#1080;&#1082;&#1077;&#1083;&#1100;\2017\excel-web2017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oleObject" Target="file:///D:\&#1082;&#1089;&#1087;\&#1050;&#1074;&#1072;&#1088;&#1090;&#1072;&#1083;&#1100;&#1085;&#1072;&#1103;%20&#1080;&#1085;&#1092;&#1086;&#1088;&#1084;&#1072;&#1094;&#1080;&#1103;\&#1085;&#1080;&#1082;&#1077;&#1083;&#1100;\&#1053;&#1080;&#1082;&#1077;&#1083;&#1100;\2017\excel-web2017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oleObject" Target="file:///D:\&#1082;&#1089;&#1087;\&#1050;&#1074;&#1072;&#1088;&#1090;&#1072;&#1083;&#1100;&#1085;&#1072;&#1103;%20&#1080;&#1085;&#1092;&#1086;&#1088;&#1084;&#1072;&#1094;&#1080;&#1103;\&#1085;&#1080;&#1082;&#1077;&#1083;&#1100;\&#1053;&#1080;&#1082;&#1077;&#1083;&#1100;\2017\excel-web2017.xlsx" TargetMode="External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Лист1!$B$11</c:f>
              <c:strCache>
                <c:ptCount val="1"/>
                <c:pt idx="0">
                  <c:v>1 квартал 2018 года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-1.9789734075448363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2263450834879406E-2"/>
                  <c:y val="1.174742843858176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Лист1!$C$10:$D$10</c:f>
              <c:strCache>
                <c:ptCount val="2"/>
                <c:pt idx="0">
                  <c:v>Налоговые и неналоговые доходы</c:v>
                </c:pt>
                <c:pt idx="1">
                  <c:v>Безвозмездные поступления</c:v>
                </c:pt>
              </c:strCache>
            </c:strRef>
          </c:cat>
          <c:val>
            <c:numRef>
              <c:f>Лист1!$C$11:$D$11</c:f>
              <c:numCache>
                <c:formatCode>#,##0.0</c:formatCode>
                <c:ptCount val="2"/>
                <c:pt idx="0">
                  <c:v>26173.329269999998</c:v>
                </c:pt>
                <c:pt idx="1">
                  <c:v>10512.15063</c:v>
                </c:pt>
              </c:numCache>
            </c:numRef>
          </c:val>
        </c:ser>
        <c:ser>
          <c:idx val="1"/>
          <c:order val="1"/>
          <c:tx>
            <c:strRef>
              <c:f>Лист1!$B$12</c:f>
              <c:strCache>
                <c:ptCount val="1"/>
                <c:pt idx="0">
                  <c:v>1 квартал 2017 года</c:v>
                </c:pt>
              </c:strCache>
            </c:strRef>
          </c:tx>
          <c:spPr>
            <a:pattFill prst="wdDnDiag">
              <a:fgClr>
                <a:schemeClr val="accent1">
                  <a:lumMod val="75000"/>
                </a:schemeClr>
              </a:fgClr>
              <a:bgClr>
                <a:schemeClr val="bg1"/>
              </a:bgClr>
            </a:patt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1"/>
              <c:layout>
                <c:manualLayout>
                  <c:x val="2.7210884353741496E-2"/>
                  <c:y val="2.349485687716359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Лист1!$C$10:$D$10</c:f>
              <c:strCache>
                <c:ptCount val="2"/>
                <c:pt idx="0">
                  <c:v>Налоговые и неналоговые доходы</c:v>
                </c:pt>
                <c:pt idx="1">
                  <c:v>Безвозмездные поступления</c:v>
                </c:pt>
              </c:strCache>
            </c:strRef>
          </c:cat>
          <c:val>
            <c:numRef>
              <c:f>Лист1!$C$12:$D$12</c:f>
              <c:numCache>
                <c:formatCode>#,##0.0</c:formatCode>
                <c:ptCount val="2"/>
                <c:pt idx="0">
                  <c:v>31976.645809999998</c:v>
                </c:pt>
                <c:pt idx="1">
                  <c:v>9435.2934600000008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0000512"/>
        <c:axId val="40020992"/>
      </c:barChart>
      <c:catAx>
        <c:axId val="4000051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40020992"/>
        <c:crosses val="autoZero"/>
        <c:auto val="1"/>
        <c:lblAlgn val="ctr"/>
        <c:lblOffset val="100"/>
        <c:noMultiLvlLbl val="0"/>
      </c:catAx>
      <c:valAx>
        <c:axId val="40020992"/>
        <c:scaling>
          <c:orientation val="minMax"/>
        </c:scaling>
        <c:delete val="0"/>
        <c:axPos val="l"/>
        <c:numFmt formatCode="#,##0.0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40000512"/>
        <c:crosses val="autoZero"/>
        <c:crossBetween val="between"/>
      </c:valAx>
    </c:plotArea>
    <c:legend>
      <c:legendPos val="r"/>
      <c:layout/>
      <c:overlay val="0"/>
      <c:txPr>
        <a:bodyPr/>
        <a:lstStyle/>
        <a:p>
          <a:pPr>
            <a:defRPr sz="11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1"/>
    </mc:Choice>
    <mc:Fallback>
      <c:style val="11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Лист2!$B$5</c:f>
              <c:strCache>
                <c:ptCount val="1"/>
                <c:pt idx="0">
                  <c:v>1 квартал 2018 года</c:v>
                </c:pt>
              </c:strCache>
            </c:strRef>
          </c:tx>
          <c:spPr>
            <a:solidFill>
              <a:schemeClr val="accent3">
                <a:lumMod val="60000"/>
                <a:lumOff val="40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-1.4414556288572036E-2"/>
                  <c:y val="6.971676603135694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0810810810810811E-2"/>
                  <c:y val="1.0457240429246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036036036036037E-3"/>
                  <c:y val="3.485838301567831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Лист2!$C$4:$D$4</c:f>
              <c:strCache>
                <c:ptCount val="2"/>
                <c:pt idx="0">
                  <c:v>Налог на доходы физических лиц</c:v>
                </c:pt>
                <c:pt idx="1">
                  <c:v>Налоги на совокупный доход </c:v>
                </c:pt>
              </c:strCache>
            </c:strRef>
          </c:cat>
          <c:val>
            <c:numRef>
              <c:f>Лист2!$C$5:$D$5</c:f>
              <c:numCache>
                <c:formatCode>#,##0.0</c:formatCode>
                <c:ptCount val="2"/>
                <c:pt idx="0">
                  <c:v>10296.15475</c:v>
                </c:pt>
                <c:pt idx="1">
                  <c:v>1967.0661299999999</c:v>
                </c:pt>
              </c:numCache>
            </c:numRef>
          </c:val>
        </c:ser>
        <c:ser>
          <c:idx val="1"/>
          <c:order val="1"/>
          <c:tx>
            <c:strRef>
              <c:f>Лист2!$B$6</c:f>
              <c:strCache>
                <c:ptCount val="1"/>
                <c:pt idx="0">
                  <c:v>1 квартал 2017 года</c:v>
                </c:pt>
              </c:strCache>
            </c:strRef>
          </c:tx>
          <c:spPr>
            <a:pattFill prst="ltUpDiag">
              <a:fgClr>
                <a:schemeClr val="accent1">
                  <a:lumMod val="75000"/>
                </a:schemeClr>
              </a:fgClr>
              <a:bgClr>
                <a:schemeClr val="bg1"/>
              </a:bgClr>
            </a:patt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Pt>
            <c:idx val="0"/>
            <c:invertIfNegative val="0"/>
            <c:bubble3D val="0"/>
            <c:spPr>
              <a:pattFill prst="wdDnDiag">
                <a:fgClr>
                  <a:schemeClr val="accent1">
                    <a:lumMod val="75000"/>
                  </a:schemeClr>
                </a:fgClr>
                <a:bgClr>
                  <a:schemeClr val="bg1"/>
                </a:bgClr>
              </a:pattFill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1"/>
            <c:invertIfNegative val="0"/>
            <c:bubble3D val="0"/>
            <c:spPr>
              <a:pattFill prst="wdDnDiag">
                <a:fgClr>
                  <a:schemeClr val="accent1">
                    <a:lumMod val="75000"/>
                  </a:schemeClr>
                </a:fgClr>
                <a:bgClr>
                  <a:schemeClr val="bg1"/>
                </a:bgClr>
              </a:pattFill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Lbls>
            <c:dLbl>
              <c:idx val="0"/>
              <c:layout>
                <c:manualLayout>
                  <c:x val="7.2072072072072073E-3"/>
                  <c:y val="1.0457240429246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9.0090090090090089E-3"/>
                  <c:y val="3.485838301567831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2612612612612612E-2"/>
                  <c:y val="3.485838301567831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Лист2!$C$4:$D$4</c:f>
              <c:strCache>
                <c:ptCount val="2"/>
                <c:pt idx="0">
                  <c:v>Налог на доходы физических лиц</c:v>
                </c:pt>
                <c:pt idx="1">
                  <c:v>Налоги на совокупный доход </c:v>
                </c:pt>
              </c:strCache>
            </c:strRef>
          </c:cat>
          <c:val>
            <c:numRef>
              <c:f>Лист2!$C$6:$D$6</c:f>
              <c:numCache>
                <c:formatCode>#,##0.0</c:formatCode>
                <c:ptCount val="2"/>
                <c:pt idx="0" formatCode="_-* #,##0.0\ _₽_-;\-* #,##0.0\ _₽_-;_-* &quot;-&quot;??\ _₽_-;_-@_-">
                  <c:v>11184.37644</c:v>
                </c:pt>
                <c:pt idx="1">
                  <c:v>1733.14598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3074688"/>
        <c:axId val="43090304"/>
      </c:barChart>
      <c:catAx>
        <c:axId val="43074688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43090304"/>
        <c:crosses val="autoZero"/>
        <c:auto val="1"/>
        <c:lblAlgn val="ctr"/>
        <c:lblOffset val="100"/>
        <c:noMultiLvlLbl val="0"/>
      </c:catAx>
      <c:valAx>
        <c:axId val="43090304"/>
        <c:scaling>
          <c:orientation val="minMax"/>
        </c:scaling>
        <c:delete val="0"/>
        <c:axPos val="l"/>
        <c:numFmt formatCode="#,##0.0" sourceLinked="1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43074688"/>
        <c:crosses val="autoZero"/>
        <c:crossBetween val="between"/>
      </c:valAx>
    </c:plotArea>
    <c:legend>
      <c:legendPos val="r"/>
      <c:layout/>
      <c:overlay val="0"/>
      <c:txPr>
        <a:bodyPr/>
        <a:lstStyle/>
        <a:p>
          <a:pPr>
            <a:defRPr sz="11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  <a:scene3d>
      <a:camera prst="orthographicFront"/>
      <a:lightRig rig="threePt" dir="t"/>
    </a:scene3d>
  </c:sp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1"/>
    </mc:Choice>
    <mc:Fallback>
      <c:style val="11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Лист3!$C$5</c:f>
              <c:strCache>
                <c:ptCount val="1"/>
                <c:pt idx="0">
                  <c:v>1 квартал 2018 года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-1.4414556288572036E-2"/>
                  <c:y val="6.971676603135694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0810810810810811E-2"/>
                  <c:y val="1.0457240429246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036036036036037E-3"/>
                  <c:y val="3.485838301567831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Лист3!$D$4:$F$4</c:f>
              <c:strCache>
                <c:ptCount val="3"/>
                <c:pt idx="0">
                  <c:v>Доходы от использования имущества, находящегося в государственной и муниципальной собственности</c:v>
                </c:pt>
                <c:pt idx="1">
                  <c:v>Доходы от оказания платных услуг (работ) и компенсации затрат государства</c:v>
                </c:pt>
                <c:pt idx="2">
                  <c:v>Доходы от продажи материальных и нематериальных активов</c:v>
                </c:pt>
              </c:strCache>
            </c:strRef>
          </c:cat>
          <c:val>
            <c:numRef>
              <c:f>Лист3!$D$5:$F$5</c:f>
              <c:numCache>
                <c:formatCode>#,##0.0</c:formatCode>
                <c:ptCount val="3"/>
                <c:pt idx="0">
                  <c:v>10908.56653</c:v>
                </c:pt>
                <c:pt idx="1">
                  <c:v>394.13914</c:v>
                </c:pt>
                <c:pt idx="2">
                  <c:v>1291.34626</c:v>
                </c:pt>
              </c:numCache>
            </c:numRef>
          </c:val>
        </c:ser>
        <c:ser>
          <c:idx val="1"/>
          <c:order val="1"/>
          <c:tx>
            <c:strRef>
              <c:f>Лист3!$C$6</c:f>
              <c:strCache>
                <c:ptCount val="1"/>
                <c:pt idx="0">
                  <c:v>1 квартал 2017 года</c:v>
                </c:pt>
              </c:strCache>
            </c:strRef>
          </c:tx>
          <c:spPr>
            <a:pattFill prst="ltUpDiag">
              <a:fgClr>
                <a:schemeClr val="accent1">
                  <a:lumMod val="75000"/>
                </a:schemeClr>
              </a:fgClr>
              <a:bgClr>
                <a:schemeClr val="bg1"/>
              </a:bgClr>
            </a:patt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Pt>
            <c:idx val="0"/>
            <c:invertIfNegative val="0"/>
            <c:bubble3D val="0"/>
            <c:spPr>
              <a:pattFill prst="wdDnDiag">
                <a:fgClr>
                  <a:schemeClr val="accent1">
                    <a:lumMod val="75000"/>
                  </a:schemeClr>
                </a:fgClr>
                <a:bgClr>
                  <a:schemeClr val="bg1"/>
                </a:bgClr>
              </a:pattFill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1"/>
            <c:invertIfNegative val="0"/>
            <c:bubble3D val="0"/>
            <c:spPr>
              <a:pattFill prst="wdDnDiag">
                <a:fgClr>
                  <a:schemeClr val="accent1">
                    <a:lumMod val="75000"/>
                  </a:schemeClr>
                </a:fgClr>
                <a:bgClr>
                  <a:schemeClr val="bg1"/>
                </a:bgClr>
              </a:pattFill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Lbls>
            <c:dLbl>
              <c:idx val="0"/>
              <c:layout>
                <c:manualLayout>
                  <c:x val="7.2072072072072073E-3"/>
                  <c:y val="1.0457240429246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9.0090090090090089E-3"/>
                  <c:y val="3.485838301567831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2612612612612612E-2"/>
                  <c:y val="3.485838301567831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Лист3!$D$4:$F$4</c:f>
              <c:strCache>
                <c:ptCount val="3"/>
                <c:pt idx="0">
                  <c:v>Доходы от использования имущества, находящегося в государственной и муниципальной собственности</c:v>
                </c:pt>
                <c:pt idx="1">
                  <c:v>Доходы от оказания платных услуг (работ) и компенсации затрат государства</c:v>
                </c:pt>
                <c:pt idx="2">
                  <c:v>Доходы от продажи материальных и нематериальных активов</c:v>
                </c:pt>
              </c:strCache>
            </c:strRef>
          </c:cat>
          <c:val>
            <c:numRef>
              <c:f>Лист3!$D$6:$F$6</c:f>
              <c:numCache>
                <c:formatCode>#,##0.0</c:formatCode>
                <c:ptCount val="3"/>
                <c:pt idx="0">
                  <c:v>15809.42562</c:v>
                </c:pt>
                <c:pt idx="1">
                  <c:v>37.719329999999999</c:v>
                </c:pt>
                <c:pt idx="2">
                  <c:v>1578.7175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0831232"/>
        <c:axId val="100833920"/>
      </c:barChart>
      <c:catAx>
        <c:axId val="100831232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0833920"/>
        <c:crosses val="autoZero"/>
        <c:auto val="1"/>
        <c:lblAlgn val="ctr"/>
        <c:lblOffset val="100"/>
        <c:noMultiLvlLbl val="0"/>
      </c:catAx>
      <c:valAx>
        <c:axId val="100833920"/>
        <c:scaling>
          <c:orientation val="minMax"/>
        </c:scaling>
        <c:delete val="0"/>
        <c:axPos val="l"/>
        <c:numFmt formatCode="#,##0.0" sourceLinked="1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0831232"/>
        <c:crosses val="autoZero"/>
        <c:crossBetween val="between"/>
      </c:valAx>
    </c:plotArea>
    <c:legend>
      <c:legendPos val="r"/>
      <c:layout/>
      <c:overlay val="0"/>
      <c:txPr>
        <a:bodyPr/>
        <a:lstStyle/>
        <a:p>
          <a:pPr>
            <a:defRPr sz="11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  <a:scene3d>
      <a:camera prst="orthographicFront"/>
      <a:lightRig rig="threePt" dir="t"/>
    </a:scene3d>
  </c:sp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1"/>
    </mc:Choice>
    <mc:Fallback>
      <c:style val="11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Лист4!$D$4</c:f>
              <c:strCache>
                <c:ptCount val="1"/>
                <c:pt idx="0">
                  <c:v>1 квартал 2018 года</c:v>
                </c:pt>
              </c:strCache>
            </c:strRef>
          </c:tx>
          <c:spPr>
            <a:solidFill>
              <a:schemeClr val="accent4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-1.4414556288572036E-2"/>
                  <c:y val="6.9716766031356946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7 787,7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0810810810810811E-2"/>
                  <c:y val="1.045724042924667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2 682,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036036036036037E-3"/>
                  <c:y val="3.485838301567831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Лист4!$E$3:$G$3</c:f>
              <c:strCache>
                <c:ptCount val="3"/>
                <c:pt idx="0">
                  <c:v>Дотации бюджетам бюджетной системы Российской Федерации</c:v>
                </c:pt>
                <c:pt idx="1">
                  <c:v> Субсидии бюджетам бюджетной системы Российской Федерации (межбюджетные субсидии)</c:v>
                </c:pt>
                <c:pt idx="2">
                  <c:v>Субвенции бюджетам бюджетной системы Российской Федерации</c:v>
                </c:pt>
              </c:strCache>
            </c:strRef>
          </c:cat>
          <c:val>
            <c:numRef>
              <c:f>Лист4!$E$4:$G$4</c:f>
              <c:numCache>
                <c:formatCode>#,##0.00</c:formatCode>
                <c:ptCount val="3"/>
                <c:pt idx="0">
                  <c:v>7787.701</c:v>
                </c:pt>
                <c:pt idx="1">
                  <c:v>2682.69</c:v>
                </c:pt>
                <c:pt idx="2">
                  <c:v>4</c:v>
                </c:pt>
              </c:numCache>
            </c:numRef>
          </c:val>
        </c:ser>
        <c:ser>
          <c:idx val="1"/>
          <c:order val="1"/>
          <c:tx>
            <c:strRef>
              <c:f>Лист4!$D$5</c:f>
              <c:strCache>
                <c:ptCount val="1"/>
                <c:pt idx="0">
                  <c:v>1 квартал 2017 года</c:v>
                </c:pt>
              </c:strCache>
            </c:strRef>
          </c:tx>
          <c:spPr>
            <a:solidFill>
              <a:schemeClr val="accent4">
                <a:lumMod val="20000"/>
                <a:lumOff val="80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Pt>
            <c:idx val="0"/>
            <c:invertIfNegative val="0"/>
            <c:bubble3D val="0"/>
          </c:dPt>
          <c:dPt>
            <c:idx val="1"/>
            <c:invertIfNegative val="0"/>
            <c:bubble3D val="0"/>
          </c:dPt>
          <c:dLbls>
            <c:dLbl>
              <c:idx val="0"/>
              <c:layout>
                <c:manualLayout>
                  <c:x val="7.2072072072072073E-3"/>
                  <c:y val="1.0457240429246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9.0090090090090089E-3"/>
                  <c:y val="3.485838301567831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2612612612612612E-2"/>
                  <c:y val="3.485838301567831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Лист4!$E$3:$G$3</c:f>
              <c:strCache>
                <c:ptCount val="3"/>
                <c:pt idx="0">
                  <c:v>Дотации бюджетам бюджетной системы Российской Федерации</c:v>
                </c:pt>
                <c:pt idx="1">
                  <c:v> Субсидии бюджетам бюджетной системы Российской Федерации (межбюджетные субсидии)</c:v>
                </c:pt>
                <c:pt idx="2">
                  <c:v>Субвенции бюджетам бюджетной системы Российской Федерации</c:v>
                </c:pt>
              </c:strCache>
            </c:strRef>
          </c:cat>
          <c:val>
            <c:numRef>
              <c:f>Лист4!$E$5:$G$5</c:f>
              <c:numCache>
                <c:formatCode>#,##0.0</c:formatCode>
                <c:ptCount val="3"/>
                <c:pt idx="0">
                  <c:v>6801.05</c:v>
                </c:pt>
                <c:pt idx="1">
                  <c:v>2411.7510000000002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7892992"/>
        <c:axId val="129699840"/>
      </c:barChart>
      <c:catAx>
        <c:axId val="117892992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9699840"/>
        <c:crosses val="autoZero"/>
        <c:auto val="1"/>
        <c:lblAlgn val="ctr"/>
        <c:lblOffset val="100"/>
        <c:noMultiLvlLbl val="0"/>
      </c:catAx>
      <c:valAx>
        <c:axId val="129699840"/>
        <c:scaling>
          <c:orientation val="minMax"/>
        </c:scaling>
        <c:delete val="0"/>
        <c:axPos val="l"/>
        <c:numFmt formatCode="#,##0.00" sourceLinked="1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7892992"/>
        <c:crosses val="autoZero"/>
        <c:crossBetween val="between"/>
      </c:valAx>
    </c:plotArea>
    <c:legend>
      <c:legendPos val="r"/>
      <c:layout/>
      <c:overlay val="0"/>
      <c:txPr>
        <a:bodyPr/>
        <a:lstStyle/>
        <a:p>
          <a:pPr>
            <a:defRPr sz="11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  <a:scene3d>
      <a:camera prst="orthographicFront"/>
      <a:lightRig rig="threePt" dir="t"/>
    </a:scene3d>
  </c:sp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0.35771</cdr:x>
      <cdr:y>0.10333</cdr:y>
    </cdr:from>
    <cdr:to>
      <cdr:x>0.51871</cdr:x>
      <cdr:y>0.24812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2003437" y="261799"/>
          <a:ext cx="901687" cy="366851"/>
        </a:xfrm>
        <a:prstGeom xmlns:a="http://schemas.openxmlformats.org/drawingml/2006/main" prst="rect">
          <a:avLst/>
        </a:prstGeom>
        <a:ln xmlns:a="http://schemas.openxmlformats.org/drawingml/2006/main" w="6350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ru-RU" sz="1000" i="1">
              <a:latin typeface="Times New Roman" pitchFamily="18" charset="0"/>
              <a:cs typeface="Times New Roman" pitchFamily="18" charset="0"/>
            </a:rPr>
            <a:t>       18,1%</a:t>
          </a:r>
        </a:p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     (5 803,3)</a:t>
          </a:r>
        </a:p>
      </cdr:txBody>
    </cdr:sp>
  </cdr:relSizeAnchor>
  <cdr:relSizeAnchor xmlns:cdr="http://schemas.openxmlformats.org/drawingml/2006/chartDrawing">
    <cdr:from>
      <cdr:x>0.51474</cdr:x>
      <cdr:y>0.35646</cdr:y>
    </cdr:from>
    <cdr:to>
      <cdr:x>0.67574</cdr:x>
      <cdr:y>0.50125</cdr:y>
    </cdr:to>
    <cdr:sp macro="" textlink="">
      <cdr:nvSpPr>
        <cdr:cNvPr id="6" name="Прямоугольник 5"/>
        <cdr:cNvSpPr/>
      </cdr:nvSpPr>
      <cdr:spPr>
        <a:xfrm xmlns:a="http://schemas.openxmlformats.org/drawingml/2006/main">
          <a:off x="2882912" y="903149"/>
          <a:ext cx="901687" cy="366851"/>
        </a:xfrm>
        <a:prstGeom xmlns:a="http://schemas.openxmlformats.org/drawingml/2006/main" prst="rect">
          <a:avLst/>
        </a:prstGeom>
        <a:ln xmlns:a="http://schemas.openxmlformats.org/drawingml/2006/main" w="6350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ru-RU" sz="1000" i="1">
              <a:latin typeface="Times New Roman" pitchFamily="18" charset="0"/>
              <a:cs typeface="Times New Roman" pitchFamily="18" charset="0"/>
            </a:rPr>
            <a:t>1   1,4%</a:t>
          </a:r>
        </a:p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     (1 076,9)</a:t>
          </a:r>
        </a:p>
      </cdr:txBody>
    </cdr:sp>
  </cdr:relSizeAnchor>
  <cdr:relSizeAnchor xmlns:cdr="http://schemas.openxmlformats.org/drawingml/2006/chartDrawing">
    <cdr:from>
      <cdr:x>0.37132</cdr:x>
      <cdr:y>0.13283</cdr:y>
    </cdr:from>
    <cdr:to>
      <cdr:x>0.39342</cdr:x>
      <cdr:y>0.20802</cdr:y>
    </cdr:to>
    <cdr:sp macro="" textlink="">
      <cdr:nvSpPr>
        <cdr:cNvPr id="7" name="Равнобедренный треугольник 6"/>
        <cdr:cNvSpPr/>
      </cdr:nvSpPr>
      <cdr:spPr>
        <a:xfrm xmlns:a="http://schemas.openxmlformats.org/drawingml/2006/main" flipH="1" flipV="1">
          <a:off x="2079625" y="336550"/>
          <a:ext cx="123825" cy="190500"/>
        </a:xfrm>
        <a:prstGeom xmlns:a="http://schemas.openxmlformats.org/drawingml/2006/main" prst="triangle">
          <a:avLst/>
        </a:prstGeom>
        <a:solidFill xmlns:a="http://schemas.openxmlformats.org/drawingml/2006/main">
          <a:srgbClr val="FF0000"/>
        </a:solidFill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0.52551</cdr:x>
      <cdr:y>0.39098</cdr:y>
    </cdr:from>
    <cdr:to>
      <cdr:x>0.54762</cdr:x>
      <cdr:y>0.45865</cdr:y>
    </cdr:to>
    <cdr:sp macro="" textlink="">
      <cdr:nvSpPr>
        <cdr:cNvPr id="8" name="Равнобедренный треугольник 7"/>
        <cdr:cNvSpPr/>
      </cdr:nvSpPr>
      <cdr:spPr>
        <a:xfrm xmlns:a="http://schemas.openxmlformats.org/drawingml/2006/main">
          <a:off x="2943224" y="990601"/>
          <a:ext cx="123825" cy="171450"/>
        </a:xfrm>
        <a:prstGeom xmlns:a="http://schemas.openxmlformats.org/drawingml/2006/main" prst="triangle">
          <a:avLst/>
        </a:prstGeom>
        <a:solidFill xmlns:a="http://schemas.openxmlformats.org/drawingml/2006/main">
          <a:srgbClr val="00B050"/>
        </a:solidFill>
        <a:ln xmlns:a="http://schemas.openxmlformats.org/drawingml/2006/main">
          <a:solidFill>
            <a:srgbClr val="00B05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ru-RU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0.35965</cdr:x>
      <cdr:y>0.13314</cdr:y>
    </cdr:from>
    <cdr:to>
      <cdr:x>0.48191</cdr:x>
      <cdr:y>0.28478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2082812" y="322124"/>
          <a:ext cx="708013" cy="366851"/>
        </a:xfrm>
        <a:prstGeom xmlns:a="http://schemas.openxmlformats.org/drawingml/2006/main" prst="rect">
          <a:avLst/>
        </a:prstGeom>
        <a:ln xmlns:a="http://schemas.openxmlformats.org/drawingml/2006/main" w="6350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ru-RU" sz="1000" i="1">
              <a:latin typeface="Times New Roman" pitchFamily="18" charset="0"/>
              <a:cs typeface="Times New Roman" pitchFamily="18" charset="0"/>
            </a:rPr>
            <a:t>     7,9%</a:t>
          </a:r>
        </a:p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    (888,2)</a:t>
          </a:r>
        </a:p>
      </cdr:txBody>
    </cdr:sp>
  </cdr:relSizeAnchor>
  <cdr:relSizeAnchor xmlns:cdr="http://schemas.openxmlformats.org/drawingml/2006/chartDrawing">
    <cdr:from>
      <cdr:x>0.36952</cdr:x>
      <cdr:y>0.16798</cdr:y>
    </cdr:from>
    <cdr:to>
      <cdr:x>0.3909</cdr:x>
      <cdr:y>0.24672</cdr:y>
    </cdr:to>
    <cdr:sp macro="" textlink="">
      <cdr:nvSpPr>
        <cdr:cNvPr id="3" name="Равнобедренный треугольник 2"/>
        <cdr:cNvSpPr/>
      </cdr:nvSpPr>
      <cdr:spPr>
        <a:xfrm xmlns:a="http://schemas.openxmlformats.org/drawingml/2006/main" flipH="1" flipV="1">
          <a:off x="2139950" y="406400"/>
          <a:ext cx="123825" cy="190500"/>
        </a:xfrm>
        <a:prstGeom xmlns:a="http://schemas.openxmlformats.org/drawingml/2006/main" prst="triangle">
          <a:avLst/>
        </a:prstGeom>
        <a:solidFill xmlns:a="http://schemas.openxmlformats.org/drawingml/2006/main">
          <a:srgbClr val="FF0000"/>
        </a:solidFill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0.51152</cdr:x>
      <cdr:y>0.42973</cdr:y>
    </cdr:from>
    <cdr:to>
      <cdr:x>0.64309</cdr:x>
      <cdr:y>0.58136</cdr:y>
    </cdr:to>
    <cdr:sp macro="" textlink="">
      <cdr:nvSpPr>
        <cdr:cNvPr id="4" name="Прямоугольник 3"/>
        <cdr:cNvSpPr/>
      </cdr:nvSpPr>
      <cdr:spPr>
        <a:xfrm xmlns:a="http://schemas.openxmlformats.org/drawingml/2006/main">
          <a:off x="2962287" y="1039674"/>
          <a:ext cx="761988" cy="366851"/>
        </a:xfrm>
        <a:prstGeom xmlns:a="http://schemas.openxmlformats.org/drawingml/2006/main" prst="rect">
          <a:avLst/>
        </a:prstGeom>
        <a:ln xmlns:a="http://schemas.openxmlformats.org/drawingml/2006/main" w="6350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ru-RU" sz="1000" i="1">
              <a:latin typeface="Times New Roman" pitchFamily="18" charset="0"/>
              <a:cs typeface="Times New Roman" pitchFamily="18" charset="0"/>
            </a:rPr>
            <a:t>     13,5%</a:t>
          </a:r>
        </a:p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     (234,0)</a:t>
          </a:r>
        </a:p>
      </cdr:txBody>
    </cdr:sp>
  </cdr:relSizeAnchor>
  <cdr:relSizeAnchor xmlns:cdr="http://schemas.openxmlformats.org/drawingml/2006/chartDrawing">
    <cdr:from>
      <cdr:x>0.52193</cdr:x>
      <cdr:y>0.46982</cdr:y>
    </cdr:from>
    <cdr:to>
      <cdr:x>0.54331</cdr:x>
      <cdr:y>0.54068</cdr:y>
    </cdr:to>
    <cdr:sp macro="" textlink="">
      <cdr:nvSpPr>
        <cdr:cNvPr id="5" name="Равнобедренный треугольник 4"/>
        <cdr:cNvSpPr/>
      </cdr:nvSpPr>
      <cdr:spPr>
        <a:xfrm xmlns:a="http://schemas.openxmlformats.org/drawingml/2006/main">
          <a:off x="3022599" y="1136651"/>
          <a:ext cx="123825" cy="171450"/>
        </a:xfrm>
        <a:prstGeom xmlns:a="http://schemas.openxmlformats.org/drawingml/2006/main" prst="triangle">
          <a:avLst/>
        </a:prstGeom>
        <a:solidFill xmlns:a="http://schemas.openxmlformats.org/drawingml/2006/main">
          <a:srgbClr val="00B050"/>
        </a:solidFill>
        <a:ln xmlns:a="http://schemas.openxmlformats.org/drawingml/2006/main">
          <a:solidFill>
            <a:srgbClr val="00B05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0.27991</cdr:x>
      <cdr:y>0.12185</cdr:y>
    </cdr:from>
    <cdr:to>
      <cdr:x>0.41905</cdr:x>
      <cdr:y>0.23589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1647837" y="391974"/>
          <a:ext cx="819138" cy="366851"/>
        </a:xfrm>
        <a:prstGeom xmlns:a="http://schemas.openxmlformats.org/drawingml/2006/main" prst="rect">
          <a:avLst/>
        </a:prstGeom>
        <a:ln xmlns:a="http://schemas.openxmlformats.org/drawingml/2006/main" w="6350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ru-RU" sz="1000" i="1">
              <a:latin typeface="Times New Roman" pitchFamily="18" charset="0"/>
              <a:cs typeface="Times New Roman" pitchFamily="18" charset="0"/>
            </a:rPr>
            <a:t>      31%</a:t>
          </a:r>
        </a:p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   (4 900,8)</a:t>
          </a:r>
        </a:p>
      </cdr:txBody>
    </cdr:sp>
  </cdr:relSizeAnchor>
  <cdr:relSizeAnchor xmlns:cdr="http://schemas.openxmlformats.org/drawingml/2006/chartDrawing">
    <cdr:from>
      <cdr:x>0.28799</cdr:x>
      <cdr:y>0.14508</cdr:y>
    </cdr:from>
    <cdr:to>
      <cdr:x>0.30903</cdr:x>
      <cdr:y>0.2043</cdr:y>
    </cdr:to>
    <cdr:sp macro="" textlink="">
      <cdr:nvSpPr>
        <cdr:cNvPr id="3" name="Равнобедренный треугольник 2"/>
        <cdr:cNvSpPr/>
      </cdr:nvSpPr>
      <cdr:spPr>
        <a:xfrm xmlns:a="http://schemas.openxmlformats.org/drawingml/2006/main" flipH="1" flipV="1">
          <a:off x="1695450" y="466725"/>
          <a:ext cx="123825" cy="190500"/>
        </a:xfrm>
        <a:prstGeom xmlns:a="http://schemas.openxmlformats.org/drawingml/2006/main" prst="triangle">
          <a:avLst/>
        </a:prstGeom>
        <a:solidFill xmlns:a="http://schemas.openxmlformats.org/drawingml/2006/main">
          <a:srgbClr val="FF0000"/>
        </a:solidFill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0.36458</cdr:x>
      <cdr:y>0.3982</cdr:y>
    </cdr:from>
    <cdr:to>
      <cdr:x>0.50372</cdr:x>
      <cdr:y>0.51224</cdr:y>
    </cdr:to>
    <cdr:sp macro="" textlink="">
      <cdr:nvSpPr>
        <cdr:cNvPr id="4" name="Прямоугольник 3"/>
        <cdr:cNvSpPr/>
      </cdr:nvSpPr>
      <cdr:spPr>
        <a:xfrm xmlns:a="http://schemas.openxmlformats.org/drawingml/2006/main">
          <a:off x="2146312" y="1280974"/>
          <a:ext cx="819138" cy="366851"/>
        </a:xfrm>
        <a:prstGeom xmlns:a="http://schemas.openxmlformats.org/drawingml/2006/main" prst="rect">
          <a:avLst/>
        </a:prstGeom>
        <a:ln xmlns:a="http://schemas.openxmlformats.org/drawingml/2006/main" w="6350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в   </a:t>
          </a:r>
          <a:r>
            <a:rPr lang="ru-RU" sz="1000" i="1">
              <a:latin typeface="Times New Roman" pitchFamily="18" charset="0"/>
              <a:cs typeface="Times New Roman" pitchFamily="18" charset="0"/>
            </a:rPr>
            <a:t>10,5 раз</a:t>
          </a:r>
        </a:p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      (356,4)</a:t>
          </a:r>
        </a:p>
      </cdr:txBody>
    </cdr:sp>
  </cdr:relSizeAnchor>
  <cdr:relSizeAnchor xmlns:cdr="http://schemas.openxmlformats.org/drawingml/2006/chartDrawing">
    <cdr:from>
      <cdr:x>0.56035</cdr:x>
      <cdr:y>0.36563</cdr:y>
    </cdr:from>
    <cdr:to>
      <cdr:x>0.69949</cdr:x>
      <cdr:y>0.47967</cdr:y>
    </cdr:to>
    <cdr:sp macro="" textlink="">
      <cdr:nvSpPr>
        <cdr:cNvPr id="5" name="Прямоугольник 4"/>
        <cdr:cNvSpPr/>
      </cdr:nvSpPr>
      <cdr:spPr>
        <a:xfrm xmlns:a="http://schemas.openxmlformats.org/drawingml/2006/main">
          <a:off x="3298837" y="1176199"/>
          <a:ext cx="819138" cy="366851"/>
        </a:xfrm>
        <a:prstGeom xmlns:a="http://schemas.openxmlformats.org/drawingml/2006/main" prst="rect">
          <a:avLst/>
        </a:prstGeom>
        <a:ln xmlns:a="http://schemas.openxmlformats.org/drawingml/2006/main" w="6350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ru-RU" sz="1000" i="1">
              <a:latin typeface="Times New Roman" pitchFamily="18" charset="0"/>
              <a:cs typeface="Times New Roman" pitchFamily="18" charset="0"/>
            </a:rPr>
            <a:t>1    8,2%</a:t>
          </a:r>
        </a:p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      (287,4</a:t>
          </a:r>
          <a:r>
            <a:rPr lang="ru-RU"/>
            <a:t>)</a:t>
          </a:r>
        </a:p>
      </cdr:txBody>
    </cdr:sp>
  </cdr:relSizeAnchor>
  <cdr:relSizeAnchor xmlns:cdr="http://schemas.openxmlformats.org/drawingml/2006/chartDrawing">
    <cdr:from>
      <cdr:x>0.37482</cdr:x>
      <cdr:y>0.4165</cdr:y>
    </cdr:from>
    <cdr:to>
      <cdr:x>0.39586</cdr:x>
      <cdr:y>0.4698</cdr:y>
    </cdr:to>
    <cdr:sp macro="" textlink="">
      <cdr:nvSpPr>
        <cdr:cNvPr id="6" name="Равнобедренный треугольник 5"/>
        <cdr:cNvSpPr/>
      </cdr:nvSpPr>
      <cdr:spPr>
        <a:xfrm xmlns:a="http://schemas.openxmlformats.org/drawingml/2006/main">
          <a:off x="2206624" y="1339851"/>
          <a:ext cx="123825" cy="171450"/>
        </a:xfrm>
        <a:prstGeom xmlns:a="http://schemas.openxmlformats.org/drawingml/2006/main" prst="triangle">
          <a:avLst/>
        </a:prstGeom>
        <a:solidFill xmlns:a="http://schemas.openxmlformats.org/drawingml/2006/main">
          <a:srgbClr val="00B050"/>
        </a:solidFill>
        <a:ln xmlns:a="http://schemas.openxmlformats.org/drawingml/2006/main">
          <a:solidFill>
            <a:srgbClr val="00B05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0.57329</cdr:x>
      <cdr:y>0.38887</cdr:y>
    </cdr:from>
    <cdr:to>
      <cdr:x>0.59433</cdr:x>
      <cdr:y>0.44809</cdr:y>
    </cdr:to>
    <cdr:sp macro="" textlink="">
      <cdr:nvSpPr>
        <cdr:cNvPr id="7" name="Равнобедренный треугольник 6"/>
        <cdr:cNvSpPr/>
      </cdr:nvSpPr>
      <cdr:spPr>
        <a:xfrm xmlns:a="http://schemas.openxmlformats.org/drawingml/2006/main" flipH="1" flipV="1">
          <a:off x="3375025" y="1250950"/>
          <a:ext cx="123825" cy="190500"/>
        </a:xfrm>
        <a:prstGeom xmlns:a="http://schemas.openxmlformats.org/drawingml/2006/main" prst="triangle">
          <a:avLst/>
        </a:prstGeom>
        <a:solidFill xmlns:a="http://schemas.openxmlformats.org/drawingml/2006/main">
          <a:srgbClr val="FF0000"/>
        </a:solidFill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0.2845</cdr:x>
      <cdr:y>0.02547</cdr:y>
    </cdr:from>
    <cdr:to>
      <cdr:x>0.42144</cdr:x>
      <cdr:y>0.15092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1701812" y="74474"/>
          <a:ext cx="819138" cy="366851"/>
        </a:xfrm>
        <a:prstGeom xmlns:a="http://schemas.openxmlformats.org/drawingml/2006/main" prst="rect">
          <a:avLst/>
        </a:prstGeom>
        <a:ln xmlns:a="http://schemas.openxmlformats.org/drawingml/2006/main" w="6350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ru-RU" sz="1000" i="1">
              <a:latin typeface="Times New Roman" pitchFamily="18" charset="0"/>
              <a:cs typeface="Times New Roman" pitchFamily="18" charset="0"/>
            </a:rPr>
            <a:t>       14,5%</a:t>
          </a:r>
        </a:p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       (986,6)</a:t>
          </a:r>
        </a:p>
      </cdr:txBody>
    </cdr:sp>
  </cdr:relSizeAnchor>
  <cdr:relSizeAnchor xmlns:cdr="http://schemas.openxmlformats.org/drawingml/2006/chartDrawing">
    <cdr:from>
      <cdr:x>0.29936</cdr:x>
      <cdr:y>0.05537</cdr:y>
    </cdr:from>
    <cdr:to>
      <cdr:x>0.32006</cdr:x>
      <cdr:y>0.11401</cdr:y>
    </cdr:to>
    <cdr:sp macro="" textlink="">
      <cdr:nvSpPr>
        <cdr:cNvPr id="3" name="Равнобедренный треугольник 2"/>
        <cdr:cNvSpPr/>
      </cdr:nvSpPr>
      <cdr:spPr>
        <a:xfrm xmlns:a="http://schemas.openxmlformats.org/drawingml/2006/main">
          <a:off x="1790699" y="161926"/>
          <a:ext cx="123825" cy="171450"/>
        </a:xfrm>
        <a:prstGeom xmlns:a="http://schemas.openxmlformats.org/drawingml/2006/main" prst="triangle">
          <a:avLst/>
        </a:prstGeom>
        <a:solidFill xmlns:a="http://schemas.openxmlformats.org/drawingml/2006/main">
          <a:srgbClr val="00B050"/>
        </a:solidFill>
        <a:ln xmlns:a="http://schemas.openxmlformats.org/drawingml/2006/main">
          <a:solidFill>
            <a:srgbClr val="00B05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0.41561</cdr:x>
      <cdr:y>0.21222</cdr:y>
    </cdr:from>
    <cdr:to>
      <cdr:x>0.55255</cdr:x>
      <cdr:y>0.33768</cdr:y>
    </cdr:to>
    <cdr:sp macro="" textlink="">
      <cdr:nvSpPr>
        <cdr:cNvPr id="4" name="Прямоугольник 3"/>
        <cdr:cNvSpPr/>
      </cdr:nvSpPr>
      <cdr:spPr>
        <a:xfrm xmlns:a="http://schemas.openxmlformats.org/drawingml/2006/main">
          <a:off x="2486037" y="620574"/>
          <a:ext cx="819138" cy="366851"/>
        </a:xfrm>
        <a:prstGeom xmlns:a="http://schemas.openxmlformats.org/drawingml/2006/main" prst="rect">
          <a:avLst/>
        </a:prstGeom>
        <a:ln xmlns:a="http://schemas.openxmlformats.org/drawingml/2006/main" w="6350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ru-RU" sz="1000" i="1">
              <a:latin typeface="Times New Roman" pitchFamily="18" charset="0"/>
              <a:cs typeface="Times New Roman" pitchFamily="18" charset="0"/>
            </a:rPr>
            <a:t>      11,2%</a:t>
          </a:r>
        </a:p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      (270,9)</a:t>
          </a:r>
        </a:p>
      </cdr:txBody>
    </cdr:sp>
  </cdr:relSizeAnchor>
  <cdr:relSizeAnchor xmlns:cdr="http://schemas.openxmlformats.org/drawingml/2006/chartDrawing">
    <cdr:from>
      <cdr:x>0.42569</cdr:x>
      <cdr:y>0.24539</cdr:y>
    </cdr:from>
    <cdr:to>
      <cdr:x>0.44639</cdr:x>
      <cdr:y>0.30402</cdr:y>
    </cdr:to>
    <cdr:sp macro="" textlink="">
      <cdr:nvSpPr>
        <cdr:cNvPr id="5" name="Равнобедренный треугольник 4"/>
        <cdr:cNvSpPr/>
      </cdr:nvSpPr>
      <cdr:spPr>
        <a:xfrm xmlns:a="http://schemas.openxmlformats.org/drawingml/2006/main">
          <a:off x="2546349" y="717551"/>
          <a:ext cx="123825" cy="171450"/>
        </a:xfrm>
        <a:prstGeom xmlns:a="http://schemas.openxmlformats.org/drawingml/2006/main" prst="triangle">
          <a:avLst/>
        </a:prstGeom>
        <a:solidFill xmlns:a="http://schemas.openxmlformats.org/drawingml/2006/main">
          <a:srgbClr val="00B050"/>
        </a:solidFill>
        <a:ln xmlns:a="http://schemas.openxmlformats.org/drawingml/2006/main">
          <a:solidFill>
            <a:srgbClr val="00B05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Заполнитель1</b:Tag>
    <b:SourceType>Book</b:SourceType>
    <b:Guid>{379373A7-7887-40ED-AB0B-A1BD42A7EFF1}</b:Guid>
    <b:RefOrder>1</b:RefOrder>
  </b:Source>
</b:Sources>
</file>

<file path=customXml/itemProps1.xml><?xml version="1.0" encoding="utf-8"?>
<ds:datastoreItem xmlns:ds="http://schemas.openxmlformats.org/officeDocument/2006/customXml" ds:itemID="{E14A11CE-C6D6-49AE-B0D9-432E57F05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</Pages>
  <Words>1613</Words>
  <Characters>9199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Царевская Юлия Михайловна</cp:lastModifiedBy>
  <cp:revision>21</cp:revision>
  <cp:lastPrinted>2017-12-25T09:27:00Z</cp:lastPrinted>
  <dcterms:created xsi:type="dcterms:W3CDTF">2018-05-03T08:05:00Z</dcterms:created>
  <dcterms:modified xsi:type="dcterms:W3CDTF">2018-05-07T15:25:00Z</dcterms:modified>
</cp:coreProperties>
</file>