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6B7143" w:rsidRPr="006B7143">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2022 год и на плановый период 2023 и 2024 годов» и бюджетной отчетности об исполнении бюджета округа за 2022 год в </w:t>
      </w:r>
      <w:r w:rsidR="00C94405">
        <w:rPr>
          <w:rFonts w:ascii="Times New Roman" w:hAnsi="Times New Roman" w:cs="Times New Roman"/>
          <w:b/>
          <w:sz w:val="20"/>
          <w:szCs w:val="20"/>
        </w:rPr>
        <w:t>Финансовом управлении администрации</w:t>
      </w:r>
      <w:r w:rsidR="006B7143" w:rsidRPr="006B7143">
        <w:rPr>
          <w:rFonts w:ascii="Times New Roman" w:hAnsi="Times New Roman" w:cs="Times New Roman"/>
          <w:b/>
          <w:sz w:val="20"/>
          <w:szCs w:val="20"/>
        </w:rPr>
        <w:t xml:space="preserve">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C94405">
        <w:rPr>
          <w:rFonts w:ascii="Times New Roman" w:hAnsi="Times New Roman" w:cs="Times New Roman"/>
          <w:sz w:val="20"/>
          <w:szCs w:val="20"/>
        </w:rPr>
        <w:t>Финансовое управление администрации</w:t>
      </w:r>
      <w:r w:rsidR="006B7143" w:rsidRPr="006B7143">
        <w:rPr>
          <w:rFonts w:ascii="Times New Roman" w:hAnsi="Times New Roman" w:cs="Times New Roman"/>
          <w:sz w:val="20"/>
          <w:szCs w:val="20"/>
        </w:rPr>
        <w:t xml:space="preserve"> Печенгского муниципального округа</w:t>
      </w:r>
      <w:r w:rsidR="006B7143">
        <w:rPr>
          <w:rFonts w:ascii="Times New Roman" w:hAnsi="Times New Roman" w:cs="Times New Roman"/>
          <w:sz w:val="20"/>
          <w:szCs w:val="20"/>
        </w:rPr>
        <w:t xml:space="preserve"> (далее – </w:t>
      </w:r>
      <w:r w:rsidR="00C94405">
        <w:rPr>
          <w:rFonts w:ascii="Times New Roman" w:hAnsi="Times New Roman" w:cs="Times New Roman"/>
          <w:sz w:val="20"/>
          <w:szCs w:val="20"/>
        </w:rPr>
        <w:t xml:space="preserve">Финансовое управление, </w:t>
      </w:r>
      <w:r w:rsidR="006B7143">
        <w:rPr>
          <w:rFonts w:ascii="Times New Roman" w:hAnsi="Times New Roman" w:cs="Times New Roman"/>
          <w:sz w:val="20"/>
          <w:szCs w:val="20"/>
        </w:rPr>
        <w:t>ГАБ</w:t>
      </w:r>
      <w:r w:rsidR="00C94405">
        <w:rPr>
          <w:rFonts w:ascii="Times New Roman" w:hAnsi="Times New Roman" w:cs="Times New Roman"/>
          <w:sz w:val="20"/>
          <w:szCs w:val="20"/>
        </w:rPr>
        <w:t>С</w:t>
      </w:r>
      <w:r w:rsidR="006B7143">
        <w:rPr>
          <w:rFonts w:ascii="Times New Roman" w:hAnsi="Times New Roman" w:cs="Times New Roman"/>
          <w:sz w:val="20"/>
          <w:szCs w:val="20"/>
        </w:rPr>
        <w:t>)</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4100EA">
        <w:rPr>
          <w:rFonts w:ascii="Times New Roman" w:hAnsi="Times New Roman" w:cs="Times New Roman"/>
          <w:sz w:val="20"/>
          <w:szCs w:val="20"/>
        </w:rPr>
        <w:t>2</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C94405" w:rsidRPr="00C94405" w:rsidRDefault="00C94405" w:rsidP="00AD7554">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1. Бюджетная отчетность Финансового управления за 2022 год представлена в составе, определенном Инструкцией </w:t>
      </w:r>
      <w:r w:rsidRPr="006B7143">
        <w:rPr>
          <w:rFonts w:ascii="Times New Roman" w:hAnsi="Times New Roman" w:cs="Times New Roman"/>
          <w:sz w:val="20"/>
          <w:szCs w:val="20"/>
        </w:rPr>
        <w:t>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Pr>
          <w:rFonts w:ascii="Times New Roman" w:hAnsi="Times New Roman" w:cs="Times New Roman"/>
          <w:sz w:val="20"/>
          <w:szCs w:val="20"/>
        </w:rPr>
        <w:t xml:space="preserve"> (далее - Инструкция № 191н)</w:t>
      </w:r>
      <w:r w:rsidRPr="006B7143">
        <w:rPr>
          <w:rFonts w:ascii="Times New Roman" w:hAnsi="Times New Roman" w:cs="Times New Roman"/>
          <w:sz w:val="20"/>
          <w:szCs w:val="20"/>
        </w:rPr>
        <w:t>.</w:t>
      </w:r>
    </w:p>
    <w:p w:rsidR="00C94405" w:rsidRPr="00C94405" w:rsidRDefault="00C94405" w:rsidP="00AD7554">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2. В результате анализа контрольных соотношений между показателями представленных форм бюджетной отчетности расхождений не установлено. Значения показателей бюджетной отчетности соответствуют значениям, отраженным в Главной книге (ф.0504072) по соответствующим счетам аналитического учета.</w:t>
      </w:r>
    </w:p>
    <w:p w:rsidR="00C94405" w:rsidRDefault="00C94405" w:rsidP="00AD7554">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3. </w:t>
      </w:r>
      <w:r>
        <w:rPr>
          <w:rFonts w:ascii="Times New Roman" w:hAnsi="Times New Roman" w:cs="Times New Roman"/>
          <w:sz w:val="20"/>
          <w:szCs w:val="20"/>
        </w:rPr>
        <w:t xml:space="preserve">Исполнение доходов ГАБС за 2022 год составило </w:t>
      </w:r>
      <w:r w:rsidRPr="00C94405">
        <w:rPr>
          <w:rFonts w:ascii="Times New Roman" w:hAnsi="Times New Roman" w:cs="Times New Roman"/>
          <w:sz w:val="20"/>
          <w:szCs w:val="20"/>
        </w:rPr>
        <w:t>3 161 896,3 тыс. рублей или 99,3% от утвержденных бюджетных данных в сумме 3 185 189,2 тыс. рублей.</w:t>
      </w:r>
    </w:p>
    <w:p w:rsidR="00C94405" w:rsidRPr="00C94405" w:rsidRDefault="00C94405" w:rsidP="00AD7554">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Исполнение расходов </w:t>
      </w:r>
      <w:r>
        <w:rPr>
          <w:rFonts w:ascii="Times New Roman" w:hAnsi="Times New Roman" w:cs="Times New Roman"/>
          <w:sz w:val="20"/>
          <w:szCs w:val="20"/>
        </w:rPr>
        <w:t>ГАБС</w:t>
      </w:r>
      <w:r w:rsidRPr="00C94405">
        <w:rPr>
          <w:rFonts w:ascii="Times New Roman" w:hAnsi="Times New Roman" w:cs="Times New Roman"/>
          <w:sz w:val="20"/>
          <w:szCs w:val="20"/>
        </w:rPr>
        <w:t xml:space="preserve"> за 2022 год составило 566,1 тыс. рублей, или 13,5% плановых бюджетных ассигнований. Не исполнены бюджетные ассигнования на сумму 3 640,6 тыс. рублей (средства резервного фонда администрации Печенгского муниципального округа). </w:t>
      </w:r>
    </w:p>
    <w:p w:rsidR="00C94405" w:rsidRPr="00C94405" w:rsidRDefault="00C94405" w:rsidP="00AD7554">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4. Справк</w:t>
      </w:r>
      <w:r>
        <w:rPr>
          <w:rFonts w:ascii="Times New Roman" w:hAnsi="Times New Roman" w:cs="Times New Roman"/>
          <w:sz w:val="20"/>
          <w:szCs w:val="20"/>
        </w:rPr>
        <w:t>и</w:t>
      </w:r>
      <w:r w:rsidRPr="00C94405">
        <w:rPr>
          <w:rFonts w:ascii="Times New Roman" w:hAnsi="Times New Roman" w:cs="Times New Roman"/>
          <w:sz w:val="20"/>
          <w:szCs w:val="20"/>
        </w:rPr>
        <w:t xml:space="preserve"> по консолидируемым расчетам (ф.0503125) заполнен</w:t>
      </w:r>
      <w:r>
        <w:rPr>
          <w:rFonts w:ascii="Times New Roman" w:hAnsi="Times New Roman" w:cs="Times New Roman"/>
          <w:sz w:val="20"/>
          <w:szCs w:val="20"/>
        </w:rPr>
        <w:t>ы</w:t>
      </w:r>
      <w:r w:rsidRPr="00C94405">
        <w:rPr>
          <w:rFonts w:ascii="Times New Roman" w:hAnsi="Times New Roman" w:cs="Times New Roman"/>
          <w:sz w:val="20"/>
          <w:szCs w:val="20"/>
        </w:rPr>
        <w:t xml:space="preserve"> с нарушениями Инструкции № 191н</w:t>
      </w:r>
      <w:r>
        <w:rPr>
          <w:rFonts w:ascii="Times New Roman" w:hAnsi="Times New Roman" w:cs="Times New Roman"/>
          <w:sz w:val="20"/>
          <w:szCs w:val="20"/>
        </w:rPr>
        <w:t xml:space="preserve"> (в</w:t>
      </w:r>
      <w:r w:rsidRPr="00C94405">
        <w:rPr>
          <w:rFonts w:ascii="Times New Roman" w:hAnsi="Times New Roman" w:cs="Times New Roman"/>
          <w:sz w:val="20"/>
          <w:szCs w:val="20"/>
        </w:rPr>
        <w:t xml:space="preserve"> представленных справках графы 2 и 10 «Номер (</w:t>
      </w:r>
      <w:proofErr w:type="gramStart"/>
      <w:r w:rsidRPr="00C94405">
        <w:rPr>
          <w:rFonts w:ascii="Times New Roman" w:hAnsi="Times New Roman" w:cs="Times New Roman"/>
          <w:sz w:val="20"/>
          <w:szCs w:val="20"/>
        </w:rPr>
        <w:t xml:space="preserve">код) </w:t>
      </w:r>
      <w:proofErr w:type="gramEnd"/>
      <w:r w:rsidRPr="00C94405">
        <w:rPr>
          <w:rFonts w:ascii="Times New Roman" w:hAnsi="Times New Roman" w:cs="Times New Roman"/>
          <w:sz w:val="20"/>
          <w:szCs w:val="20"/>
        </w:rPr>
        <w:t>организации» не заполнены</w:t>
      </w:r>
      <w:r>
        <w:rPr>
          <w:rFonts w:ascii="Times New Roman" w:hAnsi="Times New Roman" w:cs="Times New Roman"/>
          <w:sz w:val="20"/>
          <w:szCs w:val="20"/>
        </w:rPr>
        <w:t>)</w:t>
      </w:r>
      <w:r w:rsidRPr="00C94405">
        <w:rPr>
          <w:rFonts w:ascii="Times New Roman" w:hAnsi="Times New Roman" w:cs="Times New Roman"/>
          <w:sz w:val="20"/>
          <w:szCs w:val="20"/>
        </w:rPr>
        <w:t>.</w:t>
      </w:r>
    </w:p>
    <w:p w:rsidR="00C94405" w:rsidRPr="00F52B78" w:rsidRDefault="00C94405" w:rsidP="00AD7554">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5. В Таблице № 3 к Пояснительной записке представлены некорректные сведения, не имеющие отношение к деятельности Финансового управления как субъекта бюджетной отчетности.</w:t>
      </w:r>
    </w:p>
    <w:p w:rsidR="004100EA" w:rsidRDefault="00AD7554" w:rsidP="00AD7554">
      <w:pPr>
        <w:spacing w:after="0" w:line="283" w:lineRule="auto"/>
        <w:ind w:firstLine="709"/>
        <w:jc w:val="both"/>
        <w:rPr>
          <w:rFonts w:ascii="Times New Roman" w:hAnsi="Times New Roman" w:cs="Times New Roman"/>
          <w:sz w:val="20"/>
          <w:szCs w:val="20"/>
        </w:rPr>
      </w:pPr>
      <w:r>
        <w:rPr>
          <w:rFonts w:ascii="Times New Roman" w:hAnsi="Times New Roman" w:cs="Times New Roman"/>
          <w:color w:val="000000"/>
          <w:sz w:val="20"/>
          <w:szCs w:val="20"/>
        </w:rPr>
        <w:t>В</w:t>
      </w:r>
      <w:r w:rsidRPr="00AD7554">
        <w:rPr>
          <w:rFonts w:ascii="Times New Roman" w:hAnsi="Times New Roman" w:cs="Times New Roman"/>
          <w:color w:val="000000"/>
          <w:sz w:val="20"/>
          <w:szCs w:val="20"/>
        </w:rPr>
        <w:t xml:space="preserve"> Администрацию Печенгского муниципального округа</w:t>
      </w:r>
      <w:r>
        <w:rPr>
          <w:rFonts w:ascii="Times New Roman" w:hAnsi="Times New Roman" w:cs="Times New Roman"/>
          <w:color w:val="000000"/>
          <w:sz w:val="20"/>
          <w:szCs w:val="20"/>
        </w:rPr>
        <w:t xml:space="preserve"> н</w:t>
      </w:r>
      <w:r w:rsidRPr="00AD7554">
        <w:rPr>
          <w:rFonts w:ascii="Times New Roman" w:hAnsi="Times New Roman" w:cs="Times New Roman"/>
          <w:color w:val="000000"/>
          <w:sz w:val="20"/>
          <w:szCs w:val="20"/>
        </w:rPr>
        <w:t>аправ</w:t>
      </w:r>
      <w:r>
        <w:rPr>
          <w:rFonts w:ascii="Times New Roman" w:hAnsi="Times New Roman" w:cs="Times New Roman"/>
          <w:color w:val="000000"/>
          <w:sz w:val="20"/>
          <w:szCs w:val="20"/>
        </w:rPr>
        <w:t>лено</w:t>
      </w:r>
      <w:r w:rsidRPr="00AD7554">
        <w:rPr>
          <w:rFonts w:ascii="Times New Roman" w:hAnsi="Times New Roman" w:cs="Times New Roman"/>
          <w:color w:val="000000"/>
          <w:sz w:val="20"/>
          <w:szCs w:val="20"/>
        </w:rPr>
        <w:t xml:space="preserve"> информационное письмо о результатах контрольного мероприятия </w:t>
      </w:r>
    </w:p>
    <w:p w:rsidR="00C94405" w:rsidRPr="00F52B78" w:rsidRDefault="00C94405">
      <w:pPr>
        <w:spacing w:after="0" w:line="283" w:lineRule="auto"/>
        <w:ind w:firstLine="709"/>
        <w:jc w:val="both"/>
        <w:rPr>
          <w:rFonts w:ascii="Times New Roman" w:hAnsi="Times New Roman" w:cs="Times New Roman"/>
          <w:sz w:val="20"/>
          <w:szCs w:val="20"/>
        </w:rPr>
      </w:pPr>
      <w:bookmarkStart w:id="0" w:name="_GoBack"/>
      <w:bookmarkEnd w:id="0"/>
    </w:p>
    <w:sectPr w:rsidR="00C94405"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8EB1-0454-4F48-BD0F-AD723D90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4</cp:revision>
  <cp:lastPrinted>2021-05-28T06:49:00Z</cp:lastPrinted>
  <dcterms:created xsi:type="dcterms:W3CDTF">2023-04-07T09:30:00Z</dcterms:created>
  <dcterms:modified xsi:type="dcterms:W3CDTF">2023-04-07T09:53:00Z</dcterms:modified>
</cp:coreProperties>
</file>